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3e40adcf8047e2" /><Relationship Type="http://schemas.openxmlformats.org/package/2006/relationships/metadata/core-properties" Target="/docProps/core.xml" Id="R51f13d138d6a47a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</w:sectPr>
    <w:p>
      <w:pPr>
        <w:jc w:val="center"/>
      </w:pPr>
      <w:r>
        <w:t>规定性指标</w:t>
      </w:r>
    </w:p>
    <w:tbl>
      <w:tblPr>
        <w:tblStyle w:val="TableGrid"/>
        <w:tblW w:w="12920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280"/>
        <w:gridCol w:w="1900"/>
        <w:gridCol w:w="6270"/>
        <w:gridCol w:w="950"/>
        <w:gridCol w:w="1520"/>
      </w:tblGrid>
      <w:tr>
        <w:tc>
          <w:tcPr>
            <w:vAlign w:val="center"/>
            <w:shd w:val="clear" w:color="auto" w:fill="DEDEDE"/>
          </w:tcPr>
          <w:p>
            <w:pPr/>
            <w:r>
              <w:t>检查项</w:t>
            </w:r>
          </w:p>
        </w:tc>
        <w:tc>
          <w:tcPr>
            <w:vAlign w:val="center"/>
            <w:shd w:val="clear" w:color="auto" w:fill="DEDEDE"/>
          </w:tcPr>
          <w:p>
            <w:pPr/>
            <w:r>
              <w:t>计算值</w:t>
            </w:r>
          </w:p>
        </w:tc>
        <w:tc>
          <w:tcPr>
            <w:vAlign w:val="center"/>
            <w:shd w:val="clear" w:color="auto" w:fill="DEDEDE"/>
          </w:tcPr>
          <w:p>
            <w:pPr/>
            <w:r>
              <w:t>标准要求</w:t>
            </w:r>
          </w:p>
        </w:tc>
        <w:tc>
          <w:tcPr>
            <w:vAlign w:val="center"/>
            <w:shd w:val="clear" w:color="auto" w:fill="DEDEDE"/>
          </w:tcPr>
          <w:p>
            <w:pPr/>
            <w:r>
              <w:t>结论</w:t>
            </w:r>
          </w:p>
        </w:tc>
        <w:tc>
          <w:tcPr>
            <w:vAlign w:val="center"/>
            <w:shd w:val="clear" w:color="auto" w:fill="DEDEDE"/>
          </w:tcPr>
          <w:p>
            <w:pPr/>
            <w:r>
              <w:t>可否性能权衡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 xml:space="preserve"> 体形系数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0.22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...体形系数应不应大于0.40...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满足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⊙窗墙比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 xml:space="preserve"> 建筑南、北朝向的窗墙面积比不应大于0.70。甲类建筑东、西朝向的窗墙面积比不应大于0.50；采用活动外遮阳时，甲类建筑东、西朝向的窗墙面积比不应大于0.70。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满足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⊙可见光透射比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当单一朝向的窗墙面积比小于0.40时，玻璃（或其他透明材料）的可见光透射比不应小于0.40。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满足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⊙天窗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不需要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⊙屋顶构造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K≤0.45,S≤0.3或K≤0.35,0.3&lt;S≤0.4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满足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⊙外墙构造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K=0.38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K≤0.50,S≤0.3或K≤0.45,0.3&lt;S≤0.4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满足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⊙挑空楼板构造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K=0.44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K≤0.50,S≤0.3或K≤0.45,0.3&lt;S≤0.4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满足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⊙采暖与非采暖隔墙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K=0.45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K≤1.2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满足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⊙采暖与非采暖楼板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K=0.44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K≤1.2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满足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 xml:space="preserve"> 地下墙构造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无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R≥1.5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不需要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⊙采暖、空调地下室地面或地上采暖空调房间的地下室顶板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R≥1.5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满足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⊙外窗热工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满足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⊙可开启面积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外窗的可开启面积不应小于窗面积的30% 。透明幕墙在每个独立开间应设有可开启部分或设有通风换气装置。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满足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⊙结露检查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围护结构内表面温度不应低于室内空气露点温度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满足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⊙外窗气密性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满足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 xml:space="preserve"> 结论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满足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</w:tbl>
    <w:p>
      <w:pPr>
        <w:jc w:val="center"/>
      </w:pP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6321f7232184c4c" /><Relationship Type="http://schemas.openxmlformats.org/officeDocument/2006/relationships/numbering" Target="/word/numbering.xml" Id="Rb850aad128174f5d" /><Relationship Type="http://schemas.openxmlformats.org/officeDocument/2006/relationships/settings" Target="/word/settings.xml" Id="Re04241c63bfc452c" 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ybx</dc:creator>
  <cp:lastModifiedBy>ybx</cp:lastModifiedBy>
  <cp:revision>1</cp:revision>
  <dc:title>节能检查-规定性指标</dc:title>
</cp:coreProperties>
</file>