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g" ContentType="image/jpeg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f0c70036-b745-445d-bf8c-232214fa688b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徐州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2021年02月13日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2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c51c7921ef4472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T17854217135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7F5130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38533094" w:history="1">
        <w:r w:rsidR="007F5130" w:rsidRPr="0096795F">
          <w:rPr>
            <w:rStyle w:val="a5"/>
            <w:noProof/>
            <w:kern w:val="32"/>
          </w:rPr>
          <w:t>1.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项目概况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_Toc38533094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5" w:history="1">
        <w:r w:rsidR="007F5130" w:rsidRPr="0096795F">
          <w:rPr>
            <w:rStyle w:val="a5"/>
            <w:noProof/>
          </w:rPr>
          <w:t>1.1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建筑基本信息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_Toc38533095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6" w:history="1">
        <w:r w:rsidR="007F5130" w:rsidRPr="0096795F">
          <w:rPr>
            <w:rStyle w:val="a5"/>
            <w:noProof/>
          </w:rPr>
          <w:t>1.2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建筑平面图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_Toc38533096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7" w:history="1">
        <w:r w:rsidR="007F5130" w:rsidRPr="0096795F">
          <w:rPr>
            <w:rStyle w:val="a5"/>
            <w:noProof/>
          </w:rPr>
          <w:t>1.3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建筑三维轴测图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_Toc38533097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8" w:history="1">
        <w:r w:rsidR="007F5130" w:rsidRPr="0096795F">
          <w:rPr>
            <w:rStyle w:val="a5"/>
            <w:rFonts w:ascii="Arial" w:hAnsi="Arial"/>
            <w:noProof/>
            <w:kern w:val="32"/>
          </w:rPr>
          <w:t>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参考标准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_Toc38533098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9" w:history="1">
        <w:r w:rsidR="007F5130" w:rsidRPr="0096795F">
          <w:rPr>
            <w:rStyle w:val="a5"/>
            <w:rFonts w:ascii="Arial" w:hAnsi="Arial"/>
            <w:noProof/>
            <w:kern w:val="32"/>
          </w:rPr>
          <w:t>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评价标准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_Toc38533099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0" w:history="1">
        <w:r w:rsidR="007F5130" w:rsidRPr="0096795F">
          <w:rPr>
            <w:rStyle w:val="a5"/>
            <w:rFonts w:ascii="Arial" w:hAnsi="Arial"/>
            <w:noProof/>
            <w:kern w:val="32"/>
          </w:rPr>
          <w:t>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计算流程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_Toc38533100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1" w:history="1">
        <w:r w:rsidR="007F5130" w:rsidRPr="0096795F">
          <w:rPr>
            <w:rStyle w:val="a5"/>
            <w:rFonts w:ascii="Arial" w:hAnsi="Arial"/>
            <w:noProof/>
            <w:kern w:val="32"/>
          </w:rPr>
          <w:t>5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计算参数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_Toc38533101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2" w:history="1">
        <w:r w:rsidR="007F5130" w:rsidRPr="0096795F">
          <w:rPr>
            <w:rStyle w:val="a5"/>
            <w:noProof/>
          </w:rPr>
          <w:t>5.1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渗透风量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_Toc38533102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3" w:history="1">
        <w:r w:rsidR="007F5130" w:rsidRPr="0096795F">
          <w:rPr>
            <w:rStyle w:val="a5"/>
            <w:noProof/>
          </w:rPr>
          <w:t>5.2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室内颗粒物源强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_Toc38533103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4" w:history="1">
        <w:r w:rsidR="007F5130" w:rsidRPr="0096795F">
          <w:rPr>
            <w:rStyle w:val="a5"/>
            <w:noProof/>
          </w:rPr>
          <w:t>5.3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室外颗粒物污染源浓度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_Toc38533104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5" w:history="1">
        <w:r w:rsidR="007F5130" w:rsidRPr="0096795F">
          <w:rPr>
            <w:rStyle w:val="a5"/>
            <w:noProof/>
          </w:rPr>
          <w:t>5.4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房间通风净化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_Toc38533105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6" w:history="1">
        <w:r w:rsidR="007F5130" w:rsidRPr="0096795F">
          <w:rPr>
            <w:rStyle w:val="a5"/>
            <w:rFonts w:ascii="Arial" w:hAnsi="Arial"/>
            <w:noProof/>
            <w:kern w:val="32"/>
          </w:rPr>
          <w:t>6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计算结果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_Toc38533106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7" w:history="1">
        <w:r w:rsidR="007F5130" w:rsidRPr="0096795F">
          <w:rPr>
            <w:rStyle w:val="a5"/>
            <w:rFonts w:ascii="Arial" w:hAnsi="Arial"/>
            <w:noProof/>
            <w:kern w:val="32"/>
          </w:rPr>
          <w:t>7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结论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_Toc38533107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</w:p>
    <w:p w:rsidR="00F87D86" w:rsidRPr="00A86763" w:rsidRDefault="00F87D86" w:rsidP="00F87D86">
      <w:pPr>
        <w:pStyle w:val="2"/>
        <w:rPr>
          <w:sz w:val="24"/>
          <w:szCs w:val="24"/>
        </w:rPr>
      </w:pPr>
      <w:r w:rsidRPr="00A86763">
        <w:rPr>
          <w:rFonts w:hint="eastAsia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1" w:name="平面图"/>
      <w:bookmarkEnd w:id="1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4524375"/>
            <wp:effectExtent l="0" t="0" r="0" b="0"/>
            <wp:docPr id="2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3faf73d9e743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2" w:name="三维视图"/>
            <w:r>
              <w:t>请先在[模型观察]命令中保存图片！</w:t>
            </w:r>
            <w:bookmarkEnd w:id="12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</w:p>
    <w:p w:rsidR="00F87D86" w:rsidRPr="00723096" w:rsidRDefault="00F87D86" w:rsidP="008B341D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</w:p>
    <w:p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lastRenderedPageBreak/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9B536B" wp14:editId="4BEF4089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考虑两方面的因素，室外颗粒物进入室内的颗粒物浓度，以及各种净化措施对颗粒物的稀释，本项目采用室内颗粒物</w:t>
      </w:r>
      <w:r w:rsidR="00967F7C">
        <w:rPr>
          <w:rFonts w:ascii="宋体" w:eastAsia="宋体" w:hAnsi="宋体" w:hint="eastAsia"/>
          <w:lang w:val="x-none"/>
        </w:rPr>
        <w:t>预评价</w:t>
      </w:r>
      <w:r w:rsidRPr="00C4087C">
        <w:rPr>
          <w:rFonts w:ascii="宋体" w:eastAsia="宋体" w:hAnsi="宋体" w:hint="eastAsia"/>
          <w:lang w:val="x-none"/>
        </w:rPr>
        <w:t>模型方程如下：</w:t>
      </w:r>
    </w:p>
    <w:p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30.55pt" o:ole="">
            <v:imagedata r:id="rId13" o:title=""/>
          </v:shape>
          <o:OLEObject Type="Embed" ProgID="Equation.DSMT4" ShapeID="_x0000_i1025" DrawAspect="Content" ObjectID="_1652712299" r:id="rId14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lastRenderedPageBreak/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</w:p>
    <w:p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r w:rsidRPr="00E82A16">
        <w:rPr>
          <w:rFonts w:hint="eastAsia"/>
          <w:sz w:val="24"/>
          <w:szCs w:val="24"/>
        </w:rPr>
        <w:t>渗透风量</w:t>
      </w:r>
    </w:p>
    <w:p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13" w:name="渗透风量"/>
      <w:r>
        <w:t>本项目忽略渗透风量的影响。</w:t>
      </w:r>
      <w:bookmarkEnd w:id="13"/>
    </w:p>
    <w:p w:rsidR="00F87D86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室内颗粒物源强</w:t>
      </w:r>
    </w:p>
    <w:p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14" w:name="室内颗粒物源强表"/>
      <w:r>
        <w:t>该项目室内颗粒物源强为0。</w:t>
      </w:r>
      <w:bookmarkEnd w:id="14"/>
    </w:p>
    <w:p w:rsidR="005C0EFF" w:rsidRPr="005C0EFF" w:rsidRDefault="005C0EFF" w:rsidP="00913966">
      <w:pPr>
        <w:jc w:val="center"/>
        <w:rPr>
          <w:rFonts w:ascii="宋体" w:eastAsia="宋体" w:hAnsi="宋体"/>
        </w:rPr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室外颗粒物污染源浓度</w:t>
      </w:r>
    </w:p>
    <w:p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15" w:name="室外颗粒物逐时浓度图"/>
      <w:bookmarkEnd w:id="15"/>
    </w:p>
    <w:p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</w:p>
    <w:p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16" w:name="房间及渗透风量表"/>
      <w:bookmarkEnd w:id="16"/>
    </w:p>
    <w:p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17" w:name="通风净化表"/>
      <w:bookmarkEnd w:id="17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342.0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342.0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342.0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324.0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324.0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324.0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324.0</w:t>
            </w:r>
          </w:p>
        </w:tc>
      </w:tr>
    </w:tbl>
    <w:p>
      <w:pPr>
        <w:jc w:val="center"/>
        <w:rPr>
          <w:rFonts w:ascii="宋体" w:eastAsia="宋体" w:hAnsi="宋体"/>
        </w:rPr>
      </w:pPr>
    </w:p>
    <w:p>
      <w:pPr>
        <w:jc w:val="center"/>
        <w:rPr>
          <w:rFonts w:ascii="宋体" w:eastAsia="宋体" w:hAnsi="宋体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</w:p>
    <w:p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</w:t>
      </w:r>
      <w:bookmarkStart w:id="18" w:name="_GoBack"/>
      <w:bookmarkEnd w:id="18"/>
      <w:r w:rsidRPr="004F4302">
        <w:rPr>
          <w:rFonts w:ascii="微软雅黑" w:eastAsia="微软雅黑" w:hAnsi="微软雅黑" w:cs="Times New Roman"/>
          <w:b/>
          <w:bCs/>
          <w:noProof/>
        </w:rPr>
        <w:t>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Style w:val="TableGrid"/>
        <w:tblW w:w="8263.5998535156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131.9999694824219"/>
        <w:gridCol w:w="1131.9999694824219"/>
        <w:gridCol w:w="1131.9999694824219"/>
        <w:gridCol w:w="2830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19" w:name="室内颗粒物达标判定表"/>
      <w:bookmarkEnd w:id="19"/>
    </w:p>
    <w:p w:rsidR="00B558F1" w:rsidRDefault="00B558F1" w:rsidP="00F87D86">
      <w:pPr>
        <w:jc w:val="center"/>
        <w:rPr>
          <w:rFonts w:ascii="宋体" w:eastAsia="宋体" w:hAnsi="宋体"/>
          <w:b/>
        </w:rPr>
      </w:pPr>
    </w:p>
    <w:p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20" w:name="颗粒物达标判定图"/>
      <w:bookmarkEnd w:id="20"/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Style w:val="TableGrid"/>
        <w:tblW w:w="8263.599548339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905.5999755859375"/>
        <w:gridCol w:w="2150.7998657226563"/>
        <w:gridCol w:w="2150.7998657226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&lt;0.135（降低10%）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</w:r>
            <w:r>
              <w:rPr>
                <w:b/>
              </w:rPr>
              <w:t>&lt;0.12（降低20%）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多人办公室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21" w:name="室内PM10日均值达标判定表"/>
      <w:bookmarkEnd w:id="21"/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22" w:name="PM10日均值达标判定图"/>
      <w:bookmarkEnd w:id="22"/>
    </w:p>
    <w:p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</w:p>
    <w:p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23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PM2.5年均浓度14μg/m³
PM10年均浓度24μg/m³</w:t>
            </w:r>
            <w:bookmarkEnd w:id="23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24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24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25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25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15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7B" w:rsidRDefault="00D71E7B" w:rsidP="00AB7079">
      <w:r>
        <w:separator/>
      </w:r>
    </w:p>
  </w:endnote>
  <w:endnote w:type="continuationSeparator" w:id="0">
    <w:p w:rsidR="00D71E7B" w:rsidRDefault="00D71E7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117D" w:rsidRDefault="00D71E7B" w:rsidP="00D6117D">
            <w:pPr>
              <w:pStyle w:val="a4"/>
            </w:pPr>
            <w:hyperlink r:id="rId1" w:history="1">
              <w:r w:rsidR="00D6117D" w:rsidRPr="00DD785C">
                <w:rPr>
                  <w:rStyle w:val="a5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:rsidR="00EA5E3F" w:rsidRDefault="00D6117D">
    <w:pPr>
      <w:pStyle w:val="a4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7B" w:rsidRDefault="00D71E7B" w:rsidP="00AB7079">
      <w:r>
        <w:separator/>
      </w:r>
    </w:p>
  </w:footnote>
  <w:footnote w:type="continuationSeparator" w:id="0">
    <w:p w:rsidR="00D71E7B" w:rsidRDefault="00D71E7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BA5AFA5" wp14:editId="1E504CB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3.wmf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oleObject" Target="embeddings/oleObject1.bin" Id="rId14" /><Relationship Type="http://schemas.openxmlformats.org/officeDocument/2006/relationships/image" Target="/word/media/949131e9-1c3c-4011-ba30-63ef0c137bc0.png" Id="R44c51c7921ef4472" /><Relationship Type="http://schemas.openxmlformats.org/officeDocument/2006/relationships/image" Target="/word/media/f0c70036-b745-445d-bf8c-232214fa688b.jpg" Id="Rf73faf73d9e74319" 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绿色建筑颗粒物预评价报告书2.dotx</Template>
  <TotalTime>1</TotalTime>
  <Pages>6</Pages>
  <Words>473</Words>
  <Characters>2698</Characters>
  <Application>Microsoft Office Word</Application>
  <DocSecurity>0</DocSecurity>
  <Lines>22</Lines>
  <Paragraphs>6</Paragraphs>
  <ScaleCrop>false</ScaleCrop>
  <Company>Microsoft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user</dc:creator>
  <cp:lastModifiedBy>user</cp:lastModifiedBy>
  <cp:revision>1</cp:revision>
  <dcterms:created xsi:type="dcterms:W3CDTF">2020-06-03T09:57:00Z</dcterms:created>
  <dcterms:modified xsi:type="dcterms:W3CDTF">2020-06-03T09:58:00Z</dcterms:modified>
</cp:coreProperties>
</file>