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住区热岛强度报告书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昆明</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T18532008623</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bookmarkStart w:id="40" w:name="_GoBack"/>
      <w:bookmarkEnd w:id="4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_Toc22342 </w:instrText>
      </w:r>
      <w:r>
        <w:rPr>
          <w:rFonts w:ascii="宋体" w:hAnsi="宋体"/>
          <w:bCs w:val="0"/>
          <w:caps/>
        </w:rPr>
        <w:fldChar w:fldCharType="separate"/>
      </w:r>
      <w:r>
        <w:rPr>
          <w:rFonts w:hint="eastAsia"/>
        </w:rPr>
        <w:t>1 住区概况</w:t>
      </w:r>
      <w:r>
        <w:tab/>
      </w:r>
      <w:r>
        <w:fldChar w:fldCharType="begin"/>
      </w:r>
      <w:r>
        <w:instrText xml:space="preserve"> PAGEREF _Toc22342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_Toc14667 </w:instrText>
      </w:r>
      <w:r>
        <w:fldChar w:fldCharType="separate"/>
      </w:r>
      <w:r>
        <w:rPr>
          <w:rFonts w:hint="eastAsia"/>
        </w:rPr>
        <w:t>2 标准依据</w:t>
      </w:r>
      <w:r>
        <w:tab/>
      </w:r>
      <w:r>
        <w:fldChar w:fldCharType="begin"/>
      </w:r>
      <w:r>
        <w:instrText xml:space="preserve"> PAGEREF _Toc14667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_Toc29006 </w:instrText>
      </w:r>
      <w:r>
        <w:fldChar w:fldCharType="separate"/>
      </w:r>
      <w:r>
        <w:rPr>
          <w:rFonts w:hint="eastAsia"/>
        </w:rPr>
        <w:t>3 计算方法</w:t>
      </w:r>
      <w:r>
        <w:tab/>
      </w:r>
      <w:r>
        <w:fldChar w:fldCharType="begin"/>
      </w:r>
      <w:r>
        <w:instrText xml:space="preserve"> PAGEREF _Toc29006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_Toc11074 </w:instrText>
      </w:r>
      <w:r>
        <w:fldChar w:fldCharType="separate"/>
      </w:r>
      <w:r>
        <w:rPr>
          <w:rFonts w:hint="eastAsia"/>
        </w:rPr>
        <w:t>4 计算参数</w:t>
      </w:r>
      <w:r>
        <w:tab/>
      </w:r>
      <w:r>
        <w:fldChar w:fldCharType="begin"/>
      </w:r>
      <w:r>
        <w:instrText xml:space="preserve"> PAGEREF _Toc11074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_Toc8930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_Toc8930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_Toc10559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_Toc10559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_Toc30048 </w:instrText>
      </w:r>
      <w:r>
        <w:fldChar w:fldCharType="separate"/>
      </w:r>
      <w:r>
        <w:rPr>
          <w:rFonts w:hint="eastAsia"/>
        </w:rPr>
        <w:t>5 指标概览</w:t>
      </w:r>
      <w:r>
        <w:tab/>
      </w:r>
      <w:r>
        <w:fldChar w:fldCharType="begin"/>
      </w:r>
      <w:r>
        <w:instrText xml:space="preserve"> PAGEREF _Toc30048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_Toc16003 </w:instrText>
      </w:r>
      <w:r>
        <w:fldChar w:fldCharType="separate"/>
      </w:r>
      <w:r>
        <w:rPr>
          <w:rFonts w:hint="eastAsia"/>
          <w:lang w:val="en-GB"/>
        </w:rPr>
        <w:t xml:space="preserve">5.1 </w:t>
      </w:r>
      <w:r>
        <w:rPr>
          <w:rFonts w:hint="eastAsia"/>
        </w:rPr>
        <w:t>建筑列表</w:t>
      </w:r>
      <w:r>
        <w:tab/>
      </w:r>
      <w:r>
        <w:fldChar w:fldCharType="begin"/>
      </w:r>
      <w:r>
        <w:instrText xml:space="preserve"> PAGEREF _Toc16003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_Toc14586 </w:instrText>
      </w:r>
      <w:r>
        <w:fldChar w:fldCharType="separate"/>
      </w:r>
      <w:r>
        <w:rPr>
          <w:rFonts w:hint="eastAsia"/>
          <w:lang w:val="en-GB"/>
        </w:rPr>
        <w:t xml:space="preserve">5.2 </w:t>
      </w:r>
      <w:r>
        <w:rPr>
          <w:rFonts w:hint="eastAsia"/>
        </w:rPr>
        <w:t>住区指标</w:t>
      </w:r>
      <w:r>
        <w:tab/>
      </w:r>
      <w:r>
        <w:fldChar w:fldCharType="begin"/>
      </w:r>
      <w:r>
        <w:instrText xml:space="preserve"> PAGEREF _Toc14586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_Toc27808 </w:instrText>
      </w:r>
      <w:r>
        <w:fldChar w:fldCharType="separate"/>
      </w:r>
      <w:r>
        <w:rPr>
          <w:rFonts w:hint="eastAsia"/>
        </w:rPr>
        <w:t>6 计算结果</w:t>
      </w:r>
      <w:r>
        <w:tab/>
      </w:r>
      <w:r>
        <w:fldChar w:fldCharType="begin"/>
      </w:r>
      <w:r>
        <w:instrText xml:space="preserve"> PAGEREF _Toc27808 </w:instrText>
      </w:r>
      <w:r>
        <w:fldChar w:fldCharType="separate"/>
      </w:r>
      <w:r>
        <w:t>7</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22342"/>
      <w:r>
        <w:rPr>
          <w:rFonts w:hint="eastAsia"/>
        </w:rPr>
        <w:t>住区概况</w:t>
      </w:r>
      <w:bookmarkEnd w:id="11"/>
    </w:p>
    <w:tbl>
      <w:tblPr>
        <w:tblStyle w:val="18"/>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昆明</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25.07</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102.70</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VB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4657725" cy="4257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9"/>
                    <a:stretch>
                      <a:fillRect/>
                    </a:stretch>
                  </pic:blipFill>
                  <pic:spPr>
                    <a:xfrm>
                      <a:off x="0" y="0"/>
                      <a:ext cx="4658214" cy="4258122"/>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4667"/>
      <w:bookmarkStart w:id="23" w:name="TitleFormat"/>
      <w:r>
        <w:rPr>
          <w:rFonts w:hint="eastAsia"/>
        </w:rPr>
        <w:t>标准依据</w:t>
      </w:r>
      <w:bookmarkEnd w:id="22"/>
    </w:p>
    <w:bookmarkEnd w:id="23"/>
    <w:p>
      <w:pPr>
        <w:widowControl w:val="0"/>
        <w:spacing w:line="360" w:lineRule="auto"/>
        <w:ind w:firstLine="420"/>
        <w:jc w:val="both"/>
        <w:rPr>
          <w:sz w:val="18"/>
          <w:lang w:val="en-US"/>
        </w:rPr>
      </w:pPr>
      <w:bookmarkStart w:id="24" w:name="计算依据"/>
      <w:bookmarkEnd w:id="24"/>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pPr>
        <w:pStyle w:val="2"/>
      </w:pPr>
      <w:bookmarkStart w:id="25" w:name="_Toc29006"/>
      <w:r>
        <w:rPr>
          <w:rFonts w:hint="eastAsia"/>
        </w:rPr>
        <w:t>计算方法</w:t>
      </w:r>
      <w:bookmarkEnd w:id="25"/>
    </w:p>
    <w:p>
      <w:pPr>
        <w:pStyle w:val="3"/>
        <w:spacing w:line="360" w:lineRule="auto"/>
        <w:ind w:firstLine="420"/>
        <w:rPr>
          <w:lang w:val="en-US"/>
        </w:rPr>
      </w:pPr>
      <w:bookmarkStart w:id="26" w:name="计算方法"/>
      <w:bookmarkEnd w:id="26"/>
      <w:r>
        <w:rPr>
          <w:rFonts w:hint="eastAsia"/>
          <w:lang w:val="en-US"/>
        </w:rPr>
        <w:t>依据《城市居住区热环境设计标准》（JGJ 286-2013），采用CTTC集总参数模型进行计算。计算公式如下：</w:t>
      </w:r>
    </w:p>
    <w:p>
      <w:pPr>
        <w:widowControl w:val="0"/>
        <w:spacing w:line="360" w:lineRule="auto"/>
        <w:jc w:val="both"/>
        <w:rPr>
          <w:kern w:val="2"/>
          <w:szCs w:val="21"/>
          <w:lang w:val="en-US"/>
        </w:rPr>
      </w:pPr>
      <w:r>
        <w:rPr>
          <w:rFonts w:hint="eastAsia"/>
          <w:kern w:val="2"/>
          <w:szCs w:val="21"/>
          <w:lang w:val="en-US"/>
        </w:rPr>
        <w:t>（1）居住区夏季平均热岛强度应按下式进行计算：</w:t>
      </w:r>
    </w:p>
    <w:p>
      <w:pPr>
        <w:widowControl w:val="0"/>
        <w:jc w:val="center"/>
        <w:rPr>
          <w:kern w:val="2"/>
          <w:sz w:val="24"/>
          <w:szCs w:val="22"/>
          <w:lang w:val="en-US"/>
        </w:rPr>
      </w:pPr>
      <w:r>
        <w:rPr>
          <w:kern w:val="2"/>
          <w:position w:val="-32"/>
          <w:sz w:val="24"/>
          <w:szCs w:val="22"/>
          <w:lang w:val="en-US"/>
        </w:rPr>
        <w:pict>
          <v:shape id="_x0000_i1025" o:spt="75" type="#_x0000_t75" style="height:36.75pt;width:158.25pt;" filled="f" o:preferrelative="t" stroked="f" coordsize="21600,21600">
            <v:path/>
            <v:fill on="f" focussize="0,0"/>
            <v:stroke on="f" joinstyle="miter"/>
            <v:imagedata r:id="rId10" o:title=""/>
            <o:lock v:ext="edit" aspectratio="t"/>
            <w10:wrap type="none"/>
            <w10:anchorlock/>
          </v:shape>
        </w:pict>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pict>
          <v:shape id="_x0000_i1026" o:spt="75" type="#_x0000_t75" style="height:18pt;width:26.25pt;" filled="f" o:preferrelative="t" stroked="f" coordsize="21600,21600">
            <v:path/>
            <v:fill on="f" focussize="0,0"/>
            <v:stroke on="f" joinstyle="miter"/>
            <v:imagedata r:id="rId11"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pict>
          <v:shape id="_x0000_i1028" o:spt="75" type="#_x0000_t75" style="height:18pt;width:45pt;" filled="f" o:preferrelative="t" stroked="f" coordsize="21600,21600">
            <v:path/>
            <v:fill on="f" focussize="0,0"/>
            <v:stroke on="f" joinstyle="miter"/>
            <v:imagedata r:id="rId13" o:title=""/>
            <o:lock v:ext="edit" aspectratio="t"/>
            <w10:wrap type="none"/>
            <w10:anchorlock/>
          </v:shape>
        </w:pict>
      </w:r>
      <w:r>
        <w:rPr>
          <w:rFonts w:hint="eastAsia"/>
          <w:kern w:val="2"/>
          <w:sz w:val="24"/>
          <w:szCs w:val="22"/>
          <w:lang w:val="en-US"/>
        </w:rPr>
        <w:t>——</w:t>
      </w:r>
      <w:r>
        <w:rPr>
          <w:kern w:val="2"/>
          <w:szCs w:val="21"/>
          <w:lang w:val="en-US"/>
        </w:rPr>
        <w:t>北京时</w:t>
      </w:r>
      <w:r>
        <w:rPr>
          <w:kern w:val="2"/>
          <w:position w:val="-6"/>
          <w:szCs w:val="21"/>
          <w:lang w:val="en-US"/>
        </w:rPr>
        <w:pict>
          <v:shape id="_x0000_i102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pict>
          <v:shape id="_x0000_i1030"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 w:val="24"/>
          <w:szCs w:val="22"/>
          <w:lang w:val="en-US"/>
        </w:rPr>
        <w:t>、</w:t>
      </w:r>
      <w:r>
        <w:rPr>
          <w:kern w:val="2"/>
          <w:position w:val="-12"/>
          <w:sz w:val="24"/>
          <w:szCs w:val="22"/>
          <w:lang w:val="en-US"/>
        </w:rPr>
        <w:pict>
          <v:shape id="_x0000_i1031" o:spt="75" type="#_x0000_t75" style="height:18pt;width:12.75pt;" filled="f" o:preferrelative="t" stroked="f" coordsize="21600,21600">
            <v:path/>
            <v:fill on="f" focussize="0,0"/>
            <v:stroke on="f" joinstyle="miter"/>
            <v:imagedata r:id="rId15" o:title=""/>
            <o:lock v:ext="edit" aspectratio="t"/>
            <w10:wrap type="none"/>
            <w10:anchorlock/>
          </v:shape>
        </w:pict>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pict>
          <v:shape id="_x0000_i1032" o:spt="75" type="#_x0000_t75" style="height:18pt;width:11.25pt;" filled="f" o:preferrelative="t" stroked="f" coordsize="21600,21600">
            <v:path/>
            <v:fill on="f" focussize="0,0"/>
            <v:stroke on="f" joinstyle="miter"/>
            <v:imagedata r:id="rId14" o:title=""/>
            <o:lock v:ext="edit" aspectratio="t"/>
            <w10:wrap type="none"/>
            <w10:anchorlock/>
          </v:shape>
        </w:pict>
      </w:r>
      <w:r>
        <w:rPr>
          <w:rFonts w:hint="eastAsia"/>
          <w:kern w:val="2"/>
          <w:szCs w:val="21"/>
          <w:lang w:val="en-US"/>
        </w:rPr>
        <w:t>~</w:t>
      </w:r>
      <w:r>
        <w:rPr>
          <w:kern w:val="2"/>
          <w:position w:val="-12"/>
          <w:szCs w:val="21"/>
          <w:lang w:val="en-US"/>
        </w:rPr>
        <w:pict>
          <v:shape id="_x0000_i1033" o:spt="75" type="#_x0000_t75" style="height:18pt;width:12.75pt;" filled="f" o:preferrelative="t" stroked="f" coordsize="21600,21600">
            <v:path/>
            <v:fill on="f" focussize="0,0"/>
            <v:stroke on="f" joinstyle="miter"/>
            <v:imagedata r:id="rId15" o:title=""/>
            <o:lock v:ext="edit" aspectratio="t"/>
            <w10:wrap type="none"/>
            <w10:anchorlock/>
          </v:shape>
        </w:pict>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（2）居住区逐时平均空气温度应按下式进行计算：</w:t>
      </w:r>
    </w:p>
    <w:p>
      <w:pPr>
        <w:widowControl w:val="0"/>
        <w:jc w:val="center"/>
        <w:rPr>
          <w:kern w:val="2"/>
          <w:sz w:val="24"/>
          <w:szCs w:val="22"/>
          <w:lang w:val="en-US"/>
        </w:rPr>
      </w:pPr>
      <w:r>
        <w:rPr>
          <w:kern w:val="2"/>
          <w:position w:val="-12"/>
          <w:sz w:val="24"/>
          <w:szCs w:val="22"/>
          <w:lang w:val="en-US"/>
        </w:rPr>
        <w:pict>
          <v:shape id="_x0000_i1034" o:spt="75" type="#_x0000_t75" style="height:20.25pt;width:199.5pt;" filled="f" o:preferrelative="t" stroked="f" coordsize="21600,21600">
            <v:path/>
            <v:fill on="f" focussize="0,0"/>
            <v:stroke on="f" joinstyle="miter"/>
            <v:imagedata r:id="rId16" o:title=""/>
            <o:lock v:ext="edit" aspectratio="t"/>
            <w10:wrap type="none"/>
            <w10:anchorlock/>
          </v:shape>
        </w:pict>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pict>
          <v:shape id="_x0000_i1035" o:spt="75" type="#_x0000_t75" style="height:17.25pt;width:30pt;" filled="f" o:preferrelative="t" stroked="f" coordsize="21600,21600">
            <v:path/>
            <v:fill on="f" focussize="0,0"/>
            <v:stroke on="f" joinstyle="miter"/>
            <v:imagedata r:id="rId17" o:title=""/>
            <o:lock v:ext="edit" aspectratio="t"/>
            <w10:wrap type="none"/>
            <w10:anchorlock/>
          </v:shape>
        </w:pict>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pict>
          <v:shape id="_x0000_i1036" o:spt="75" type="#_x0000_t75" style="height:18pt;width:38.25pt;" filled="f" o:preferrelative="t" stroked="f" coordsize="21600,21600">
            <v:path/>
            <v:fill on="f" focussize="0,0"/>
            <v:stroke on="f" joinstyle="miter"/>
            <v:imagedata r:id="rId18"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7"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pict>
          <v:shape id="_x0000_i1038" o:spt="75" type="#_x0000_t75" style="height:18pt;width:36.75pt;" filled="f" o:preferrelative="t" stroked="f" coordsize="21600,21600">
            <v:path/>
            <v:fill on="f" focussize="0,0"/>
            <v:stroke on="f" joinstyle="miter"/>
            <v:imagedata r:id="rId19"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39"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pict>
          <v:shape id="_x0000_i1040" o:spt="75" type="#_x0000_t75" style="height:18pt;width:36.75pt;" filled="f" o:preferrelative="t" stroked="f" coordsize="21600,21600">
            <v:path/>
            <v:fill on="f" focussize="0,0"/>
            <v:stroke on="f" joinstyle="miter"/>
            <v:imagedata r:id="rId20" o:title=""/>
            <o:lock v:ext="edit" aspectratio="t"/>
            <w10:wrap type="none"/>
            <w10:anchorlock/>
          </v:shape>
        </w:pict>
      </w:r>
      <w:r>
        <w:rPr>
          <w:rFonts w:hint="eastAsia"/>
          <w:kern w:val="2"/>
          <w:sz w:val="24"/>
          <w:szCs w:val="22"/>
          <w:lang w:val="en-US"/>
        </w:rPr>
        <w:t>——</w:t>
      </w:r>
      <w:r>
        <w:rPr>
          <w:kern w:val="2"/>
          <w:position w:val="-6"/>
          <w:sz w:val="24"/>
          <w:szCs w:val="22"/>
          <w:lang w:val="en-US"/>
        </w:rPr>
        <w:pict>
          <v:shape id="_x0000_i1041" o:spt="75" type="#_x0000_t75" style="height:11.25pt;width:9.75pt;" filled="f" o:preferrelative="t" stroked="f" coordsize="21600,21600">
            <v:path/>
            <v:fill on="f" focussize="0,0"/>
            <v:stroke on="f" joinstyle="miter"/>
            <v:imagedata r:id="rId12" o:title=""/>
            <o:lock v:ext="edit" aspectratio="t"/>
            <w10:wrap type="none"/>
            <w10:anchorlock/>
          </v:shape>
        </w:pict>
      </w:r>
      <w:r>
        <w:rPr>
          <w:kern w:val="2"/>
          <w:lang w:val="en-US"/>
        </w:rPr>
        <w:t>时刻蒸发换热引起的本时刻空气干球温度变化量</w:t>
      </w:r>
      <w:r>
        <w:rPr>
          <w:rFonts w:hint="eastAsia"/>
          <w:kern w:val="2"/>
          <w:lang w:val="en-US"/>
        </w:rPr>
        <w:t>（℃），按本标准式（B.0.4-1）的方法计算。</w:t>
      </w:r>
    </w:p>
    <w:p>
      <w:pPr>
        <w:pStyle w:val="2"/>
      </w:pPr>
      <w:bookmarkStart w:id="27" w:name="_Toc11074"/>
      <w:r>
        <w:rPr>
          <w:rFonts w:hint="eastAsia"/>
        </w:rPr>
        <w:t>计算参数</w:t>
      </w:r>
      <w:bookmarkEnd w:id="27"/>
    </w:p>
    <w:p>
      <w:pPr>
        <w:pStyle w:val="4"/>
      </w:pPr>
      <w:bookmarkStart w:id="28" w:name="_Toc8930"/>
      <w:r>
        <w:rPr>
          <w:rFonts w:hint="eastAsia"/>
        </w:rPr>
        <w:t>典型气象日气象参数</w:t>
      </w:r>
      <w:bookmarkEnd w:id="2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18.7</w:t>
            </w:r>
          </w:p>
        </w:tc>
        <w:tc>
          <w:tcPr>
            <w:vAlign w:val="center"/>
          </w:tcPr>
          <w:p>
            <w:pPr>
              <w:jc w:val="center"/>
            </w:pPr>
            <w:r>
              <w:t>88</w:t>
            </w:r>
          </w:p>
        </w:tc>
        <w:tc>
          <w:tcPr>
            <w:vAlign w:val="center"/>
          </w:tcPr>
          <w:p>
            <w:pPr>
              <w:jc w:val="center"/>
            </w:pPr>
            <w:r>
              <w:t>0.00</w:t>
            </w:r>
          </w:p>
        </w:tc>
        <w:tc>
          <w:tcPr>
            <w:vAlign w:val="center"/>
          </w:tcPr>
          <w:p>
            <w:pPr>
              <w:jc w:val="center"/>
            </w:pPr>
            <w:r>
              <w:t>0.00</w:t>
            </w:r>
          </w:p>
        </w:tc>
        <w:tc>
          <w:tcPr>
            <w:vAlign w:val="center"/>
          </w:tcPr>
          <w:p>
            <w:pPr>
              <w:jc w:val="center"/>
            </w:pPr>
            <w:r>
              <w:t>1.4</w:t>
            </w:r>
          </w:p>
        </w:tc>
        <w:tc>
          <w:tcPr>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18.5</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18.3</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18.1</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17.9</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17.8</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1.2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17.7</w:t>
            </w:r>
          </w:p>
        </w:tc>
        <w:tc>
          <w:tcPr>
            <w:vAlign w:val="center"/>
          </w:tcPr>
          <w:p>
            <w:pPr>
              <w:jc w:val="center"/>
            </w:pPr>
            <w:r>
              <w:t>91</w:t>
            </w:r>
          </w:p>
        </w:tc>
        <w:tc>
          <w:tcPr>
            <w:vAlign w:val="center"/>
          </w:tcPr>
          <w:p>
            <w:pPr>
              <w:jc w:val="center"/>
            </w:pPr>
            <w:r>
              <w:t>0.00</w:t>
            </w:r>
          </w:p>
        </w:tc>
        <w:tc>
          <w:tcPr>
            <w:vAlign w:val="center"/>
          </w:tcPr>
          <w:p>
            <w:pPr>
              <w:jc w:val="center"/>
            </w:pPr>
            <w:r>
              <w:t>0.00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17.8</w:t>
            </w:r>
          </w:p>
        </w:tc>
        <w:tc>
          <w:tcPr>
            <w:vAlign w:val="center"/>
          </w:tcPr>
          <w:p>
            <w:pPr>
              <w:jc w:val="center"/>
            </w:pPr>
            <w:r>
              <w:t>91</w:t>
            </w:r>
          </w:p>
        </w:tc>
        <w:tc>
          <w:tcPr>
            <w:vAlign w:val="center"/>
          </w:tcPr>
          <w:p>
            <w:pPr>
              <w:jc w:val="center"/>
            </w:pPr>
            <w:r>
              <w:t>3.00</w:t>
            </w:r>
          </w:p>
        </w:tc>
        <w:tc>
          <w:tcPr>
            <w:vAlign w:val="center"/>
          </w:tcPr>
          <w:p>
            <w:pPr>
              <w:jc w:val="center"/>
            </w:pPr>
            <w:r>
              <w:t>3.00</w:t>
            </w:r>
          </w:p>
        </w:tc>
        <w:tc>
          <w:tcPr>
            <w:vAlign w:val="center"/>
          </w:tcPr>
          <w:p>
            <w:pPr>
              <w:jc w:val="center"/>
            </w:pPr>
            <w:r>
              <w:t>1.3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18.1</w:t>
            </w:r>
          </w:p>
        </w:tc>
        <w:tc>
          <w:tcPr>
            <w:vAlign w:val="center"/>
          </w:tcPr>
          <w:p>
            <w:pPr>
              <w:jc w:val="center"/>
            </w:pPr>
            <w:r>
              <w:t>89</w:t>
            </w:r>
          </w:p>
        </w:tc>
        <w:tc>
          <w:tcPr>
            <w:vAlign w:val="center"/>
          </w:tcPr>
          <w:p>
            <w:pPr>
              <w:jc w:val="center"/>
            </w:pPr>
            <w:r>
              <w:t>105.00</w:t>
            </w:r>
          </w:p>
        </w:tc>
        <w:tc>
          <w:tcPr>
            <w:vAlign w:val="center"/>
          </w:tcPr>
          <w:p>
            <w:pPr>
              <w:jc w:val="center"/>
            </w:pPr>
            <w:r>
              <w:t>89.00</w:t>
            </w:r>
          </w:p>
        </w:tc>
        <w:tc>
          <w:tcPr>
            <w:vAlign w:val="center"/>
          </w:tcPr>
          <w:p>
            <w:pPr>
              <w:jc w:val="center"/>
            </w:pPr>
            <w:r>
              <w:t>1.4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18.9</w:t>
            </w:r>
          </w:p>
        </w:tc>
        <w:tc>
          <w:tcPr>
            <w:vAlign w:val="center"/>
          </w:tcPr>
          <w:p>
            <w:pPr>
              <w:jc w:val="center"/>
            </w:pPr>
            <w:r>
              <w:t>85</w:t>
            </w:r>
          </w:p>
        </w:tc>
        <w:tc>
          <w:tcPr>
            <w:vAlign w:val="center"/>
          </w:tcPr>
          <w:p>
            <w:pPr>
              <w:jc w:val="center"/>
            </w:pPr>
            <w:r>
              <w:t>234.00</w:t>
            </w:r>
          </w:p>
        </w:tc>
        <w:tc>
          <w:tcPr>
            <w:vAlign w:val="center"/>
          </w:tcPr>
          <w:p>
            <w:pPr>
              <w:jc w:val="center"/>
            </w:pPr>
            <w:r>
              <w:t>189.00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19.7</w:t>
            </w:r>
          </w:p>
        </w:tc>
        <w:tc>
          <w:tcPr>
            <w:vAlign w:val="center"/>
          </w:tcPr>
          <w:p>
            <w:pPr>
              <w:jc w:val="center"/>
            </w:pPr>
            <w:r>
              <w:t>81</w:t>
            </w:r>
          </w:p>
        </w:tc>
        <w:tc>
          <w:tcPr>
            <w:vAlign w:val="center"/>
          </w:tcPr>
          <w:p>
            <w:pPr>
              <w:jc w:val="center"/>
            </w:pPr>
            <w:r>
              <w:t>358.00</w:t>
            </w:r>
          </w:p>
        </w:tc>
        <w:tc>
          <w:tcPr>
            <w:vAlign w:val="center"/>
          </w:tcPr>
          <w:p>
            <w:pPr>
              <w:jc w:val="center"/>
            </w:pPr>
            <w:r>
              <w:t>275.00</w:t>
            </w:r>
          </w:p>
        </w:tc>
        <w:tc>
          <w:tcPr>
            <w:vAlign w:val="center"/>
          </w:tcPr>
          <w:p>
            <w:pPr>
              <w:jc w:val="center"/>
            </w:pPr>
            <w:r>
              <w:t>2.1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20.6</w:t>
            </w:r>
          </w:p>
        </w:tc>
        <w:tc>
          <w:tcPr>
            <w:vAlign w:val="center"/>
          </w:tcPr>
          <w:p>
            <w:pPr>
              <w:jc w:val="center"/>
            </w:pPr>
            <w:r>
              <w:t>78</w:t>
            </w:r>
          </w:p>
        </w:tc>
        <w:tc>
          <w:tcPr>
            <w:vAlign w:val="center"/>
          </w:tcPr>
          <w:p>
            <w:pPr>
              <w:jc w:val="center"/>
            </w:pPr>
            <w:r>
              <w:t>476.00</w:t>
            </w:r>
          </w:p>
        </w:tc>
        <w:tc>
          <w:tcPr>
            <w:vAlign w:val="center"/>
          </w:tcPr>
          <w:p>
            <w:pPr>
              <w:jc w:val="center"/>
            </w:pPr>
            <w:r>
              <w:t>349.00</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21.3</w:t>
            </w:r>
          </w:p>
        </w:tc>
        <w:tc>
          <w:tcPr>
            <w:vAlign w:val="center"/>
          </w:tcPr>
          <w:p>
            <w:pPr>
              <w:jc w:val="center"/>
            </w:pPr>
            <w:r>
              <w:t>75</w:t>
            </w:r>
          </w:p>
        </w:tc>
        <w:tc>
          <w:tcPr>
            <w:vAlign w:val="center"/>
          </w:tcPr>
          <w:p>
            <w:pPr>
              <w:jc w:val="center"/>
            </w:pPr>
            <w:r>
              <w:t>535.00</w:t>
            </w:r>
          </w:p>
        </w:tc>
        <w:tc>
          <w:tcPr>
            <w:vAlign w:val="center"/>
          </w:tcPr>
          <w:p>
            <w:pPr>
              <w:jc w:val="center"/>
            </w:pPr>
            <w:r>
              <w:t>396.00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21.8</w:t>
            </w:r>
          </w:p>
        </w:tc>
        <w:tc>
          <w:tcPr>
            <w:vAlign w:val="center"/>
          </w:tcPr>
          <w:p>
            <w:pPr>
              <w:jc w:val="center"/>
            </w:pPr>
            <w:r>
              <w:t>74</w:t>
            </w:r>
          </w:p>
        </w:tc>
        <w:tc>
          <w:tcPr>
            <w:vAlign w:val="center"/>
          </w:tcPr>
          <w:p>
            <w:pPr>
              <w:jc w:val="center"/>
            </w:pPr>
            <w:r>
              <w:t>531.00</w:t>
            </w:r>
          </w:p>
        </w:tc>
        <w:tc>
          <w:tcPr>
            <w:vAlign w:val="center"/>
          </w:tcPr>
          <w:p>
            <w:pPr>
              <w:jc w:val="center"/>
            </w:pPr>
            <w:r>
              <w:t>408.00</w:t>
            </w:r>
          </w:p>
        </w:tc>
        <w:tc>
          <w:tcPr>
            <w:vAlign w:val="center"/>
          </w:tcPr>
          <w:p>
            <w:pPr>
              <w:jc w:val="center"/>
            </w:pPr>
            <w:r>
              <w:t>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22.1</w:t>
            </w:r>
          </w:p>
        </w:tc>
        <w:tc>
          <w:tcPr>
            <w:vAlign w:val="center"/>
          </w:tcPr>
          <w:p>
            <w:pPr>
              <w:jc w:val="center"/>
            </w:pPr>
            <w:r>
              <w:t>73</w:t>
            </w:r>
          </w:p>
        </w:tc>
        <w:tc>
          <w:tcPr>
            <w:vAlign w:val="center"/>
          </w:tcPr>
          <w:p>
            <w:pPr>
              <w:jc w:val="center"/>
            </w:pPr>
            <w:r>
              <w:t>523.00</w:t>
            </w:r>
          </w:p>
        </w:tc>
        <w:tc>
          <w:tcPr>
            <w:vAlign w:val="center"/>
          </w:tcPr>
          <w:p>
            <w:pPr>
              <w:jc w:val="center"/>
            </w:pPr>
            <w:r>
              <w:t>401.00</w:t>
            </w:r>
          </w:p>
        </w:tc>
        <w:tc>
          <w:tcPr>
            <w:vAlign w:val="center"/>
          </w:tcPr>
          <w:p>
            <w:pPr>
              <w:jc w:val="center"/>
            </w:pPr>
            <w:r>
              <w:t>2.9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22.4</w:t>
            </w:r>
          </w:p>
        </w:tc>
        <w:tc>
          <w:tcPr>
            <w:vAlign w:val="center"/>
          </w:tcPr>
          <w:p>
            <w:pPr>
              <w:jc w:val="center"/>
            </w:pPr>
            <w:r>
              <w:t>72</w:t>
            </w:r>
          </w:p>
        </w:tc>
        <w:tc>
          <w:tcPr>
            <w:vAlign w:val="center"/>
          </w:tcPr>
          <w:p>
            <w:pPr>
              <w:jc w:val="center"/>
            </w:pPr>
            <w:r>
              <w:t>458.00</w:t>
            </w:r>
          </w:p>
        </w:tc>
        <w:tc>
          <w:tcPr>
            <w:vAlign w:val="center"/>
          </w:tcPr>
          <w:p>
            <w:pPr>
              <w:jc w:val="center"/>
            </w:pPr>
            <w:r>
              <w:t>364.00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22.5</w:t>
            </w:r>
          </w:p>
        </w:tc>
        <w:tc>
          <w:tcPr>
            <w:vAlign w:val="center"/>
          </w:tcPr>
          <w:p>
            <w:pPr>
              <w:jc w:val="center"/>
            </w:pPr>
            <w:r>
              <w:t>71</w:t>
            </w:r>
          </w:p>
        </w:tc>
        <w:tc>
          <w:tcPr>
            <w:vAlign w:val="center"/>
          </w:tcPr>
          <w:p>
            <w:pPr>
              <w:jc w:val="center"/>
            </w:pPr>
            <w:r>
              <w:t>365.00</w:t>
            </w:r>
          </w:p>
        </w:tc>
        <w:tc>
          <w:tcPr>
            <w:vAlign w:val="center"/>
          </w:tcPr>
          <w:p>
            <w:pPr>
              <w:jc w:val="center"/>
            </w:pPr>
            <w:r>
              <w:t>291.00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22.4</w:t>
            </w:r>
          </w:p>
        </w:tc>
        <w:tc>
          <w:tcPr>
            <w:vAlign w:val="center"/>
          </w:tcPr>
          <w:p>
            <w:pPr>
              <w:jc w:val="center"/>
            </w:pPr>
            <w:r>
              <w:t>72</w:t>
            </w:r>
          </w:p>
        </w:tc>
        <w:tc>
          <w:tcPr>
            <w:vAlign w:val="center"/>
          </w:tcPr>
          <w:p>
            <w:pPr>
              <w:jc w:val="center"/>
            </w:pPr>
            <w:r>
              <w:t>274.00</w:t>
            </w:r>
          </w:p>
        </w:tc>
        <w:tc>
          <w:tcPr>
            <w:vAlign w:val="center"/>
          </w:tcPr>
          <w:p>
            <w:pPr>
              <w:jc w:val="center"/>
            </w:pPr>
            <w:r>
              <w:t>215.00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21.9</w:t>
            </w:r>
          </w:p>
        </w:tc>
        <w:tc>
          <w:tcPr>
            <w:vAlign w:val="center"/>
          </w:tcPr>
          <w:p>
            <w:pPr>
              <w:jc w:val="center"/>
            </w:pPr>
            <w:r>
              <w:t>74</w:t>
            </w:r>
          </w:p>
        </w:tc>
        <w:tc>
          <w:tcPr>
            <w:vAlign w:val="center"/>
          </w:tcPr>
          <w:p>
            <w:pPr>
              <w:jc w:val="center"/>
            </w:pPr>
            <w:r>
              <w:t>151.00</w:t>
            </w:r>
          </w:p>
        </w:tc>
        <w:tc>
          <w:tcPr>
            <w:vAlign w:val="center"/>
          </w:tcPr>
          <w:p>
            <w:pPr>
              <w:jc w:val="center"/>
            </w:pPr>
            <w:r>
              <w:t>127.00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21.2</w:t>
            </w:r>
          </w:p>
        </w:tc>
        <w:tc>
          <w:tcPr>
            <w:vAlign w:val="center"/>
          </w:tcPr>
          <w:p>
            <w:pPr>
              <w:jc w:val="center"/>
            </w:pPr>
            <w:r>
              <w:t>77</w:t>
            </w:r>
          </w:p>
        </w:tc>
        <w:tc>
          <w:tcPr>
            <w:vAlign w:val="center"/>
          </w:tcPr>
          <w:p>
            <w:pPr>
              <w:jc w:val="center"/>
            </w:pPr>
            <w:r>
              <w:t>35.00</w:t>
            </w:r>
          </w:p>
        </w:tc>
        <w:tc>
          <w:tcPr>
            <w:vAlign w:val="center"/>
          </w:tcPr>
          <w:p>
            <w:pPr>
              <w:jc w:val="center"/>
            </w:pPr>
            <w:r>
              <w:t>32.00</w:t>
            </w:r>
          </w:p>
        </w:tc>
        <w:tc>
          <w:tcPr>
            <w:vAlign w:val="center"/>
          </w:tcPr>
          <w:p>
            <w:pPr>
              <w:jc w:val="center"/>
            </w:pPr>
            <w:r>
              <w:t>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20.5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1.9</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19.8</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19.3</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19.0</w:t>
            </w:r>
          </w:p>
        </w:tc>
        <w:tc>
          <w:tcPr>
            <w:vAlign w:val="center"/>
          </w:tcPr>
          <w:p>
            <w:pPr>
              <w:jc w:val="center"/>
            </w:pPr>
            <w:r>
              <w:t>87</w:t>
            </w:r>
          </w:p>
        </w:tc>
        <w:tc>
          <w:tcPr>
            <w:vAlign w:val="center"/>
          </w:tcPr>
          <w:p>
            <w:pPr>
              <w:jc w:val="center"/>
            </w:pPr>
            <w:r>
              <w:t>0.00</w:t>
            </w:r>
          </w:p>
        </w:tc>
        <w:tc>
          <w:tcPr>
            <w:vAlign w:val="center"/>
          </w:tcPr>
          <w:p>
            <w:pPr>
              <w:jc w:val="center"/>
            </w:pPr>
            <w:r>
              <w:t>0.00</w:t>
            </w:r>
          </w:p>
        </w:tc>
        <w:tc>
          <w:tcPr>
            <w:vAlign w:val="center"/>
          </w:tcPr>
          <w:p>
            <w:pPr>
              <w:jc w:val="center"/>
            </w:pPr>
            <w:r>
              <w:t>1.5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19.8</w:t>
            </w:r>
          </w:p>
        </w:tc>
        <w:tc>
          <w:tcPr>
            <w:vAlign w:val="center"/>
          </w:tcPr>
          <w:p>
            <w:pPr>
              <w:jc w:val="center"/>
            </w:pPr>
            <w:r>
              <w:t>82</w:t>
            </w:r>
          </w:p>
        </w:tc>
        <w:tc>
          <w:tcPr>
            <w:vAlign w:val="center"/>
          </w:tcPr>
          <w:p>
            <w:pPr>
              <w:jc w:val="center"/>
            </w:pPr>
            <w:r>
              <w:t>168.67</w:t>
            </w:r>
          </w:p>
        </w:tc>
        <w:tc>
          <w:tcPr>
            <w:vAlign w:val="center"/>
          </w:tcPr>
          <w:p>
            <w:pPr>
              <w:jc w:val="center"/>
            </w:pPr>
            <w:r>
              <w:t>130.79</w:t>
            </w:r>
          </w:p>
        </w:tc>
        <w:tc>
          <w:tcPr>
            <w:vAlign w:val="center"/>
          </w:tcPr>
          <w:p>
            <w:pPr>
              <w:jc w:val="center"/>
            </w:pPr>
            <w:r>
              <w:t>2.0</w:t>
            </w:r>
          </w:p>
        </w:tc>
        <w:tc>
          <w:tcPr>
            <w:vMerge w:val="continue"/>
            <w:vAlign w:val="center"/>
          </w:tcPr>
          <w:p>
            <w:pPr>
              <w:jc w:val="center"/>
            </w:pPr>
          </w:p>
        </w:tc>
      </w:tr>
    </w:tbl>
    <w:p>
      <w:pPr>
        <w:pStyle w:val="3"/>
        <w:ind w:firstLine="0" w:firstLineChars="0"/>
        <w:rPr>
          <w:lang w:val="en-US"/>
        </w:rPr>
      </w:pPr>
      <w:bookmarkStart w:id="29" w:name="气象参数"/>
      <w:bookmarkEnd w:id="29"/>
    </w:p>
    <w:p>
      <w:pPr>
        <w:pStyle w:val="4"/>
      </w:pPr>
      <w:bookmarkStart w:id="30" w:name="_Toc10559"/>
      <w:r>
        <w:rPr>
          <w:rFonts w:hint="eastAsia"/>
        </w:rPr>
        <w:t>渗透面夏季逐时蒸发量</w:t>
      </w:r>
      <w:bookmarkEnd w:id="3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pPr>
        <w:pStyle w:val="3"/>
        <w:ind w:firstLine="0" w:firstLineChars="0"/>
        <w:rPr>
          <w:lang w:val="en-US"/>
        </w:rPr>
      </w:pPr>
      <w:bookmarkStart w:id="31" w:name="蒸发量参数"/>
      <w:bookmarkEnd w:id="31"/>
    </w:p>
    <w:p>
      <w:pPr>
        <w:pStyle w:val="2"/>
      </w:pPr>
      <w:bookmarkStart w:id="32" w:name="_Toc30048"/>
      <w:r>
        <w:rPr>
          <w:rFonts w:hint="eastAsia"/>
        </w:rPr>
        <w:t>指标概览</w:t>
      </w:r>
      <w:bookmarkEnd w:id="32"/>
    </w:p>
    <w:p>
      <w:pPr>
        <w:pStyle w:val="4"/>
      </w:pPr>
      <w:bookmarkStart w:id="33" w:name="_Toc16003"/>
      <w:r>
        <w:rPr>
          <w:rFonts w:hint="eastAsia"/>
        </w:rPr>
        <w:t>建筑列表</w:t>
      </w:r>
      <w:bookmarkEnd w:id="3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基底面积(㎡)</w:t>
            </w:r>
          </w:p>
        </w:tc>
        <w:tc>
          <w:tcPr>
            <w:shd w:val="clear" w:color="auto" w:fill="E6E6E6"/>
            <w:vAlign w:val="center"/>
          </w:tcPr>
          <w:p>
            <w:pPr>
              <w:jc w:val="center"/>
            </w:pPr>
            <w:r>
              <w:t>建筑高度(m)</w:t>
            </w:r>
          </w:p>
        </w:tc>
        <w:tc>
          <w:tcPr>
            <w:shd w:val="clear" w:color="auto" w:fill="E6E6E6"/>
            <w:vAlign w:val="center"/>
          </w:tcPr>
          <w:p>
            <w:pPr>
              <w:jc w:val="center"/>
            </w:pPr>
            <w:r>
              <w:t>屋顶绿化</w:t>
            </w:r>
            <w:r>
              <w:br w:type="textWrapping"/>
            </w:r>
            <w:r>
              <w:t>面积(㎡)</w:t>
            </w:r>
          </w:p>
        </w:tc>
        <w:tc>
          <w:tcPr>
            <w:shd w:val="clear" w:color="auto" w:fill="E6E6E6"/>
            <w:vAlign w:val="center"/>
          </w:tcPr>
          <w:p>
            <w:pPr>
              <w:jc w:val="center"/>
            </w:pPr>
            <w:r>
              <w:t>迎风面积比</w:t>
            </w:r>
          </w:p>
        </w:tc>
        <w:tc>
          <w:tcPr>
            <w:shd w:val="clear" w:color="auto" w:fill="E6E6E6"/>
            <w:vAlign w:val="center"/>
          </w:tcPr>
          <w:p>
            <w:pPr>
              <w:jc w:val="center"/>
            </w:pPr>
            <w:r>
              <w:t>通风架空率(%)</w:t>
            </w:r>
          </w:p>
        </w:tc>
      </w:tr>
    </w:tbl>
    <w:p>
      <w:pPr>
        <w:pStyle w:val="3"/>
        <w:ind w:firstLine="420"/>
        <w:rPr>
          <w:lang w:val="en-US"/>
        </w:rPr>
      </w:pPr>
      <w:bookmarkStart w:id="34" w:name="建筑列表"/>
      <w:bookmarkEnd w:id="34"/>
    </w:p>
    <w:p>
      <w:pPr>
        <w:pStyle w:val="4"/>
      </w:pPr>
      <w:bookmarkStart w:id="35" w:name="_Toc14586"/>
      <w:r>
        <w:rPr>
          <w:rFonts w:hint="eastAsia"/>
        </w:rPr>
        <w:t>住区指标</w:t>
      </w:r>
      <w:bookmarkEnd w:id="3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2416.19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1148.10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10.03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6" w:name="住区指标概览"/>
      <w:bookmarkEnd w:id="36"/>
    </w:p>
    <w:p>
      <w:pPr>
        <w:pStyle w:val="2"/>
      </w:pPr>
      <w:bookmarkStart w:id="37" w:name="_Toc27808"/>
      <w:r>
        <w:rPr>
          <w:rFonts w:hint="eastAsia"/>
        </w:rPr>
        <w:t>计算结果</w:t>
      </w:r>
      <w:bookmarkEnd w:id="3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9:00</w:t>
            </w:r>
          </w:p>
        </w:tc>
        <w:tc>
          <w:tcPr>
            <w:vAlign w:val="center"/>
          </w:tcPr>
          <w:p>
            <w:r>
              <w:t>19.8</w:t>
            </w:r>
          </w:p>
        </w:tc>
        <w:tc>
          <w:tcPr>
            <w:vAlign w:val="center"/>
          </w:tcPr>
          <w:p>
            <w:r>
              <w:t>0.0</w:t>
            </w:r>
          </w:p>
        </w:tc>
        <w:tc>
          <w:tcPr>
            <w:vAlign w:val="center"/>
          </w:tcPr>
          <w:p>
            <w:r>
              <w:t>3.5</w:t>
            </w:r>
          </w:p>
        </w:tc>
        <w:tc>
          <w:tcPr>
            <w:vAlign w:val="center"/>
          </w:tcPr>
          <w:p>
            <w:r>
              <w:t>0.0</w:t>
            </w:r>
          </w:p>
        </w:tc>
        <w:tc>
          <w:tcPr>
            <w:vAlign w:val="center"/>
          </w:tcPr>
          <w:p>
            <w:r>
              <w:t>16.3</w:t>
            </w:r>
          </w:p>
        </w:tc>
        <w:tc>
          <w:tcPr>
            <w:vAlign w:val="center"/>
          </w:tcPr>
          <w:p>
            <w:r>
              <w:t>18.9</w:t>
            </w:r>
          </w:p>
        </w:tc>
        <w:tc>
          <w:tcPr>
            <w:vAlign w:val="center"/>
          </w:tcPr>
          <w:p>
            <w:r>
              <w:t>-2.568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19.8</w:t>
            </w:r>
          </w:p>
        </w:tc>
        <w:tc>
          <w:tcPr>
            <w:vAlign w:val="center"/>
          </w:tcPr>
          <w:p>
            <w:r>
              <w:t>0.0</w:t>
            </w:r>
          </w:p>
        </w:tc>
        <w:tc>
          <w:tcPr>
            <w:vAlign w:val="center"/>
          </w:tcPr>
          <w:p>
            <w:r>
              <w:t>3.4</w:t>
            </w:r>
          </w:p>
        </w:tc>
        <w:tc>
          <w:tcPr>
            <w:vAlign w:val="center"/>
          </w:tcPr>
          <w:p>
            <w:r>
              <w:t>0.0</w:t>
            </w:r>
          </w:p>
        </w:tc>
        <w:tc>
          <w:tcPr>
            <w:vAlign w:val="center"/>
          </w:tcPr>
          <w:p>
            <w:r>
              <w:t>16.5</w:t>
            </w:r>
          </w:p>
        </w:tc>
        <w:tc>
          <w:tcPr>
            <w:vAlign w:val="center"/>
          </w:tcPr>
          <w:p>
            <w:r>
              <w:t>19.7</w:t>
            </w:r>
          </w:p>
        </w:tc>
        <w:tc>
          <w:tcPr>
            <w:vAlign w:val="center"/>
          </w:tcPr>
          <w:p>
            <w:r>
              <w:t>-3.243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16.6</w:t>
            </w:r>
          </w:p>
        </w:tc>
        <w:tc>
          <w:tcPr>
            <w:vAlign w:val="center"/>
          </w:tcPr>
          <w:p>
            <w:r>
              <w:t>20.6</w:t>
            </w:r>
          </w:p>
        </w:tc>
        <w:tc>
          <w:tcPr>
            <w:vAlign w:val="center"/>
          </w:tcPr>
          <w:p>
            <w:r>
              <w:t>-4.004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16.6</w:t>
            </w:r>
          </w:p>
        </w:tc>
        <w:tc>
          <w:tcPr>
            <w:vAlign w:val="center"/>
          </w:tcPr>
          <w:p>
            <w:r>
              <w:t>21.3</w:t>
            </w:r>
          </w:p>
        </w:tc>
        <w:tc>
          <w:tcPr>
            <w:vAlign w:val="center"/>
          </w:tcPr>
          <w:p>
            <w:r>
              <w:t>-4.658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16.7</w:t>
            </w:r>
          </w:p>
        </w:tc>
        <w:tc>
          <w:tcPr>
            <w:vAlign w:val="center"/>
          </w:tcPr>
          <w:p>
            <w:r>
              <w:t>21.8</w:t>
            </w:r>
          </w:p>
        </w:tc>
        <w:tc>
          <w:tcPr>
            <w:vAlign w:val="center"/>
          </w:tcPr>
          <w:p>
            <w:r>
              <w:t>-5.115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22.1</w:t>
            </w:r>
          </w:p>
        </w:tc>
        <w:tc>
          <w:tcPr>
            <w:vAlign w:val="center"/>
          </w:tcPr>
          <w:p>
            <w:r>
              <w:t>-5.387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22.4</w:t>
            </w:r>
          </w:p>
        </w:tc>
        <w:tc>
          <w:tcPr>
            <w:vAlign w:val="center"/>
          </w:tcPr>
          <w:p>
            <w:r>
              <w:t>-5.659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22.5</w:t>
            </w:r>
          </w:p>
        </w:tc>
        <w:tc>
          <w:tcPr>
            <w:vAlign w:val="center"/>
          </w:tcPr>
          <w:p>
            <w:r>
              <w:t>-5.777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19.8</w:t>
            </w:r>
          </w:p>
        </w:tc>
        <w:tc>
          <w:tcPr>
            <w:vAlign w:val="center"/>
          </w:tcPr>
          <w:p>
            <w:r>
              <w:t>0.0</w:t>
            </w:r>
          </w:p>
        </w:tc>
        <w:tc>
          <w:tcPr>
            <w:vAlign w:val="center"/>
          </w:tcPr>
          <w:p>
            <w:r>
              <w:t>3.1</w:t>
            </w:r>
          </w:p>
        </w:tc>
        <w:tc>
          <w:tcPr>
            <w:vAlign w:val="center"/>
          </w:tcPr>
          <w:p>
            <w:r>
              <w:t>0.0</w:t>
            </w:r>
          </w:p>
        </w:tc>
        <w:tc>
          <w:tcPr>
            <w:vAlign w:val="center"/>
          </w:tcPr>
          <w:p>
            <w:r>
              <w:t>16.7</w:t>
            </w:r>
          </w:p>
        </w:tc>
        <w:tc>
          <w:tcPr>
            <w:vAlign w:val="center"/>
          </w:tcPr>
          <w:p>
            <w:r>
              <w:t>22.4</w:t>
            </w:r>
          </w:p>
        </w:tc>
        <w:tc>
          <w:tcPr>
            <w:vAlign w:val="center"/>
          </w:tcPr>
          <w:p>
            <w:r>
              <w:t>-5.659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19.8</w:t>
            </w:r>
          </w:p>
        </w:tc>
        <w:tc>
          <w:tcPr>
            <w:vAlign w:val="center"/>
          </w:tcPr>
          <w:p>
            <w:r>
              <w:t>0.0</w:t>
            </w:r>
          </w:p>
        </w:tc>
        <w:tc>
          <w:tcPr>
            <w:vAlign w:val="center"/>
          </w:tcPr>
          <w:p>
            <w:r>
              <w:t>3.2</w:t>
            </w:r>
          </w:p>
        </w:tc>
        <w:tc>
          <w:tcPr>
            <w:vAlign w:val="center"/>
          </w:tcPr>
          <w:p>
            <w:r>
              <w:t>0.0</w:t>
            </w:r>
          </w:p>
        </w:tc>
        <w:tc>
          <w:tcPr>
            <w:vAlign w:val="center"/>
          </w:tcPr>
          <w:p>
            <w:r>
              <w:t>16.7</w:t>
            </w:r>
          </w:p>
        </w:tc>
        <w:tc>
          <w:tcPr>
            <w:vAlign w:val="center"/>
          </w:tcPr>
          <w:p>
            <w:r>
              <w:t>21.9</w:t>
            </w:r>
          </w:p>
        </w:tc>
        <w:tc>
          <w:tcPr>
            <w:vAlign w:val="center"/>
          </w:tcPr>
          <w:p>
            <w:r>
              <w:t>-5.242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19.8</w:t>
            </w:r>
          </w:p>
        </w:tc>
        <w:tc>
          <w:tcPr>
            <w:vAlign w:val="center"/>
          </w:tcPr>
          <w:p>
            <w:r>
              <w:t>0.0</w:t>
            </w:r>
          </w:p>
        </w:tc>
        <w:tc>
          <w:tcPr>
            <w:vAlign w:val="center"/>
          </w:tcPr>
          <w:p>
            <w:r>
              <w:t>3.3</w:t>
            </w:r>
          </w:p>
        </w:tc>
        <w:tc>
          <w:tcPr>
            <w:vAlign w:val="center"/>
          </w:tcPr>
          <w:p>
            <w:r>
              <w:t>0.0</w:t>
            </w:r>
          </w:p>
        </w:tc>
        <w:tc>
          <w:tcPr>
            <w:vAlign w:val="center"/>
          </w:tcPr>
          <w:p>
            <w:r>
              <w:t>16.6</w:t>
            </w:r>
          </w:p>
        </w:tc>
        <w:tc>
          <w:tcPr>
            <w:vAlign w:val="center"/>
          </w:tcPr>
          <w:p>
            <w:r>
              <w:t>21.2</w:t>
            </w:r>
          </w:p>
        </w:tc>
        <w:tc>
          <w:tcPr>
            <w:vAlign w:val="center"/>
          </w:tcPr>
          <w:p>
            <w:r>
              <w:t>-4.621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-4.72</w:t>
            </w:r>
          </w:p>
        </w:tc>
      </w:tr>
    </w:tbl>
    <w:p>
      <w:pPr>
        <w:pStyle w:val="3"/>
        <w:ind w:firstLine="420"/>
        <w:rPr>
          <w:lang w:val="en-US"/>
        </w:rPr>
      </w:pPr>
      <w:bookmarkStart w:id="38" w:name="平均热岛强度"/>
      <w:bookmarkEnd w:id="38"/>
    </w:p>
    <w:p>
      <w:pPr>
        <w:pStyle w:val="3"/>
        <w:ind w:firstLine="0" w:firstLineChars="0"/>
        <w:rPr>
          <w:lang w:val="en-US"/>
        </w:rPr>
      </w:pPr>
      <w:bookmarkStart w:id="39" w:name="平均热岛强度图片"/>
      <w:bookmarkEnd w:id="39"/>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5</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6A5C83"/>
    <w:rsid w:val="0000545C"/>
    <w:rsid w:val="0001409C"/>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 w:val="2B6A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uiPriority w:val="0"/>
  </w:style>
  <w:style w:type="character" w:styleId="22">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image" Target="media/image9.wmf"/><Relationship Id="rId13" Type="http://schemas.openxmlformats.org/officeDocument/2006/relationships/image" Target="media/image8.wmf"/><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8</Pages>
  <Words>1493</Words>
  <Characters>2662</Characters>
  <Lines>12</Lines>
  <Paragraphs>3</Paragraphs>
  <TotalTime>1</TotalTime>
  <ScaleCrop>false</ScaleCrop>
  <LinksUpToDate>false</LinksUpToDate>
  <CharactersWithSpaces>2696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2021-01-04T12:36:00Z</dcterms:created>
  <dc:creator>张</dc:creator>
  <cp:lastModifiedBy>张</cp:lastModifiedBy>
  <dcterms:modified xsi:type="dcterms:W3CDTF">2021-01-04T12:37:54Z</dcterms:modified>
  <dc:title>住区热岛强度报告书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