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昆明</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T18532008623</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58" w:name="_GoBack"/>
      <w:bookmarkEnd w:id="58"/>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_Toc27131 </w:instrText>
      </w:r>
      <w:r>
        <w:rPr>
          <w:rFonts w:ascii="宋体" w:hAnsi="宋体"/>
          <w:bCs w:val="0"/>
          <w:caps/>
        </w:rPr>
        <w:fldChar w:fldCharType="separate"/>
      </w:r>
      <w:r>
        <w:rPr>
          <w:rFonts w:hint="eastAsia"/>
        </w:rPr>
        <w:t>1 住区概况</w:t>
      </w:r>
      <w:r>
        <w:tab/>
      </w:r>
      <w:r>
        <w:fldChar w:fldCharType="begin"/>
      </w:r>
      <w:r>
        <w:instrText xml:space="preserve"> PAGEREF _Toc27131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_Toc11501 </w:instrText>
      </w:r>
      <w:r>
        <w:fldChar w:fldCharType="separate"/>
      </w:r>
      <w:r>
        <w:rPr>
          <w:rFonts w:hint="eastAsia"/>
        </w:rPr>
        <w:t>2 设计依据</w:t>
      </w:r>
      <w:r>
        <w:tab/>
      </w:r>
      <w:r>
        <w:fldChar w:fldCharType="begin"/>
      </w:r>
      <w:r>
        <w:instrText xml:space="preserve"> PAGEREF _Toc11501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_Toc903 </w:instrText>
      </w:r>
      <w:r>
        <w:fldChar w:fldCharType="separate"/>
      </w:r>
      <w:r>
        <w:rPr>
          <w:rFonts w:hint="eastAsia"/>
        </w:rPr>
        <w:t>3 计算规定</w:t>
      </w:r>
      <w:r>
        <w:tab/>
      </w:r>
      <w:r>
        <w:fldChar w:fldCharType="begin"/>
      </w:r>
      <w:r>
        <w:instrText xml:space="preserve"> PAGEREF _Toc903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_Toc23578 </w:instrText>
      </w:r>
      <w:r>
        <w:fldChar w:fldCharType="separate"/>
      </w:r>
      <w:r>
        <w:rPr>
          <w:rFonts w:hint="eastAsia"/>
          <w:lang w:val="en-GB"/>
        </w:rPr>
        <w:t xml:space="preserve">3.1 </w:t>
      </w:r>
      <w:r>
        <w:rPr>
          <w:rFonts w:hint="eastAsia"/>
        </w:rPr>
        <w:t>强制条文</w:t>
      </w:r>
      <w:r>
        <w:tab/>
      </w:r>
      <w:r>
        <w:fldChar w:fldCharType="begin"/>
      </w:r>
      <w:r>
        <w:instrText xml:space="preserve"> PAGEREF _Toc23578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_Toc19753 </w:instrText>
      </w:r>
      <w:r>
        <w:fldChar w:fldCharType="separate"/>
      </w:r>
      <w:r>
        <w:rPr>
          <w:rFonts w:hint="eastAsia"/>
          <w:lang w:val="en-GB"/>
        </w:rPr>
        <w:t xml:space="preserve">3.2 </w:t>
      </w:r>
      <w:r>
        <w:rPr>
          <w:rFonts w:hint="eastAsia"/>
        </w:rPr>
        <w:t>规定性设计</w:t>
      </w:r>
      <w:r>
        <w:tab/>
      </w:r>
      <w:r>
        <w:fldChar w:fldCharType="begin"/>
      </w:r>
      <w:r>
        <w:instrText xml:space="preserve"> PAGEREF _Toc19753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_Toc6618 </w:instrText>
      </w:r>
      <w:r>
        <w:fldChar w:fldCharType="separate"/>
      </w:r>
      <w:r>
        <w:rPr>
          <w:rFonts w:hint="eastAsia"/>
          <w:lang w:val="en-GB"/>
        </w:rPr>
        <w:t xml:space="preserve">3.3 </w:t>
      </w:r>
      <w:r>
        <w:rPr>
          <w:rFonts w:hint="eastAsia"/>
        </w:rPr>
        <w:t>评价性设计</w:t>
      </w:r>
      <w:r>
        <w:tab/>
      </w:r>
      <w:r>
        <w:fldChar w:fldCharType="begin"/>
      </w:r>
      <w:r>
        <w:instrText xml:space="preserve"> PAGEREF _Toc6618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_Toc25504 </w:instrText>
      </w:r>
      <w:r>
        <w:fldChar w:fldCharType="separate"/>
      </w:r>
      <w:r>
        <w:rPr>
          <w:rFonts w:hint="eastAsia"/>
        </w:rPr>
        <w:t>4 计算参数</w:t>
      </w:r>
      <w:r>
        <w:tab/>
      </w:r>
      <w:r>
        <w:fldChar w:fldCharType="begin"/>
      </w:r>
      <w:r>
        <w:instrText xml:space="preserve"> PAGEREF _Toc25504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_Toc2164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_Toc2164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_Toc7797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_Toc7797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_Toc28198 </w:instrText>
      </w:r>
      <w:r>
        <w:fldChar w:fldCharType="separate"/>
      </w:r>
      <w:r>
        <w:rPr>
          <w:rFonts w:hint="eastAsia"/>
        </w:rPr>
        <w:t>5 住区指标概览</w:t>
      </w:r>
      <w:r>
        <w:tab/>
      </w:r>
      <w:r>
        <w:fldChar w:fldCharType="begin"/>
      </w:r>
      <w:r>
        <w:instrText xml:space="preserve"> PAGEREF _Toc28198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_Toc11363 </w:instrText>
      </w:r>
      <w:r>
        <w:fldChar w:fldCharType="separate"/>
      </w:r>
      <w:r>
        <w:rPr>
          <w:rFonts w:hint="eastAsia"/>
        </w:rPr>
        <w:t>6 规定性设计指标</w:t>
      </w:r>
      <w:r>
        <w:tab/>
      </w:r>
      <w:r>
        <w:fldChar w:fldCharType="begin"/>
      </w:r>
      <w:r>
        <w:instrText xml:space="preserve"> PAGEREF _Toc11363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_Toc623 </w:instrText>
      </w:r>
      <w:r>
        <w:fldChar w:fldCharType="separate"/>
      </w:r>
      <w:r>
        <w:rPr>
          <w:rFonts w:hint="eastAsia"/>
          <w:lang w:val="en-GB"/>
        </w:rPr>
        <w:t xml:space="preserve">6.1 </w:t>
      </w:r>
      <w:r>
        <w:rPr>
          <w:rFonts w:hint="eastAsia"/>
        </w:rPr>
        <w:t>平均迎风面积比</w:t>
      </w:r>
      <w:r>
        <w:tab/>
      </w:r>
      <w:r>
        <w:fldChar w:fldCharType="begin"/>
      </w:r>
      <w:r>
        <w:instrText xml:space="preserve"> PAGEREF _Toc623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_Toc17389 </w:instrText>
      </w:r>
      <w:r>
        <w:fldChar w:fldCharType="separate"/>
      </w:r>
      <w:r>
        <w:rPr>
          <w:rFonts w:hint="eastAsia"/>
          <w:lang w:val="en-GB"/>
        </w:rPr>
        <w:t xml:space="preserve">6.2 </w:t>
      </w:r>
      <w:r>
        <w:rPr>
          <w:rFonts w:hint="eastAsia"/>
        </w:rPr>
        <w:t>活动场地遮阳覆盖率</w:t>
      </w:r>
      <w:r>
        <w:tab/>
      </w:r>
      <w:r>
        <w:fldChar w:fldCharType="begin"/>
      </w:r>
      <w:r>
        <w:instrText xml:space="preserve"> PAGEREF _Toc17389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_Toc4799 </w:instrText>
      </w:r>
      <w:r>
        <w:fldChar w:fldCharType="separate"/>
      </w:r>
      <w:r>
        <w:rPr>
          <w:rFonts w:hint="eastAsia"/>
          <w:lang w:val="en-GB"/>
        </w:rPr>
        <w:t xml:space="preserve">6.3 </w:t>
      </w:r>
      <w:r>
        <w:rPr>
          <w:rFonts w:hint="eastAsia"/>
        </w:rPr>
        <w:t>底层通风架空率</w:t>
      </w:r>
      <w:r>
        <w:tab/>
      </w:r>
      <w:r>
        <w:fldChar w:fldCharType="begin"/>
      </w:r>
      <w:r>
        <w:instrText xml:space="preserve"> PAGEREF _Toc4799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_Toc4570 </w:instrText>
      </w:r>
      <w:r>
        <w:fldChar w:fldCharType="separate"/>
      </w:r>
      <w:r>
        <w:rPr>
          <w:rFonts w:hint="eastAsia"/>
          <w:lang w:val="en-GB"/>
        </w:rPr>
        <w:t xml:space="preserve">6.4 </w:t>
      </w:r>
      <w:r>
        <w:rPr>
          <w:rFonts w:hint="eastAsia"/>
        </w:rPr>
        <w:t>绿化遮阳体叶面积指数</w:t>
      </w:r>
      <w:r>
        <w:tab/>
      </w:r>
      <w:r>
        <w:fldChar w:fldCharType="begin"/>
      </w:r>
      <w:r>
        <w:instrText xml:space="preserve"> PAGEREF _Toc4570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_Toc8582 </w:instrText>
      </w:r>
      <w:r>
        <w:fldChar w:fldCharType="separate"/>
      </w:r>
      <w:r>
        <w:rPr>
          <w:rFonts w:hint="eastAsia"/>
          <w:lang w:val="en-GB"/>
        </w:rPr>
        <w:t xml:space="preserve">6.5 </w:t>
      </w:r>
      <w:r>
        <w:rPr>
          <w:rFonts w:hint="eastAsia"/>
        </w:rPr>
        <w:t>渗透蒸发指标</w:t>
      </w:r>
      <w:r>
        <w:tab/>
      </w:r>
      <w:r>
        <w:fldChar w:fldCharType="begin"/>
      </w:r>
      <w:r>
        <w:instrText xml:space="preserve"> PAGEREF _Toc8582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_Toc7284 </w:instrText>
      </w:r>
      <w:r>
        <w:fldChar w:fldCharType="separate"/>
      </w:r>
      <w:r>
        <w:rPr>
          <w:rFonts w:hint="eastAsia"/>
          <w:lang w:val="en-GB"/>
        </w:rPr>
        <w:t xml:space="preserve">6.6 </w:t>
      </w:r>
      <w:r>
        <w:rPr>
          <w:rFonts w:hint="eastAsia"/>
        </w:rPr>
        <w:t>屋面绿化率</w:t>
      </w:r>
      <w:r>
        <w:tab/>
      </w:r>
      <w:r>
        <w:fldChar w:fldCharType="begin"/>
      </w:r>
      <w:r>
        <w:instrText xml:space="preserve"> PAGEREF _Toc7284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_Toc31494 </w:instrText>
      </w:r>
      <w:r>
        <w:fldChar w:fldCharType="separate"/>
      </w:r>
      <w:r>
        <w:rPr>
          <w:rFonts w:hint="eastAsia"/>
        </w:rPr>
        <w:t>7 评价性设计</w:t>
      </w:r>
      <w:r>
        <w:tab/>
      </w:r>
      <w:r>
        <w:fldChar w:fldCharType="begin"/>
      </w:r>
      <w:r>
        <w:instrText xml:space="preserve"> PAGEREF _Toc31494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_Toc18864 </w:instrText>
      </w:r>
      <w:r>
        <w:fldChar w:fldCharType="separate"/>
      </w:r>
      <w:r>
        <w:rPr>
          <w:rFonts w:hint="eastAsia"/>
          <w:lang w:val="en-GB"/>
        </w:rPr>
        <w:t xml:space="preserve">7.1 </w:t>
      </w:r>
      <w:r>
        <w:rPr>
          <w:rFonts w:hint="eastAsia"/>
        </w:rPr>
        <w:t>平均热岛强度</w:t>
      </w:r>
      <w:r>
        <w:tab/>
      </w:r>
      <w:r>
        <w:fldChar w:fldCharType="begin"/>
      </w:r>
      <w:r>
        <w:instrText xml:space="preserve"> PAGEREF _Toc18864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_Toc21832 </w:instrText>
      </w:r>
      <w:r>
        <w:fldChar w:fldCharType="separate"/>
      </w:r>
      <w:r>
        <w:rPr>
          <w:rFonts w:hint="eastAsia"/>
          <w:lang w:val="en-GB"/>
        </w:rPr>
        <w:t xml:space="preserve">7.2 </w:t>
      </w:r>
      <w:r>
        <w:rPr>
          <w:rFonts w:hint="eastAsia"/>
        </w:rPr>
        <w:t>湿球黑球温度</w:t>
      </w:r>
      <w:r>
        <w:tab/>
      </w:r>
      <w:r>
        <w:fldChar w:fldCharType="begin"/>
      </w:r>
      <w:r>
        <w:instrText xml:space="preserve"> PAGEREF _Toc21832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_Toc26541 </w:instrText>
      </w:r>
      <w:r>
        <w:fldChar w:fldCharType="separate"/>
      </w:r>
      <w:r>
        <w:rPr>
          <w:rFonts w:hint="eastAsia"/>
        </w:rPr>
        <w:t>8 结论</w:t>
      </w:r>
      <w:r>
        <w:tab/>
      </w:r>
      <w:r>
        <w:fldChar w:fldCharType="begin"/>
      </w:r>
      <w:r>
        <w:instrText xml:space="preserve"> PAGEREF _Toc26541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7131"/>
      <w:r>
        <w:rPr>
          <w:rFonts w:hint="eastAsia"/>
        </w:rPr>
        <w:t>住区概况</w:t>
      </w:r>
      <w:bookmarkEnd w:id="11"/>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昆明</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25.07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102.70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4657725" cy="4257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4658214" cy="4258122"/>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1501"/>
      <w:bookmarkStart w:id="23" w:name="TitleFormat"/>
      <w:r>
        <w:rPr>
          <w:rFonts w:hint="eastAsia"/>
        </w:rPr>
        <w:t>设计依据</w:t>
      </w:r>
      <w:bookmarkEnd w:id="22"/>
    </w:p>
    <w:bookmarkEnd w:id="23"/>
    <w:p>
      <w:pPr>
        <w:widowControl w:val="0"/>
        <w:jc w:val="both"/>
        <w:rPr>
          <w:kern w:val="2"/>
          <w:szCs w:val="24"/>
          <w:lang w:val="en-US"/>
        </w:rPr>
      </w:pPr>
      <w:bookmarkStart w:id="24" w:name="计算依据"/>
      <w:bookmarkEnd w:id="24"/>
      <w:r>
        <w:rPr>
          <w:rFonts w:hint="eastAsia"/>
          <w:kern w:val="2"/>
          <w:szCs w:val="24"/>
          <w:lang w:val="en-US"/>
        </w:rPr>
        <w:t>《城市居住区热环境设计标准》（JGJ 286-2013）</w:t>
      </w:r>
    </w:p>
    <w:p>
      <w:pPr>
        <w:pStyle w:val="2"/>
      </w:pPr>
      <w:bookmarkStart w:id="25" w:name="_Toc903"/>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23578"/>
      <w:r>
        <w:rPr>
          <w:rFonts w:hint="eastAsia"/>
        </w:rPr>
        <w:t>强制条文</w:t>
      </w:r>
      <w:bookmarkEnd w:id="26"/>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19753"/>
      <w:r>
        <w:rPr>
          <w:rFonts w:hint="eastAsia"/>
        </w:rPr>
        <w:t>规定性设计</w:t>
      </w:r>
      <w:bookmarkEnd w:id="27"/>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blPrEx>
          <w:tblCellMar>
            <w:top w:w="0" w:type="dxa"/>
            <w:left w:w="0" w:type="dxa"/>
            <w:bottom w:w="0" w:type="dxa"/>
            <w:right w:w="0" w:type="dxa"/>
          </w:tblCellMar>
        </w:tblPrEx>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14:textFill>
                  <w14:solidFill>
                    <w14:schemeClr w14:val="tx1"/>
                  </w14:solidFill>
                </w14:textFill>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8" w:name="_Toc6618"/>
      <w:r>
        <w:rPr>
          <w:rFonts w:hint="eastAsia"/>
        </w:rPr>
        <w:t>评价性设计</w:t>
      </w:r>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25504"/>
      <w:r>
        <w:rPr>
          <w:rFonts w:hint="eastAsia"/>
        </w:rPr>
        <w:t>计算参数</w:t>
      </w:r>
      <w:bookmarkEnd w:id="29"/>
    </w:p>
    <w:p>
      <w:pPr>
        <w:pStyle w:val="4"/>
      </w:pPr>
      <w:bookmarkStart w:id="30" w:name="_Toc2164"/>
      <w:r>
        <w:rPr>
          <w:rFonts w:hint="eastAsia"/>
        </w:rPr>
        <w:t>典型气象日气象参数</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18.5</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18.3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18.1</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17.8</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17.7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17.8</w:t>
            </w:r>
          </w:p>
        </w:tc>
        <w:tc>
          <w:tcPr>
            <w:vAlign w:val="center"/>
          </w:tcPr>
          <w:p>
            <w:pPr>
              <w:jc w:val="center"/>
            </w:pPr>
            <w:r>
              <w:t>91</w:t>
            </w:r>
          </w:p>
        </w:tc>
        <w:tc>
          <w:tcPr>
            <w:vAlign w:val="center"/>
          </w:tcPr>
          <w:p>
            <w:pPr>
              <w:jc w:val="center"/>
            </w:pPr>
            <w:r>
              <w:t>3.00</w:t>
            </w:r>
          </w:p>
        </w:tc>
        <w:tc>
          <w:tcPr>
            <w:vAlign w:val="center"/>
          </w:tcPr>
          <w:p>
            <w:pPr>
              <w:jc w:val="center"/>
            </w:pPr>
            <w:r>
              <w:t>3.00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18.1</w:t>
            </w:r>
          </w:p>
        </w:tc>
        <w:tc>
          <w:tcPr>
            <w:vAlign w:val="center"/>
          </w:tcPr>
          <w:p>
            <w:pPr>
              <w:jc w:val="center"/>
            </w:pPr>
            <w:r>
              <w:t>89</w:t>
            </w:r>
          </w:p>
        </w:tc>
        <w:tc>
          <w:tcPr>
            <w:vAlign w:val="center"/>
          </w:tcPr>
          <w:p>
            <w:pPr>
              <w:jc w:val="center"/>
            </w:pPr>
            <w:r>
              <w:t>105.00</w:t>
            </w:r>
          </w:p>
        </w:tc>
        <w:tc>
          <w:tcPr>
            <w:vAlign w:val="center"/>
          </w:tcPr>
          <w:p>
            <w:pPr>
              <w:jc w:val="center"/>
            </w:pPr>
            <w:r>
              <w:t>89.00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18.9</w:t>
            </w:r>
          </w:p>
        </w:tc>
        <w:tc>
          <w:tcPr>
            <w:vAlign w:val="center"/>
          </w:tcPr>
          <w:p>
            <w:pPr>
              <w:jc w:val="center"/>
            </w:pPr>
            <w:r>
              <w:t>85</w:t>
            </w:r>
          </w:p>
        </w:tc>
        <w:tc>
          <w:tcPr>
            <w:vAlign w:val="center"/>
          </w:tcPr>
          <w:p>
            <w:pPr>
              <w:jc w:val="center"/>
            </w:pPr>
            <w:r>
              <w:t>234.00</w:t>
            </w:r>
          </w:p>
        </w:tc>
        <w:tc>
          <w:tcPr>
            <w:vAlign w:val="center"/>
          </w:tcPr>
          <w:p>
            <w:pPr>
              <w:jc w:val="center"/>
            </w:pPr>
            <w:r>
              <w:t>189.00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19.7</w:t>
            </w:r>
          </w:p>
        </w:tc>
        <w:tc>
          <w:tcPr>
            <w:vAlign w:val="center"/>
          </w:tcPr>
          <w:p>
            <w:pPr>
              <w:jc w:val="center"/>
            </w:pPr>
            <w:r>
              <w:t>81</w:t>
            </w:r>
          </w:p>
        </w:tc>
        <w:tc>
          <w:tcPr>
            <w:vAlign w:val="center"/>
          </w:tcPr>
          <w:p>
            <w:pPr>
              <w:jc w:val="center"/>
            </w:pPr>
            <w:r>
              <w:t>358.00</w:t>
            </w:r>
          </w:p>
        </w:tc>
        <w:tc>
          <w:tcPr>
            <w:vAlign w:val="center"/>
          </w:tcPr>
          <w:p>
            <w:pPr>
              <w:jc w:val="center"/>
            </w:pPr>
            <w:r>
              <w:t>275.00</w:t>
            </w:r>
          </w:p>
        </w:tc>
        <w:tc>
          <w:tcPr>
            <w:vAlign w:val="center"/>
          </w:tcPr>
          <w:p>
            <w:pPr>
              <w:jc w:val="center"/>
            </w:pPr>
            <w:r>
              <w:t>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20.6</w:t>
            </w:r>
          </w:p>
        </w:tc>
        <w:tc>
          <w:tcPr>
            <w:vAlign w:val="center"/>
          </w:tcPr>
          <w:p>
            <w:pPr>
              <w:jc w:val="center"/>
            </w:pPr>
            <w:r>
              <w:t>78</w:t>
            </w:r>
          </w:p>
        </w:tc>
        <w:tc>
          <w:tcPr>
            <w:vAlign w:val="center"/>
          </w:tcPr>
          <w:p>
            <w:pPr>
              <w:jc w:val="center"/>
            </w:pPr>
            <w:r>
              <w:t>476.00</w:t>
            </w:r>
          </w:p>
        </w:tc>
        <w:tc>
          <w:tcPr>
            <w:vAlign w:val="center"/>
          </w:tcPr>
          <w:p>
            <w:pPr>
              <w:jc w:val="center"/>
            </w:pPr>
            <w:r>
              <w:t>349.00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21.3</w:t>
            </w:r>
          </w:p>
        </w:tc>
        <w:tc>
          <w:tcPr>
            <w:vAlign w:val="center"/>
          </w:tcPr>
          <w:p>
            <w:pPr>
              <w:jc w:val="center"/>
            </w:pPr>
            <w:r>
              <w:t>75</w:t>
            </w:r>
          </w:p>
        </w:tc>
        <w:tc>
          <w:tcPr>
            <w:vAlign w:val="center"/>
          </w:tcPr>
          <w:p>
            <w:pPr>
              <w:jc w:val="center"/>
            </w:pPr>
            <w:r>
              <w:t>535.00</w:t>
            </w:r>
          </w:p>
        </w:tc>
        <w:tc>
          <w:tcPr>
            <w:vAlign w:val="center"/>
          </w:tcPr>
          <w:p>
            <w:pPr>
              <w:jc w:val="center"/>
            </w:pPr>
            <w:r>
              <w:t>396.00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21.8</w:t>
            </w:r>
          </w:p>
        </w:tc>
        <w:tc>
          <w:tcPr>
            <w:vAlign w:val="center"/>
          </w:tcPr>
          <w:p>
            <w:pPr>
              <w:jc w:val="center"/>
            </w:pPr>
            <w:r>
              <w:t>74</w:t>
            </w:r>
          </w:p>
        </w:tc>
        <w:tc>
          <w:tcPr>
            <w:vAlign w:val="center"/>
          </w:tcPr>
          <w:p>
            <w:pPr>
              <w:jc w:val="center"/>
            </w:pPr>
            <w:r>
              <w:t>531.00</w:t>
            </w:r>
          </w:p>
        </w:tc>
        <w:tc>
          <w:tcPr>
            <w:vAlign w:val="center"/>
          </w:tcPr>
          <w:p>
            <w:pPr>
              <w:jc w:val="center"/>
            </w:pPr>
            <w:r>
              <w:t>408.00</w:t>
            </w:r>
          </w:p>
        </w:tc>
        <w:tc>
          <w:tcPr>
            <w:vAlign w:val="center"/>
          </w:tcPr>
          <w:p>
            <w:pPr>
              <w:jc w:val="center"/>
            </w:pPr>
            <w:r>
              <w:t>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22.1</w:t>
            </w:r>
          </w:p>
        </w:tc>
        <w:tc>
          <w:tcPr>
            <w:vAlign w:val="center"/>
          </w:tcPr>
          <w:p>
            <w:pPr>
              <w:jc w:val="center"/>
            </w:pPr>
            <w:r>
              <w:t>73</w:t>
            </w:r>
          </w:p>
        </w:tc>
        <w:tc>
          <w:tcPr>
            <w:vAlign w:val="center"/>
          </w:tcPr>
          <w:p>
            <w:pPr>
              <w:jc w:val="center"/>
            </w:pPr>
            <w:r>
              <w:t>523.00</w:t>
            </w:r>
          </w:p>
        </w:tc>
        <w:tc>
          <w:tcPr>
            <w:vAlign w:val="center"/>
          </w:tcPr>
          <w:p>
            <w:pPr>
              <w:jc w:val="center"/>
            </w:pPr>
            <w:r>
              <w:t>401.00</w:t>
            </w:r>
          </w:p>
        </w:tc>
        <w:tc>
          <w:tcPr>
            <w:vAlign w:val="center"/>
          </w:tcPr>
          <w:p>
            <w:pPr>
              <w:jc w:val="center"/>
            </w:pPr>
            <w:r>
              <w:t>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22.4</w:t>
            </w:r>
          </w:p>
        </w:tc>
        <w:tc>
          <w:tcPr>
            <w:vAlign w:val="center"/>
          </w:tcPr>
          <w:p>
            <w:pPr>
              <w:jc w:val="center"/>
            </w:pPr>
            <w:r>
              <w:t>72</w:t>
            </w:r>
          </w:p>
        </w:tc>
        <w:tc>
          <w:tcPr>
            <w:vAlign w:val="center"/>
          </w:tcPr>
          <w:p>
            <w:pPr>
              <w:jc w:val="center"/>
            </w:pPr>
            <w:r>
              <w:t>458.00</w:t>
            </w:r>
          </w:p>
        </w:tc>
        <w:tc>
          <w:tcPr>
            <w:vAlign w:val="center"/>
          </w:tcPr>
          <w:p>
            <w:pPr>
              <w:jc w:val="center"/>
            </w:pPr>
            <w:r>
              <w:t>364.00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22.5</w:t>
            </w:r>
          </w:p>
        </w:tc>
        <w:tc>
          <w:tcPr>
            <w:vAlign w:val="center"/>
          </w:tcPr>
          <w:p>
            <w:pPr>
              <w:jc w:val="center"/>
            </w:pPr>
            <w:r>
              <w:t>71</w:t>
            </w:r>
          </w:p>
        </w:tc>
        <w:tc>
          <w:tcPr>
            <w:vAlign w:val="center"/>
          </w:tcPr>
          <w:p>
            <w:pPr>
              <w:jc w:val="center"/>
            </w:pPr>
            <w:r>
              <w:t>365.00</w:t>
            </w:r>
          </w:p>
        </w:tc>
        <w:tc>
          <w:tcPr>
            <w:vAlign w:val="center"/>
          </w:tcPr>
          <w:p>
            <w:pPr>
              <w:jc w:val="center"/>
            </w:pPr>
            <w:r>
              <w:t>291.00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22.4</w:t>
            </w:r>
          </w:p>
        </w:tc>
        <w:tc>
          <w:tcPr>
            <w:vAlign w:val="center"/>
          </w:tcPr>
          <w:p>
            <w:pPr>
              <w:jc w:val="center"/>
            </w:pPr>
            <w:r>
              <w:t>72</w:t>
            </w:r>
          </w:p>
        </w:tc>
        <w:tc>
          <w:tcPr>
            <w:vAlign w:val="center"/>
          </w:tcPr>
          <w:p>
            <w:pPr>
              <w:jc w:val="center"/>
            </w:pPr>
            <w:r>
              <w:t>274.00</w:t>
            </w:r>
          </w:p>
        </w:tc>
        <w:tc>
          <w:tcPr>
            <w:vAlign w:val="center"/>
          </w:tcPr>
          <w:p>
            <w:pPr>
              <w:jc w:val="center"/>
            </w:pPr>
            <w:r>
              <w:t>215.00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21.9</w:t>
            </w:r>
          </w:p>
        </w:tc>
        <w:tc>
          <w:tcPr>
            <w:vAlign w:val="center"/>
          </w:tcPr>
          <w:p>
            <w:pPr>
              <w:jc w:val="center"/>
            </w:pPr>
            <w:r>
              <w:t>74</w:t>
            </w:r>
          </w:p>
        </w:tc>
        <w:tc>
          <w:tcPr>
            <w:vAlign w:val="center"/>
          </w:tcPr>
          <w:p>
            <w:pPr>
              <w:jc w:val="center"/>
            </w:pPr>
            <w:r>
              <w:t>151.00</w:t>
            </w:r>
          </w:p>
        </w:tc>
        <w:tc>
          <w:tcPr>
            <w:vAlign w:val="center"/>
          </w:tcPr>
          <w:p>
            <w:pPr>
              <w:jc w:val="center"/>
            </w:pPr>
            <w:r>
              <w:t>127.00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21.2</w:t>
            </w:r>
          </w:p>
        </w:tc>
        <w:tc>
          <w:tcPr>
            <w:vAlign w:val="center"/>
          </w:tcPr>
          <w:p>
            <w:pPr>
              <w:jc w:val="center"/>
            </w:pPr>
            <w:r>
              <w:t>77</w:t>
            </w:r>
          </w:p>
        </w:tc>
        <w:tc>
          <w:tcPr>
            <w:vAlign w:val="center"/>
          </w:tcPr>
          <w:p>
            <w:pPr>
              <w:jc w:val="center"/>
            </w:pPr>
            <w:r>
              <w:t>35.00</w:t>
            </w:r>
          </w:p>
        </w:tc>
        <w:tc>
          <w:tcPr>
            <w:vAlign w:val="center"/>
          </w:tcPr>
          <w:p>
            <w:pPr>
              <w:jc w:val="center"/>
            </w:pPr>
            <w:r>
              <w:t>32.00</w:t>
            </w:r>
          </w:p>
        </w:tc>
        <w:tc>
          <w:tcPr>
            <w:vAlign w:val="center"/>
          </w:tcPr>
          <w:p>
            <w:pPr>
              <w:jc w:val="center"/>
            </w:pPr>
            <w:r>
              <w:t>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20.5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19.8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19.3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19.0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19.8</w:t>
            </w:r>
          </w:p>
        </w:tc>
        <w:tc>
          <w:tcPr>
            <w:vAlign w:val="center"/>
          </w:tcPr>
          <w:p>
            <w:pPr>
              <w:jc w:val="center"/>
            </w:pPr>
            <w:r>
              <w:t>82</w:t>
            </w:r>
          </w:p>
        </w:tc>
        <w:tc>
          <w:tcPr>
            <w:vAlign w:val="center"/>
          </w:tcPr>
          <w:p>
            <w:pPr>
              <w:jc w:val="center"/>
            </w:pPr>
            <w:r>
              <w:t>168.67</w:t>
            </w:r>
          </w:p>
        </w:tc>
        <w:tc>
          <w:tcPr>
            <w:vAlign w:val="center"/>
          </w:tcPr>
          <w:p>
            <w:pPr>
              <w:jc w:val="center"/>
            </w:pPr>
            <w:r>
              <w:t>130.79</w:t>
            </w:r>
          </w:p>
        </w:tc>
        <w:tc>
          <w:tcPr>
            <w:vAlign w:val="center"/>
          </w:tcPr>
          <w:p>
            <w:pPr>
              <w:jc w:val="center"/>
            </w:pPr>
            <w:r>
              <w:t>2.0</w:t>
            </w:r>
          </w:p>
        </w:tc>
        <w:tc>
          <w:tcPr>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7797"/>
      <w:r>
        <w:rPr>
          <w:rFonts w:hint="eastAsia"/>
        </w:rPr>
        <w:t>渗透面夏季逐时蒸发量</w:t>
      </w:r>
      <w:bookmarkEnd w:id="3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3" w:name="蒸发量参数"/>
      <w:bookmarkEnd w:id="33"/>
    </w:p>
    <w:p>
      <w:pPr>
        <w:pStyle w:val="2"/>
      </w:pPr>
      <w:bookmarkStart w:id="34" w:name="_Toc28198"/>
      <w:r>
        <w:rPr>
          <w:rFonts w:hint="eastAsia"/>
        </w:rPr>
        <w:t>住区指标概览</w:t>
      </w:r>
      <w:bookmarkEnd w:id="3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2416.19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1148.10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11363"/>
      <w:r>
        <w:rPr>
          <w:rFonts w:hint="eastAsia"/>
        </w:rPr>
        <w:t>规定性设计指标</w:t>
      </w:r>
      <w:bookmarkEnd w:id="36"/>
    </w:p>
    <w:p>
      <w:pPr>
        <w:pStyle w:val="4"/>
      </w:pPr>
      <w:bookmarkStart w:id="37" w:name="_Toc623"/>
      <w:r>
        <w:rPr>
          <w:rFonts w:hint="eastAsia"/>
        </w:rPr>
        <w:t>平均迎风面积比</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校医院</w:t>
            </w:r>
          </w:p>
        </w:tc>
        <w:tc>
          <w:tcPr>
            <w:vAlign w:val="center"/>
          </w:tcPr>
          <w:p>
            <w:r>
              <w:t>566.74</w:t>
            </w:r>
          </w:p>
        </w:tc>
        <w:tc>
          <w:tcPr>
            <w:vAlign w:val="center"/>
          </w:tcPr>
          <w:p>
            <w:r>
              <w:t>728.24</w:t>
            </w:r>
          </w:p>
        </w:tc>
        <w:tc>
          <w:tcPr>
            <w:vAlign w:val="center"/>
          </w:tcPr>
          <w:p>
            <w:r>
              <w:t>50.00</w:t>
            </w:r>
          </w:p>
        </w:tc>
        <w:tc>
          <w:tcPr>
            <w:vAlign w:val="center"/>
          </w:tcPr>
          <w:p>
            <w:r>
              <w:t>0.7782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rPr>
              <w:t>0.778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38" w:name="平均迎风面积比"/>
      <w:bookmarkEnd w:id="38"/>
    </w:p>
    <w:p>
      <w:pPr>
        <w:pStyle w:val="4"/>
      </w:pPr>
      <w:bookmarkStart w:id="39" w:name="_Toc17389"/>
      <w:r>
        <w:rPr>
          <w:rFonts w:hint="eastAsia"/>
        </w:rPr>
        <w:t>活动场地遮阳覆盖率</w:t>
      </w:r>
      <w:bookmarkEnd w:id="3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0" w:name="活动场地遮阳覆盖率"/>
      <w:bookmarkEnd w:id="40"/>
    </w:p>
    <w:p>
      <w:pPr>
        <w:pStyle w:val="4"/>
      </w:pPr>
      <w:bookmarkStart w:id="41" w:name="_Toc4799"/>
      <w:r>
        <w:rPr>
          <w:rFonts w:hint="eastAsia"/>
        </w:rPr>
        <w:t>底层通风架空率</w:t>
      </w:r>
      <w:bookmarkEnd w:id="4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底层架空面积(㎡)</w:t>
            </w:r>
          </w:p>
        </w:tc>
        <w:tc>
          <w:tcPr>
            <w:shd w:val="clear" w:color="auto" w:fill="E6E6E6"/>
            <w:vAlign w:val="center"/>
          </w:tcPr>
          <w:p>
            <w:pPr>
              <w:jc w:val="center"/>
            </w:pPr>
            <w:r>
              <w:t>基底面积(㎡)</w:t>
            </w:r>
          </w:p>
        </w:tc>
        <w:tc>
          <w:tcPr>
            <w:shd w:val="clear" w:color="auto" w:fill="E6E6E6"/>
            <w:vAlign w:val="center"/>
          </w:tcPr>
          <w:p>
            <w:pPr>
              <w:jc w:val="center"/>
            </w:pPr>
            <w:r>
              <w:t>迎风面宽度(m)</w:t>
            </w:r>
          </w:p>
        </w:tc>
        <w:tc>
          <w:tcPr>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校医院</w:t>
            </w:r>
          </w:p>
        </w:tc>
        <w:tc>
          <w:tcPr>
            <w:vAlign w:val="center"/>
          </w:tcPr>
          <w:p>
            <w:r>
              <w:t>0.0</w:t>
            </w:r>
          </w:p>
        </w:tc>
        <w:tc>
          <w:tcPr>
            <w:vAlign w:val="center"/>
          </w:tcPr>
          <w:p>
            <w:r>
              <w:t>1268.1</w:t>
            </w:r>
          </w:p>
        </w:tc>
        <w:tc>
          <w:tcPr>
            <w:vAlign w:val="center"/>
          </w:tcPr>
          <w:p>
            <w:r>
              <w:t>49.1</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t>满足</w:t>
            </w:r>
          </w:p>
        </w:tc>
      </w:tr>
    </w:tbl>
    <w:p>
      <w:pPr>
        <w:pStyle w:val="3"/>
        <w:ind w:firstLine="420"/>
        <w:rPr>
          <w:lang w:val="en-US"/>
        </w:rPr>
      </w:pPr>
      <w:bookmarkStart w:id="42" w:name="底层通风架空率"/>
      <w:bookmarkEnd w:id="42"/>
    </w:p>
    <w:p>
      <w:pPr>
        <w:pStyle w:val="4"/>
      </w:pPr>
      <w:bookmarkStart w:id="43" w:name="_Toc4570"/>
      <w:r>
        <w:rPr>
          <w:rFonts w:hint="eastAsia"/>
        </w:rPr>
        <w:t>绿化遮阳体叶面积指数</w:t>
      </w:r>
      <w:bookmarkEnd w:id="4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遮阳体类型</w:t>
            </w:r>
          </w:p>
        </w:tc>
        <w:tc>
          <w:tcPr>
            <w:shd w:val="clear" w:color="auto" w:fill="E6E6E6"/>
            <w:vAlign w:val="center"/>
          </w:tcPr>
          <w:p>
            <w:pPr>
              <w:jc w:val="center"/>
            </w:pPr>
            <w:r>
              <w:t>叶面积指数</w:t>
            </w:r>
          </w:p>
        </w:tc>
        <w:tc>
          <w:tcPr>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乔木</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爬藤棚架</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绿化遮阳体叶面积指数不应小于3.0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rPr>
                <w:color w:val="FF0000"/>
              </w:rPr>
              <w:t>不满足</w:t>
            </w:r>
          </w:p>
        </w:tc>
      </w:tr>
    </w:tbl>
    <w:p>
      <w:pPr>
        <w:pStyle w:val="3"/>
        <w:ind w:firstLine="420"/>
        <w:rPr>
          <w:lang w:val="en-US"/>
        </w:rPr>
      </w:pPr>
      <w:bookmarkStart w:id="44" w:name="绿化遮阳体叶面积指数"/>
      <w:bookmarkEnd w:id="44"/>
    </w:p>
    <w:p>
      <w:pPr>
        <w:pStyle w:val="4"/>
      </w:pPr>
      <w:bookmarkStart w:id="45" w:name="_Toc8582"/>
      <w:r>
        <w:rPr>
          <w:rFonts w:hint="eastAsia"/>
        </w:rPr>
        <w:t>渗透蒸发指标</w:t>
      </w:r>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地面透水系数k(mm/s)</w:t>
            </w:r>
          </w:p>
        </w:tc>
        <w:tc>
          <w:tcPr>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0</w:t>
            </w:r>
          </w:p>
        </w:tc>
        <w:tc>
          <w:tcPr>
            <w:vAlign w:val="center"/>
          </w:tcPr>
          <w:p>
            <w:r>
              <w:t>0.0</w:t>
            </w:r>
          </w:p>
        </w:tc>
        <w:tc>
          <w:tcPr>
            <w:vAlign w:val="center"/>
          </w:tcPr>
          <w:p>
            <w:r>
              <w:t>0.00</w:t>
            </w:r>
          </w:p>
        </w:tc>
        <w:tc>
          <w:tcPr>
            <w:vAlign w:val="center"/>
          </w:tcPr>
          <w:p>
            <w:r>
              <w:t>0.00</w:t>
            </w:r>
          </w:p>
        </w:tc>
      </w:tr>
    </w:tbl>
    <w:p>
      <w:pPr>
        <w:pStyle w:val="3"/>
        <w:ind w:firstLine="420"/>
        <w:rPr>
          <w:lang w:val="en-US"/>
        </w:rPr>
      </w:pPr>
      <w:bookmarkStart w:id="46" w:name="渗透蒸发指标"/>
      <w:bookmarkEnd w:id="4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渗透面积比率(%)</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地面透水系数k(mm/s)</w:t>
            </w:r>
          </w:p>
        </w:tc>
        <w:tc>
          <w:tcPr>
            <w:vAlign w:val="center"/>
          </w:tcPr>
          <w:p>
            <w:r>
              <w:rPr>
                <w:color w:val="FF0000"/>
              </w:rPr>
              <w:t>0.00</w:t>
            </w:r>
          </w:p>
        </w:tc>
        <w:tc>
          <w:tcPr>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蒸发量m(kg/(㎡·d))</w:t>
            </w:r>
          </w:p>
        </w:tc>
        <w:tc>
          <w:tcPr>
            <w:vAlign w:val="center"/>
          </w:tcPr>
          <w:p>
            <w:r>
              <w:rPr>
                <w:color w:val="FF0000"/>
              </w:rPr>
              <w:t>0.00</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rPr>
                <w:color w:val="FF0000"/>
              </w:rPr>
              <w:t>不满足</w:t>
            </w:r>
          </w:p>
        </w:tc>
      </w:tr>
    </w:tbl>
    <w:p>
      <w:pPr>
        <w:pStyle w:val="3"/>
        <w:ind w:firstLine="420"/>
        <w:rPr>
          <w:lang w:val="en-US"/>
        </w:rPr>
      </w:pPr>
    </w:p>
    <w:p>
      <w:pPr>
        <w:pStyle w:val="4"/>
      </w:pPr>
      <w:bookmarkStart w:id="47" w:name="_Toc7284"/>
      <w:r>
        <w:rPr>
          <w:rFonts w:hint="eastAsia"/>
        </w:rPr>
        <w:t>屋面绿化率</w:t>
      </w:r>
      <w:bookmarkEnd w:id="4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屋面轮廓面积(㎡)</w:t>
            </w:r>
          </w:p>
        </w:tc>
        <w:tc>
          <w:tcPr>
            <w:shd w:val="clear" w:color="auto" w:fill="E6E6E6"/>
            <w:vAlign w:val="center"/>
          </w:tcPr>
          <w:p>
            <w:pPr>
              <w:jc w:val="center"/>
            </w:pPr>
            <w:r>
              <w:t>屋顶绿化面积(㎡)</w:t>
            </w:r>
          </w:p>
        </w:tc>
        <w:tc>
          <w:tcPr>
            <w:shd w:val="clear" w:color="auto" w:fill="E6E6E6"/>
            <w:vAlign w:val="center"/>
          </w:tcPr>
          <w:p>
            <w:pPr>
              <w:jc w:val="center"/>
            </w:pPr>
            <w:r>
              <w:t>可绿化屋面</w:t>
            </w:r>
            <w:r>
              <w:br w:type="textWrapping"/>
            </w:r>
            <w:r>
              <w:t>面积(㎡)</w:t>
            </w:r>
          </w:p>
        </w:tc>
        <w:tc>
          <w:tcPr>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校医院</w:t>
            </w:r>
          </w:p>
        </w:tc>
        <w:tc>
          <w:tcPr>
            <w:vAlign w:val="center"/>
          </w:tcPr>
          <w:p>
            <w:r>
              <w:t>1268.1</w:t>
            </w:r>
          </w:p>
        </w:tc>
        <w:tc>
          <w:tcPr>
            <w:vAlign w:val="center"/>
          </w:tcPr>
          <w:p>
            <w:r>
              <w:t>0.0</w:t>
            </w:r>
          </w:p>
        </w:tc>
        <w:tc>
          <w:tcPr>
            <w:vAlign w:val="center"/>
          </w:tcPr>
          <w:p>
            <w:r>
              <w:t>1268.1</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1268.1</w:t>
            </w:r>
          </w:p>
        </w:tc>
        <w:tc>
          <w:tcPr>
            <w:vAlign w:val="center"/>
          </w:tcPr>
          <w:p>
            <w:r>
              <w:t>0.0</w:t>
            </w:r>
          </w:p>
        </w:tc>
        <w:tc>
          <w:tcPr>
            <w:vAlign w:val="center"/>
          </w:tcPr>
          <w:p>
            <w:r>
              <w:t>1268.1</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8" w:name="屋面绿化率"/>
      <w:bookmarkEnd w:id="48"/>
    </w:p>
    <w:p>
      <w:pPr>
        <w:pStyle w:val="2"/>
      </w:pPr>
      <w:bookmarkStart w:id="49" w:name="_Toc31494"/>
      <w:r>
        <w:rPr>
          <w:rFonts w:hint="eastAsia"/>
        </w:rPr>
        <w:t>评价性设计</w:t>
      </w:r>
      <w:bookmarkEnd w:id="49"/>
    </w:p>
    <w:p>
      <w:pPr>
        <w:pStyle w:val="4"/>
      </w:pPr>
      <w:bookmarkStart w:id="50" w:name="_Toc18864"/>
      <w:r>
        <w:rPr>
          <w:rFonts w:hint="eastAsia"/>
        </w:rPr>
        <w:t>平均热岛强度</w:t>
      </w:r>
      <w:bookmarkEnd w:id="5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19.8</w:t>
            </w:r>
          </w:p>
        </w:tc>
        <w:tc>
          <w:tcPr>
            <w:vAlign w:val="center"/>
          </w:tcPr>
          <w:p>
            <w:r>
              <w:t>0.0</w:t>
            </w:r>
          </w:p>
        </w:tc>
        <w:tc>
          <w:tcPr>
            <w:vAlign w:val="center"/>
          </w:tcPr>
          <w:p>
            <w:r>
              <w:t>3.5</w:t>
            </w:r>
          </w:p>
        </w:tc>
        <w:tc>
          <w:tcPr>
            <w:vAlign w:val="center"/>
          </w:tcPr>
          <w:p>
            <w:r>
              <w:t>0.0</w:t>
            </w:r>
          </w:p>
        </w:tc>
        <w:tc>
          <w:tcPr>
            <w:vAlign w:val="center"/>
          </w:tcPr>
          <w:p>
            <w:r>
              <w:t>16.3</w:t>
            </w:r>
          </w:p>
        </w:tc>
        <w:tc>
          <w:tcPr>
            <w:vAlign w:val="center"/>
          </w:tcPr>
          <w:p>
            <w:r>
              <w:t>18.9</w:t>
            </w:r>
          </w:p>
        </w:tc>
        <w:tc>
          <w:tcPr>
            <w:vAlign w:val="center"/>
          </w:tcPr>
          <w:p>
            <w:r>
              <w:t>-2.568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19.8</w:t>
            </w:r>
          </w:p>
        </w:tc>
        <w:tc>
          <w:tcPr>
            <w:vAlign w:val="center"/>
          </w:tcPr>
          <w:p>
            <w:r>
              <w:t>0.0</w:t>
            </w:r>
          </w:p>
        </w:tc>
        <w:tc>
          <w:tcPr>
            <w:vAlign w:val="center"/>
          </w:tcPr>
          <w:p>
            <w:r>
              <w:t>3.4</w:t>
            </w:r>
          </w:p>
        </w:tc>
        <w:tc>
          <w:tcPr>
            <w:vAlign w:val="center"/>
          </w:tcPr>
          <w:p>
            <w:r>
              <w:t>0.0</w:t>
            </w:r>
          </w:p>
        </w:tc>
        <w:tc>
          <w:tcPr>
            <w:vAlign w:val="center"/>
          </w:tcPr>
          <w:p>
            <w:r>
              <w:t>16.5</w:t>
            </w:r>
          </w:p>
        </w:tc>
        <w:tc>
          <w:tcPr>
            <w:vAlign w:val="center"/>
          </w:tcPr>
          <w:p>
            <w:r>
              <w:t>19.7</w:t>
            </w:r>
          </w:p>
        </w:tc>
        <w:tc>
          <w:tcPr>
            <w:vAlign w:val="center"/>
          </w:tcPr>
          <w:p>
            <w:r>
              <w:t>-3.243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16.6</w:t>
            </w:r>
          </w:p>
        </w:tc>
        <w:tc>
          <w:tcPr>
            <w:vAlign w:val="center"/>
          </w:tcPr>
          <w:p>
            <w:r>
              <w:t>20.6</w:t>
            </w:r>
          </w:p>
        </w:tc>
        <w:tc>
          <w:tcPr>
            <w:vAlign w:val="center"/>
          </w:tcPr>
          <w:p>
            <w:r>
              <w:t>-4.004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16.6</w:t>
            </w:r>
          </w:p>
        </w:tc>
        <w:tc>
          <w:tcPr>
            <w:vAlign w:val="center"/>
          </w:tcPr>
          <w:p>
            <w:r>
              <w:t>21.3</w:t>
            </w:r>
          </w:p>
        </w:tc>
        <w:tc>
          <w:tcPr>
            <w:vAlign w:val="center"/>
          </w:tcPr>
          <w:p>
            <w:r>
              <w:t>-4.658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16.7</w:t>
            </w:r>
          </w:p>
        </w:tc>
        <w:tc>
          <w:tcPr>
            <w:vAlign w:val="center"/>
          </w:tcPr>
          <w:p>
            <w:r>
              <w:t>21.8</w:t>
            </w:r>
          </w:p>
        </w:tc>
        <w:tc>
          <w:tcPr>
            <w:vAlign w:val="center"/>
          </w:tcPr>
          <w:p>
            <w:r>
              <w:t>-5.115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22.1</w:t>
            </w:r>
          </w:p>
        </w:tc>
        <w:tc>
          <w:tcPr>
            <w:vAlign w:val="center"/>
          </w:tcPr>
          <w:p>
            <w:r>
              <w:t>-5.387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22.4</w:t>
            </w:r>
          </w:p>
        </w:tc>
        <w:tc>
          <w:tcPr>
            <w:vAlign w:val="center"/>
          </w:tcPr>
          <w:p>
            <w:r>
              <w:t>-5.659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22.5</w:t>
            </w:r>
          </w:p>
        </w:tc>
        <w:tc>
          <w:tcPr>
            <w:vAlign w:val="center"/>
          </w:tcPr>
          <w:p>
            <w:r>
              <w:t>-5.777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22.4</w:t>
            </w:r>
          </w:p>
        </w:tc>
        <w:tc>
          <w:tcPr>
            <w:vAlign w:val="center"/>
          </w:tcPr>
          <w:p>
            <w:r>
              <w:t>-5.659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16.7</w:t>
            </w:r>
          </w:p>
        </w:tc>
        <w:tc>
          <w:tcPr>
            <w:vAlign w:val="center"/>
          </w:tcPr>
          <w:p>
            <w:r>
              <w:t>21.9</w:t>
            </w:r>
          </w:p>
        </w:tc>
        <w:tc>
          <w:tcPr>
            <w:vAlign w:val="center"/>
          </w:tcPr>
          <w:p>
            <w:r>
              <w:t>-5.242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19.8</w:t>
            </w:r>
          </w:p>
        </w:tc>
        <w:tc>
          <w:tcPr>
            <w:vAlign w:val="center"/>
          </w:tcPr>
          <w:p>
            <w:r>
              <w:t>0.0</w:t>
            </w:r>
          </w:p>
        </w:tc>
        <w:tc>
          <w:tcPr>
            <w:vAlign w:val="center"/>
          </w:tcPr>
          <w:p>
            <w:r>
              <w:t>3.3</w:t>
            </w:r>
          </w:p>
        </w:tc>
        <w:tc>
          <w:tcPr>
            <w:vAlign w:val="center"/>
          </w:tcPr>
          <w:p>
            <w:r>
              <w:t>0.0</w:t>
            </w:r>
          </w:p>
        </w:tc>
        <w:tc>
          <w:tcPr>
            <w:vAlign w:val="center"/>
          </w:tcPr>
          <w:p>
            <w:r>
              <w:t>16.6</w:t>
            </w:r>
          </w:p>
        </w:tc>
        <w:tc>
          <w:tcPr>
            <w:vAlign w:val="center"/>
          </w:tcPr>
          <w:p>
            <w:r>
              <w:t>21.2</w:t>
            </w:r>
          </w:p>
        </w:tc>
        <w:tc>
          <w:tcPr>
            <w:vAlign w:val="center"/>
          </w:tcPr>
          <w:p>
            <w:r>
              <w:t>-4.621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-4.72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1" w:name="平均热岛强度"/>
      <w:bookmarkEnd w:id="51"/>
    </w:p>
    <w:p>
      <w:pPr>
        <w:pStyle w:val="3"/>
        <w:ind w:firstLine="0" w:firstLineChars="0"/>
        <w:rPr>
          <w:lang w:val="en-US"/>
        </w:rPr>
      </w:pPr>
      <w:bookmarkStart w:id="52" w:name="平均热岛强度图片"/>
      <w:bookmarkEnd w:id="52"/>
    </w:p>
    <w:p>
      <w:pPr>
        <w:pStyle w:val="4"/>
      </w:pPr>
      <w:bookmarkStart w:id="53" w:name="_Toc21832"/>
      <w:r>
        <w:rPr>
          <w:rFonts w:hint="eastAsia"/>
        </w:rPr>
        <w:t>湿球黑球温度</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16.3</w:t>
            </w:r>
          </w:p>
        </w:tc>
        <w:tc>
          <w:tcPr>
            <w:vAlign w:val="center"/>
          </w:tcPr>
          <w:p>
            <w:r>
              <w:t>1.0</w:t>
            </w:r>
          </w:p>
        </w:tc>
        <w:tc>
          <w:tcPr>
            <w:vAlign w:val="center"/>
          </w:tcPr>
          <w:p>
            <w:r>
              <w:t>144.0</w:t>
            </w:r>
          </w:p>
        </w:tc>
        <w:tc>
          <w:tcPr>
            <w:vAlign w:val="center"/>
          </w:tcPr>
          <w:p>
            <w:r>
              <w:t>144.0</w:t>
            </w:r>
          </w:p>
        </w:tc>
        <w:tc>
          <w:tcPr>
            <w:vAlign w:val="center"/>
          </w:tcPr>
          <w:p>
            <w:r>
              <w:t>16.4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16.5</w:t>
            </w:r>
          </w:p>
        </w:tc>
        <w:tc>
          <w:tcPr>
            <w:vAlign w:val="center"/>
          </w:tcPr>
          <w:p>
            <w:r>
              <w:t>1.0</w:t>
            </w:r>
          </w:p>
        </w:tc>
        <w:tc>
          <w:tcPr>
            <w:vAlign w:val="center"/>
          </w:tcPr>
          <w:p>
            <w:r>
              <w:t>230.2</w:t>
            </w:r>
          </w:p>
        </w:tc>
        <w:tc>
          <w:tcPr>
            <w:vAlign w:val="center"/>
          </w:tcPr>
          <w:p>
            <w:r>
              <w:t>230.2</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16.6</w:t>
            </w:r>
          </w:p>
        </w:tc>
        <w:tc>
          <w:tcPr>
            <w:vAlign w:val="center"/>
          </w:tcPr>
          <w:p>
            <w:r>
              <w:t>1.0</w:t>
            </w:r>
          </w:p>
        </w:tc>
        <w:tc>
          <w:tcPr>
            <w:vAlign w:val="center"/>
          </w:tcPr>
          <w:p>
            <w:r>
              <w:t>321.6</w:t>
            </w:r>
          </w:p>
        </w:tc>
        <w:tc>
          <w:tcPr>
            <w:vAlign w:val="center"/>
          </w:tcPr>
          <w:p>
            <w:r>
              <w:t>321.6</w:t>
            </w:r>
          </w:p>
        </w:tc>
        <w:tc>
          <w:tcPr>
            <w:vAlign w:val="center"/>
          </w:tcPr>
          <w:p>
            <w:r>
              <w:t>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16.6</w:t>
            </w:r>
          </w:p>
        </w:tc>
        <w:tc>
          <w:tcPr>
            <w:vAlign w:val="center"/>
          </w:tcPr>
          <w:p>
            <w:r>
              <w:t>1.0</w:t>
            </w:r>
          </w:p>
        </w:tc>
        <w:tc>
          <w:tcPr>
            <w:vAlign w:val="center"/>
          </w:tcPr>
          <w:p>
            <w:r>
              <w:t>378.3</w:t>
            </w:r>
          </w:p>
        </w:tc>
        <w:tc>
          <w:tcPr>
            <w:vAlign w:val="center"/>
          </w:tcPr>
          <w:p>
            <w:r>
              <w:t>378.3</w:t>
            </w:r>
          </w:p>
        </w:tc>
        <w:tc>
          <w:tcPr>
            <w:vAlign w:val="center"/>
          </w:tcPr>
          <w:p>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16.7</w:t>
            </w:r>
          </w:p>
        </w:tc>
        <w:tc>
          <w:tcPr>
            <w:vAlign w:val="center"/>
          </w:tcPr>
          <w:p>
            <w:r>
              <w:t>1.0</w:t>
            </w:r>
          </w:p>
        </w:tc>
        <w:tc>
          <w:tcPr>
            <w:vAlign w:val="center"/>
          </w:tcPr>
          <w:p>
            <w:r>
              <w:t>354.7</w:t>
            </w:r>
          </w:p>
        </w:tc>
        <w:tc>
          <w:tcPr>
            <w:vAlign w:val="center"/>
          </w:tcPr>
          <w:p>
            <w:r>
              <w:t>354.7</w:t>
            </w:r>
          </w:p>
        </w:tc>
        <w:tc>
          <w:tcPr>
            <w:vAlign w:val="center"/>
          </w:tcPr>
          <w:p>
            <w:r>
              <w:t>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16.7</w:t>
            </w:r>
          </w:p>
        </w:tc>
        <w:tc>
          <w:tcPr>
            <w:vAlign w:val="center"/>
          </w:tcPr>
          <w:p>
            <w:r>
              <w:t>1.0</w:t>
            </w:r>
          </w:p>
        </w:tc>
        <w:tc>
          <w:tcPr>
            <w:vAlign w:val="center"/>
          </w:tcPr>
          <w:p>
            <w:r>
              <w:t>347.6</w:t>
            </w:r>
          </w:p>
        </w:tc>
        <w:tc>
          <w:tcPr>
            <w:vAlign w:val="center"/>
          </w:tcPr>
          <w:p>
            <w:r>
              <w:t>347.6</w:t>
            </w:r>
          </w:p>
        </w:tc>
        <w:tc>
          <w:tcPr>
            <w:vAlign w:val="center"/>
          </w:tcPr>
          <w:p>
            <w:r>
              <w:t>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16.7</w:t>
            </w:r>
          </w:p>
        </w:tc>
        <w:tc>
          <w:tcPr>
            <w:vAlign w:val="center"/>
          </w:tcPr>
          <w:p>
            <w:r>
              <w:t>1.0</w:t>
            </w:r>
          </w:p>
        </w:tc>
        <w:tc>
          <w:tcPr>
            <w:vAlign w:val="center"/>
          </w:tcPr>
          <w:p>
            <w:r>
              <w:t>298.1</w:t>
            </w:r>
          </w:p>
        </w:tc>
        <w:tc>
          <w:tcPr>
            <w:vAlign w:val="center"/>
          </w:tcPr>
          <w:p>
            <w:r>
              <w:t>298.1</w:t>
            </w:r>
          </w:p>
        </w:tc>
        <w:tc>
          <w:tcPr>
            <w:vAlign w:val="center"/>
          </w:tcPr>
          <w:p>
            <w:r>
              <w:t>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16.7</w:t>
            </w:r>
          </w:p>
        </w:tc>
        <w:tc>
          <w:tcPr>
            <w:vAlign w:val="center"/>
          </w:tcPr>
          <w:p>
            <w:r>
              <w:t>1.0</w:t>
            </w:r>
          </w:p>
        </w:tc>
        <w:tc>
          <w:tcPr>
            <w:vAlign w:val="center"/>
          </w:tcPr>
          <w:p>
            <w:r>
              <w:t>230.3</w:t>
            </w:r>
          </w:p>
        </w:tc>
        <w:tc>
          <w:tcPr>
            <w:vAlign w:val="center"/>
          </w:tcPr>
          <w:p>
            <w:r>
              <w:t>230.3</w:t>
            </w:r>
          </w:p>
        </w:tc>
        <w:tc>
          <w:tcPr>
            <w:vAlign w:val="center"/>
          </w:tcPr>
          <w:p>
            <w: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16.7</w:t>
            </w:r>
          </w:p>
        </w:tc>
        <w:tc>
          <w:tcPr>
            <w:vAlign w:val="center"/>
          </w:tcPr>
          <w:p>
            <w:r>
              <w:t>1.0</w:t>
            </w:r>
          </w:p>
        </w:tc>
        <w:tc>
          <w:tcPr>
            <w:vAlign w:val="center"/>
          </w:tcPr>
          <w:p>
            <w:r>
              <w:t>163.6</w:t>
            </w:r>
          </w:p>
        </w:tc>
        <w:tc>
          <w:tcPr>
            <w:vAlign w:val="center"/>
          </w:tcPr>
          <w:p>
            <w:r>
              <w:t>163.6</w:t>
            </w:r>
          </w:p>
        </w:tc>
        <w:tc>
          <w:tcPr>
            <w:vAlign w:val="center"/>
          </w:tcPr>
          <w:p>
            <w:r>
              <w:t>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16.7</w:t>
            </w:r>
          </w:p>
        </w:tc>
        <w:tc>
          <w:tcPr>
            <w:vAlign w:val="center"/>
          </w:tcPr>
          <w:p>
            <w:r>
              <w:t>1.0</w:t>
            </w:r>
          </w:p>
        </w:tc>
        <w:tc>
          <w:tcPr>
            <w:vAlign w:val="center"/>
          </w:tcPr>
          <w:p>
            <w:r>
              <w:t>85.5</w:t>
            </w:r>
          </w:p>
        </w:tc>
        <w:tc>
          <w:tcPr>
            <w:vAlign w:val="center"/>
          </w:tcPr>
          <w:p>
            <w:r>
              <w:t>85.5</w:t>
            </w:r>
          </w:p>
        </w:tc>
        <w:tc>
          <w:tcPr>
            <w:vAlign w:val="center"/>
          </w:tcPr>
          <w:p>
            <w:r>
              <w:t>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16.6</w:t>
            </w:r>
          </w:p>
        </w:tc>
        <w:tc>
          <w:tcPr>
            <w:vAlign w:val="center"/>
          </w:tcPr>
          <w:p>
            <w:r>
              <w:t>1.0</w:t>
            </w:r>
          </w:p>
        </w:tc>
        <w:tc>
          <w:tcPr>
            <w:vAlign w:val="center"/>
          </w:tcPr>
          <w:p>
            <w:r>
              <w:t>22.8</w:t>
            </w:r>
          </w:p>
        </w:tc>
        <w:tc>
          <w:tcPr>
            <w:vAlign w:val="center"/>
          </w:tcPr>
          <w:p>
            <w:r>
              <w:t>22.8</w:t>
            </w:r>
          </w:p>
        </w:tc>
        <w:tc>
          <w:tcPr>
            <w:vAlign w:val="center"/>
          </w:tcPr>
          <w:p>
            <w:r>
              <w:t>16.6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18.24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4" w:name="湿球黑球温度"/>
      <w:bookmarkEnd w:id="54"/>
    </w:p>
    <w:p>
      <w:pPr>
        <w:pStyle w:val="3"/>
        <w:ind w:firstLine="0" w:firstLineChars="0"/>
        <w:rPr>
          <w:lang w:val="en-US"/>
        </w:rPr>
      </w:pPr>
      <w:bookmarkStart w:id="55" w:name="湿球黑球温度图片"/>
      <w:bookmarkEnd w:id="55"/>
    </w:p>
    <w:p>
      <w:pPr>
        <w:pStyle w:val="2"/>
      </w:pPr>
      <w:bookmarkStart w:id="56" w:name="_Toc26541"/>
      <w:r>
        <w:rPr>
          <w:rFonts w:hint="eastAsia"/>
        </w:rPr>
        <w:t>结论</w:t>
      </w:r>
      <w:bookmarkEnd w:id="5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b/>
              </w:rPr>
              <w:t>强条</w:t>
            </w:r>
          </w:p>
        </w:tc>
        <w:tc>
          <w:tcPr>
            <w:vAlign w:val="center"/>
          </w:tcPr>
          <w:p>
            <w:r>
              <w:rPr>
                <w:b/>
              </w:rPr>
              <w:t>平均迎风面积比</w:t>
            </w:r>
          </w:p>
        </w:tc>
        <w:tc>
          <w:tcPr>
            <w:vAlign w:val="center"/>
          </w:tcPr>
          <w:p>
            <w:r>
              <w:rPr>
                <w:b/>
              </w:rPr>
              <w:t>满足</w:t>
            </w:r>
          </w:p>
        </w:tc>
        <w:tc>
          <w:tcPr>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rPr>
                <w:b/>
              </w:rPr>
              <w:t>活动场地遮阳覆盖率</w:t>
            </w:r>
          </w:p>
        </w:tc>
        <w:tc>
          <w:tcPr>
            <w:vAlign w:val="center"/>
          </w:tcPr>
          <w:p>
            <w:r>
              <w:rPr>
                <w:b/>
              </w:rP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规定性设计</w:t>
            </w:r>
          </w:p>
        </w:tc>
        <w:tc>
          <w:tcPr>
            <w:vAlign w:val="center"/>
          </w:tcPr>
          <w:p>
            <w:r>
              <w:t>底层通风架空率</w:t>
            </w:r>
          </w:p>
        </w:tc>
        <w:tc>
          <w:tcPr>
            <w:vAlign w:val="center"/>
          </w:tcPr>
          <w:p>
            <w:r>
              <w:t>满足</w:t>
            </w:r>
          </w:p>
        </w:tc>
        <w:tc>
          <w:tcPr>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绿化遮阳体叶面积指数</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渗透蒸发指标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屋面绿化率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评价性设计</w:t>
            </w:r>
          </w:p>
        </w:tc>
        <w:tc>
          <w:tcPr>
            <w:vAlign w:val="center"/>
          </w:tcPr>
          <w:p>
            <w:r>
              <w:t>平均热岛强度</w:t>
            </w:r>
          </w:p>
        </w:tc>
        <w:tc>
          <w:tcPr>
            <w:vAlign w:val="center"/>
          </w:tcPr>
          <w:p>
            <w:r>
              <w:t>满足</w:t>
            </w:r>
          </w:p>
        </w:tc>
        <w:tc>
          <w:tcPr>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湿球黑球温度</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2"/>
            <w:vAlign w:val="center"/>
          </w:tcPr>
          <w:p>
            <w:r>
              <w:rPr>
                <w:b/>
              </w:rPr>
              <w:t>满足</w:t>
            </w:r>
          </w:p>
        </w:tc>
      </w:tr>
    </w:tbl>
    <w:p>
      <w:pPr>
        <w:pStyle w:val="3"/>
        <w:ind w:firstLine="420"/>
        <w:rPr>
          <w:lang w:val="en-US"/>
        </w:rPr>
      </w:pPr>
      <w:bookmarkStart w:id="57" w:name="结论"/>
      <w:bookmarkEnd w:id="5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A551EB"/>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 w:val="0CA5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11</Pages>
  <Words>2709</Words>
  <Characters>4417</Characters>
  <Lines>20</Lines>
  <Paragraphs>5</Paragraphs>
  <TotalTime>0</TotalTime>
  <ScaleCrop>false</ScaleCrop>
  <LinksUpToDate>false</LinksUpToDate>
  <CharactersWithSpaces>4478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2021-01-04T12:47:00Z</dcterms:created>
  <dc:creator>张</dc:creator>
  <cp:lastModifiedBy>张</cp:lastModifiedBy>
  <dcterms:modified xsi:type="dcterms:W3CDTF">2021-01-04T12:47:45Z</dcterms:modified>
  <dc:title>住区热环境设计报告书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