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r>
              <w:t>图书馆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2021年1月6日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T18773180089</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lang w:val="en-US"/>
        </w:rPr>
      </w:pPr>
    </w:p>
    <w:p>
      <w:pPr>
        <w:spacing w:line="240" w:lineRule="auto"/>
        <w:rPr>
          <w:lang w:val="en-US"/>
        </w:rPr>
      </w:pPr>
      <w:bookmarkStart w:id="86" w:name="_GoBack"/>
      <w:bookmarkStart w:id="12"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rPr>
          </w:pPr>
          <w:r>
            <w:rPr>
              <w:color w:val="000000" w:themeColor="text1"/>
              <w:lang w:val="zh-CN"/>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_Toc12374 </w:instrText>
          </w:r>
          <w:r>
            <w:fldChar w:fldCharType="separate"/>
          </w:r>
          <w:r>
            <w:rPr>
              <w:rFonts w:hint="eastAsia"/>
            </w:rPr>
            <w:t>1. 建筑概况</w:t>
          </w:r>
          <w:r>
            <w:tab/>
          </w:r>
          <w:r>
            <w:fldChar w:fldCharType="begin"/>
          </w:r>
          <w:r>
            <w:instrText xml:space="preserve"> PAGEREF _Toc12374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_Toc9205 </w:instrText>
          </w:r>
          <w:r>
            <w:rPr>
              <w:bCs/>
              <w:lang w:val="zh-CN"/>
            </w:rPr>
            <w:fldChar w:fldCharType="separate"/>
          </w:r>
          <w:r>
            <w:rPr>
              <w:rFonts w:hint="eastAsia"/>
            </w:rPr>
            <w:t>2. 设计依据</w:t>
          </w:r>
          <w:r>
            <w:tab/>
          </w:r>
          <w:r>
            <w:fldChar w:fldCharType="begin"/>
          </w:r>
          <w:r>
            <w:instrText xml:space="preserve"> PAGEREF _Toc9205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_Toc10943 </w:instrText>
          </w:r>
          <w:r>
            <w:rPr>
              <w:bCs/>
              <w:lang w:val="zh-CN"/>
            </w:rPr>
            <w:fldChar w:fldCharType="separate"/>
          </w:r>
          <w:r>
            <w:rPr>
              <w:rFonts w:hint="eastAsia"/>
            </w:rPr>
            <w:t>3. 计算</w:t>
          </w:r>
          <w:r>
            <w:t>目的</w:t>
          </w:r>
          <w:r>
            <w:tab/>
          </w:r>
          <w:r>
            <w:fldChar w:fldCharType="begin"/>
          </w:r>
          <w:r>
            <w:instrText xml:space="preserve"> PAGEREF _Toc10943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_Toc414 </w:instrText>
          </w:r>
          <w:r>
            <w:rPr>
              <w:bCs/>
              <w:lang w:val="zh-CN"/>
            </w:rPr>
            <w:fldChar w:fldCharType="separate"/>
          </w:r>
          <w:r>
            <w:rPr>
              <w:rFonts w:hint="eastAsia"/>
            </w:rPr>
            <w:t>4. 标准要求</w:t>
          </w:r>
          <w:r>
            <w:tab/>
          </w:r>
          <w:r>
            <w:fldChar w:fldCharType="begin"/>
          </w:r>
          <w:r>
            <w:instrText xml:space="preserve"> PAGEREF _Toc414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_Toc19130 </w:instrText>
          </w:r>
          <w:r>
            <w:rPr>
              <w:bCs/>
              <w:lang w:val="zh-CN"/>
            </w:rPr>
            <w:fldChar w:fldCharType="separate"/>
          </w:r>
          <w:r>
            <w:rPr>
              <w:rFonts w:hint="eastAsia"/>
            </w:rPr>
            <w:t>5. 采光分析</w:t>
          </w:r>
          <w:r>
            <w:t>概述</w:t>
          </w:r>
          <w:r>
            <w:tab/>
          </w:r>
          <w:r>
            <w:fldChar w:fldCharType="begin"/>
          </w:r>
          <w:r>
            <w:instrText xml:space="preserve"> PAGEREF _Toc19130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_Toc6124 </w:instrText>
          </w:r>
          <w:r>
            <w:rPr>
              <w:bCs/>
              <w:lang w:val="zh-CN"/>
            </w:rPr>
            <w:fldChar w:fldCharType="separate"/>
          </w:r>
          <w:r>
            <w:rPr>
              <w:rFonts w:hint="eastAsia"/>
              <w:lang w:val="en-GB"/>
            </w:rPr>
            <w:t xml:space="preserve">5.1 </w:t>
          </w:r>
          <w:r>
            <w:rPr>
              <w:rFonts w:hint="eastAsia"/>
            </w:rPr>
            <w:t>基本原理</w:t>
          </w:r>
          <w:r>
            <w:tab/>
          </w:r>
          <w:r>
            <w:fldChar w:fldCharType="begin"/>
          </w:r>
          <w:r>
            <w:instrText xml:space="preserve"> PAGEREF _Toc6124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_Toc16821 </w:instrText>
          </w:r>
          <w:r>
            <w:rPr>
              <w:bCs/>
              <w:lang w:val="zh-CN"/>
            </w:rPr>
            <w:fldChar w:fldCharType="separate"/>
          </w:r>
          <w:r>
            <w:rPr>
              <w:rFonts w:hint="eastAsia"/>
              <w:lang w:val="en-GB"/>
            </w:rPr>
            <w:t xml:space="preserve">5.2 </w:t>
          </w:r>
          <w:r>
            <w:t>分析软件</w:t>
          </w:r>
          <w:r>
            <w:tab/>
          </w:r>
          <w:r>
            <w:fldChar w:fldCharType="begin"/>
          </w:r>
          <w:r>
            <w:instrText xml:space="preserve"> PAGEREF _Toc16821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_Toc12144 </w:instrText>
          </w:r>
          <w:r>
            <w:rPr>
              <w:bCs/>
              <w:lang w:val="zh-CN"/>
            </w:rPr>
            <w:fldChar w:fldCharType="separate"/>
          </w:r>
          <w:r>
            <w:rPr>
              <w:rFonts w:hint="eastAsia"/>
              <w:lang w:val="en-GB"/>
            </w:rPr>
            <w:t xml:space="preserve">5.3 </w:t>
          </w:r>
          <w:r>
            <w:rPr>
              <w:rFonts w:hint="eastAsia"/>
            </w:rPr>
            <w:t>计算方法</w:t>
          </w:r>
          <w:r>
            <w:tab/>
          </w:r>
          <w:r>
            <w:fldChar w:fldCharType="begin"/>
          </w:r>
          <w:r>
            <w:instrText xml:space="preserve"> PAGEREF _Toc12144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_Toc1900 </w:instrText>
          </w:r>
          <w:r>
            <w:rPr>
              <w:bCs/>
              <w:lang w:val="zh-CN"/>
            </w:rPr>
            <w:fldChar w:fldCharType="separate"/>
          </w:r>
          <w:r>
            <w:rPr>
              <w:rFonts w:hint="eastAsia" w:eastAsia="宋体"/>
              <w:szCs w:val="24"/>
              <w:lang w:val="en-GB"/>
            </w:rPr>
            <w:t xml:space="preserve">5.3.1 </w:t>
          </w:r>
          <w:r>
            <w:rPr>
              <w:rFonts w:hint="eastAsia"/>
            </w:rPr>
            <w:t>模拟法</w:t>
          </w:r>
          <w:r>
            <w:tab/>
          </w:r>
          <w:r>
            <w:fldChar w:fldCharType="begin"/>
          </w:r>
          <w:r>
            <w:instrText xml:space="preserve"> PAGEREF _Toc1900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_Toc13471 </w:instrText>
          </w:r>
          <w:r>
            <w:rPr>
              <w:bCs/>
              <w:lang w:val="zh-CN"/>
            </w:rPr>
            <w:fldChar w:fldCharType="separate"/>
          </w:r>
          <w:r>
            <w:rPr>
              <w:rFonts w:hint="eastAsia" w:eastAsia="宋体"/>
              <w:szCs w:val="24"/>
              <w:lang w:val="en-GB"/>
            </w:rPr>
            <w:t xml:space="preserve">5.3.2 </w:t>
          </w:r>
          <w:r>
            <w:rPr>
              <w:rFonts w:hint="eastAsia"/>
            </w:rPr>
            <w:t>公式法、</w:t>
          </w:r>
          <w:r>
            <w:t>公式扩展法</w:t>
          </w:r>
          <w:r>
            <w:tab/>
          </w:r>
          <w:r>
            <w:fldChar w:fldCharType="begin"/>
          </w:r>
          <w:r>
            <w:instrText xml:space="preserve"> PAGEREF _Toc13471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_Toc903 </w:instrText>
          </w:r>
          <w:r>
            <w:rPr>
              <w:bCs/>
              <w:lang w:val="zh-CN"/>
            </w:rPr>
            <w:fldChar w:fldCharType="separate"/>
          </w:r>
          <w:r>
            <w:rPr>
              <w:rFonts w:hint="eastAsia" w:eastAsia="宋体"/>
              <w:szCs w:val="24"/>
              <w:lang w:val="en-GB"/>
            </w:rPr>
            <w:t xml:space="preserve">5.3.3 </w:t>
          </w:r>
          <w:r>
            <w:rPr>
              <w:rFonts w:hint="eastAsia"/>
            </w:rPr>
            <w:t>小结</w:t>
          </w:r>
          <w:r>
            <w:tab/>
          </w:r>
          <w:r>
            <w:fldChar w:fldCharType="begin"/>
          </w:r>
          <w:r>
            <w:instrText xml:space="preserve"> PAGEREF _Toc903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_Toc29049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_Toc29049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_Toc15634 </w:instrText>
          </w:r>
          <w:r>
            <w:rPr>
              <w:bCs/>
              <w:lang w:val="zh-CN"/>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_Toc15634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_Toc27047 </w:instrText>
          </w:r>
          <w:r>
            <w:rPr>
              <w:bCs/>
              <w:lang w:val="zh-CN"/>
            </w:rPr>
            <w:fldChar w:fldCharType="separate"/>
          </w:r>
          <w:r>
            <w:rPr>
              <w:rFonts w:hint="eastAsia"/>
              <w:lang w:val="en-GB"/>
            </w:rPr>
            <w:t xml:space="preserve">6.2 </w:t>
          </w:r>
          <w:r>
            <w:rPr>
              <w:rFonts w:hint="eastAsia"/>
            </w:rPr>
            <w:t>建筑饰面材料参数</w:t>
          </w:r>
          <w:r>
            <w:tab/>
          </w:r>
          <w:r>
            <w:fldChar w:fldCharType="begin"/>
          </w:r>
          <w:r>
            <w:instrText xml:space="preserve"> PAGEREF _Toc27047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_Toc1723 </w:instrText>
          </w:r>
          <w:r>
            <w:rPr>
              <w:bCs/>
              <w:lang w:val="zh-CN"/>
            </w:rPr>
            <w:fldChar w:fldCharType="separate"/>
          </w:r>
          <w:r>
            <w:rPr>
              <w:rFonts w:hint="eastAsia"/>
              <w:lang w:val="en-GB"/>
            </w:rPr>
            <w:t xml:space="preserve">6.3 </w:t>
          </w:r>
          <w:r>
            <w:rPr>
              <w:rFonts w:hint="eastAsia"/>
            </w:rPr>
            <w:t>门窗类型参数</w:t>
          </w:r>
          <w:r>
            <w:tab/>
          </w:r>
          <w:r>
            <w:fldChar w:fldCharType="begin"/>
          </w:r>
          <w:r>
            <w:instrText xml:space="preserve"> PAGEREF _Toc1723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_Toc5178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_Toc5178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_Toc5625 </w:instrText>
          </w:r>
          <w:r>
            <w:rPr>
              <w:bCs/>
              <w:lang w:val="zh-CN"/>
            </w:rPr>
            <w:fldChar w:fldCharType="separate"/>
          </w:r>
          <w:r>
            <w:rPr>
              <w:rFonts w:hint="eastAsia" w:eastAsia="宋体"/>
              <w:szCs w:val="24"/>
              <w:lang w:val="en-GB"/>
            </w:rPr>
            <w:t xml:space="preserve">6.3.2 </w:t>
          </w:r>
          <w:r>
            <w:rPr>
              <w:rFonts w:hint="eastAsia"/>
            </w:rPr>
            <w:t>玻璃幕墙</w:t>
          </w:r>
          <w:r>
            <w:tab/>
          </w:r>
          <w:r>
            <w:fldChar w:fldCharType="begin"/>
          </w:r>
          <w:r>
            <w:instrText xml:space="preserve"> PAGEREF _Toc5625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_Toc18611 </w:instrText>
          </w:r>
          <w:r>
            <w:rPr>
              <w:bCs/>
              <w:lang w:val="zh-CN"/>
            </w:rPr>
            <w:fldChar w:fldCharType="separate"/>
          </w:r>
          <w:r>
            <w:rPr>
              <w:rFonts w:hint="eastAsia"/>
            </w:rPr>
            <w:t>7. 房间模拟</w:t>
          </w:r>
          <w:r>
            <w:t>结果</w:t>
          </w:r>
          <w:r>
            <w:tab/>
          </w:r>
          <w:r>
            <w:fldChar w:fldCharType="begin"/>
          </w:r>
          <w:r>
            <w:instrText xml:space="preserve"> PAGEREF _Toc18611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_Toc9362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_Toc9362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_Toc8446 </w:instrText>
          </w:r>
          <w:r>
            <w:rPr>
              <w:bCs/>
              <w:lang w:val="zh-CN"/>
            </w:rPr>
            <w:fldChar w:fldCharType="separate"/>
          </w:r>
          <w:r>
            <w:rPr>
              <w:rFonts w:hint="eastAsia"/>
            </w:rPr>
            <w:t>9. 结论</w:t>
          </w:r>
          <w:r>
            <w:tab/>
          </w:r>
          <w:r>
            <w:fldChar w:fldCharType="begin"/>
          </w:r>
          <w:r>
            <w:instrText xml:space="preserve"> PAGEREF _Toc8446 </w:instrText>
          </w:r>
          <w:r>
            <w:fldChar w:fldCharType="separate"/>
          </w:r>
          <w:r>
            <w:t>11</w:t>
          </w:r>
          <w:r>
            <w:fldChar w:fldCharType="end"/>
          </w:r>
          <w:r>
            <w:rPr>
              <w:bCs/>
              <w:lang w:val="zh-CN"/>
            </w:rPr>
            <w:fldChar w:fldCharType="end"/>
          </w:r>
        </w:p>
        <w:p>
          <w:r>
            <w:rPr>
              <w:bCs/>
              <w:lang w:val="zh-CN"/>
            </w:rPr>
            <w:fldChar w:fldCharType="end"/>
          </w:r>
        </w:p>
      </w:sdtContent>
    </w:sdt>
    <w:p>
      <w:pPr>
        <w:spacing w:line="240" w:lineRule="auto"/>
        <w:rPr>
          <w:lang w:val="en-US"/>
        </w:rPr>
      </w:pPr>
      <w:bookmarkEnd w:id="86"/>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237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ascii="宋体" w:hAnsi="宋体"/>
                <w:sz w:val="18"/>
                <w:szCs w:val="18"/>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r>
              <w:rPr>
                <w:rFonts w:ascii="宋体" w:hAnsi="宋体"/>
                <w:sz w:val="18"/>
                <w:szCs w:val="18"/>
                <w:lang w:val="en-US"/>
              </w:rPr>
              <w:t xml:space="preserve">           </w:t>
            </w:r>
            <w:bookmarkStart w:id="14" w:name="项目地点"/>
            <w:r>
              <w:t>湘潭</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3023.13</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3</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16.00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0" w:firstLineChars="0"/>
        <w:jc w:val="center"/>
        <w:rPr>
          <w:lang w:val="en-US"/>
        </w:rPr>
      </w:pPr>
    </w:p>
    <w:p>
      <w:pPr>
        <w:pStyle w:val="3"/>
        <w:ind w:firstLine="420"/>
        <w:jc w:val="center"/>
        <w:rPr>
          <w:lang w:val="en-US"/>
        </w:rPr>
      </w:pPr>
    </w:p>
    <w:p>
      <w:pPr>
        <w:pStyle w:val="2"/>
        <w:ind w:left="432" w:hanging="432"/>
      </w:pPr>
      <w:bookmarkStart w:id="24" w:name="_Toc9205"/>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10943"/>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414"/>
      <w:r>
        <w:rPr>
          <w:rFonts w:hint="eastAsia"/>
        </w:rPr>
        <w:t>标准要求</w:t>
      </w:r>
      <w:bookmarkEnd w:id="27"/>
    </w:p>
    <w:p>
      <w:pPr>
        <w:pStyle w:val="3"/>
        <w:ind w:firstLine="420"/>
        <w:rPr>
          <w:rFonts w:ascii="宋体" w:hAnsi="宋体"/>
          <w:lang w:val="en-US"/>
        </w:rPr>
      </w:pPr>
      <w:r>
        <w:rPr>
          <w:lang w:val="en-US"/>
        </w:rPr>
        <w:t>本项目为</w:t>
      </w:r>
      <w:r>
        <w:rPr>
          <w:rFonts w:hint="eastAsia"/>
          <w:lang w:val="en-US"/>
        </w:rPr>
        <w:t>图书馆</w:t>
      </w:r>
      <w:r>
        <w:rPr>
          <w:lang w:val="en-US"/>
        </w:rPr>
        <w:t>建筑，《建筑采光设计标准》GB50033</w:t>
      </w:r>
      <w:r>
        <w:rPr>
          <w:rFonts w:hint="eastAsia" w:ascii="宋体" w:hAnsi="宋体"/>
          <w:lang w:val="en-US"/>
        </w:rPr>
        <w:t>中</w:t>
      </w:r>
      <w:r>
        <w:rPr>
          <w:rFonts w:ascii="宋体" w:hAnsi="宋体"/>
          <w:lang w:val="en-US"/>
        </w:rPr>
        <w:t>对</w:t>
      </w:r>
      <w:r>
        <w:rPr>
          <w:rFonts w:hint="eastAsia" w:ascii="宋体" w:hAnsi="宋体"/>
          <w:lang w:val="en-US"/>
        </w:rPr>
        <w:t>图书馆</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pStyle w:val="27"/>
        <w:numPr>
          <w:ilvl w:val="0"/>
          <w:numId w:val="2"/>
        </w:numPr>
        <w:spacing w:line="420" w:lineRule="auto"/>
        <w:ind w:firstLineChars="0"/>
        <w:jc w:val="center"/>
        <w:rPr>
          <w:rFonts w:eastAsia="黑体"/>
          <w:sz w:val="21"/>
          <w:szCs w:val="21"/>
        </w:rPr>
      </w:pPr>
      <w:r>
        <w:rPr>
          <w:rFonts w:eastAsia="黑体"/>
          <w:sz w:val="21"/>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4.0.</w:t>
      </w:r>
      <w:r>
        <w:rPr>
          <w:rFonts w:hint="eastAsia" w:ascii="Times New Roman" w:hAnsi="Times New Roman" w:eastAsia="黑体"/>
          <w:sz w:val="21"/>
          <w:szCs w:val="21"/>
        </w:rPr>
        <w:t>9</w:t>
      </w:r>
      <w:r>
        <w:rPr>
          <w:rFonts w:ascii="Times New Roman" w:hAnsi="Times New Roman" w:eastAsia="黑体"/>
          <w:sz w:val="21"/>
          <w:szCs w:val="21"/>
        </w:rPr>
        <w:t xml:space="preserve">  </w:t>
      </w:r>
      <w:r>
        <w:rPr>
          <w:rFonts w:hint="eastAsia" w:ascii="Times New Roman" w:hAnsi="Times New Roman" w:eastAsia="黑体"/>
          <w:sz w:val="21"/>
          <w:szCs w:val="21"/>
        </w:rPr>
        <w:t>图书馆建筑的采光标准值不应低于表4.0.9的规定。</w:t>
      </w:r>
    </w:p>
    <w:p>
      <w:pPr>
        <w:pStyle w:val="27"/>
        <w:numPr>
          <w:ilvl w:val="0"/>
          <w:numId w:val="2"/>
        </w:numPr>
        <w:spacing w:line="420" w:lineRule="auto"/>
        <w:ind w:firstLineChars="0"/>
        <w:jc w:val="center"/>
        <w:rPr>
          <w:rFonts w:eastAsia="黑体"/>
          <w:sz w:val="21"/>
          <w:szCs w:val="21"/>
        </w:rPr>
      </w:pPr>
      <w:r>
        <w:rPr>
          <w:rFonts w:hint="eastAsia" w:eastAsia="黑体"/>
          <w:sz w:val="21"/>
          <w:szCs w:val="21"/>
        </w:rPr>
        <w:t>表</w:t>
      </w:r>
      <w:r>
        <w:rPr>
          <w:rFonts w:eastAsia="黑体"/>
          <w:sz w:val="21"/>
          <w:szCs w:val="21"/>
        </w:rPr>
        <w:t>4.0.</w:t>
      </w:r>
      <w:r>
        <w:rPr>
          <w:rFonts w:hint="eastAsia" w:eastAsia="黑体"/>
          <w:sz w:val="21"/>
          <w:szCs w:val="21"/>
        </w:rPr>
        <w:t>9</w:t>
      </w:r>
      <w:r>
        <w:rPr>
          <w:rFonts w:eastAsia="黑体"/>
          <w:sz w:val="21"/>
          <w:szCs w:val="21"/>
        </w:rPr>
        <w:t xml:space="preserve">  </w:t>
      </w:r>
      <w:r>
        <w:rPr>
          <w:rFonts w:hint="eastAsia" w:eastAsia="黑体"/>
          <w:sz w:val="21"/>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311"/>
        <w:gridCol w:w="1276"/>
        <w:gridCol w:w="1275"/>
        <w:gridCol w:w="1276"/>
        <w:gridCol w:w="1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tcBorders>
              <w:top w:val="single" w:color="auto" w:sz="12" w:space="0"/>
              <w:left w:val="single" w:color="auto" w:sz="12"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采光等级</w:t>
            </w:r>
          </w:p>
        </w:tc>
        <w:tc>
          <w:tcPr>
            <w:tcW w:w="2311"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场所名称</w:t>
            </w:r>
          </w:p>
        </w:tc>
        <w:tc>
          <w:tcPr>
            <w:tcW w:w="2551"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侧面采光</w:t>
            </w:r>
          </w:p>
        </w:tc>
        <w:tc>
          <w:tcPr>
            <w:tcW w:w="2505" w:type="dxa"/>
            <w:gridSpan w:val="2"/>
            <w:tcBorders>
              <w:top w:val="single" w:color="auto" w:sz="12" w:space="0"/>
              <w:left w:val="single" w:color="auto" w:sz="4" w:space="0"/>
              <w:bottom w:val="single" w:color="auto" w:sz="4" w:space="0"/>
              <w:right w:val="single" w:color="auto" w:sz="12" w:space="0"/>
            </w:tcBorders>
          </w:tcPr>
          <w:p>
            <w:pPr>
              <w:widowControl w:val="0"/>
              <w:jc w:val="center"/>
              <w:rPr>
                <w:rFonts w:eastAsia="微软雅黑"/>
                <w:szCs w:val="21"/>
              </w:rPr>
            </w:pPr>
            <w:r>
              <w:rPr>
                <w:rFonts w:hint="eastAsia" w:eastAsia="微软雅黑"/>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12" w:space="0"/>
              <w:left w:val="single" w:color="auto" w:sz="12" w:space="0"/>
              <w:bottom w:val="single" w:color="auto" w:sz="4" w:space="0"/>
              <w:right w:val="single" w:color="auto" w:sz="4" w:space="0"/>
            </w:tcBorders>
            <w:vAlign w:val="center"/>
          </w:tcPr>
          <w:p>
            <w:pPr>
              <w:widowControl w:val="0"/>
              <w:jc w:val="center"/>
              <w:rPr>
                <w:rFonts w:eastAsia="微软雅黑"/>
                <w:szCs w:val="21"/>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val="0"/>
              <w:jc w:val="center"/>
              <w:rPr>
                <w:rFonts w:eastAsia="微软雅黑"/>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采光系数</w:t>
            </w:r>
          </w:p>
          <w:p>
            <w:pPr>
              <w:widowControl w:val="0"/>
              <w:jc w:val="center"/>
              <w:rPr>
                <w:rFonts w:eastAsia="微软雅黑"/>
                <w:szCs w:val="21"/>
              </w:rPr>
            </w:pPr>
            <w:r>
              <w:rPr>
                <w:rFonts w:hint="eastAsia" w:eastAsia="微软雅黑"/>
                <w:szCs w:val="21"/>
              </w:rPr>
              <w:t>标准值</w:t>
            </w:r>
          </w:p>
          <w:p>
            <w:pPr>
              <w:widowControl w:val="0"/>
              <w:jc w:val="center"/>
              <w:rPr>
                <w:rFonts w:eastAsia="微软雅黑"/>
                <w:szCs w:val="21"/>
              </w:rPr>
            </w:pPr>
            <w:r>
              <w:rPr>
                <w:rFonts w:hint="eastAsia" w:eastAsia="微软雅黑"/>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室外天然光照度标准值（lx）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采光系数</w:t>
            </w:r>
          </w:p>
          <w:p>
            <w:pPr>
              <w:widowControl w:val="0"/>
              <w:jc w:val="center"/>
              <w:rPr>
                <w:rFonts w:eastAsia="微软雅黑"/>
                <w:szCs w:val="21"/>
              </w:rPr>
            </w:pPr>
            <w:r>
              <w:rPr>
                <w:rFonts w:hint="eastAsia" w:eastAsia="微软雅黑"/>
                <w:szCs w:val="21"/>
              </w:rPr>
              <w:t>标准值</w:t>
            </w:r>
          </w:p>
          <w:p>
            <w:pPr>
              <w:widowControl w:val="0"/>
              <w:jc w:val="center"/>
              <w:rPr>
                <w:rFonts w:eastAsia="微软雅黑"/>
                <w:szCs w:val="21"/>
              </w:rPr>
            </w:pPr>
            <w:r>
              <w:rPr>
                <w:rFonts w:hint="eastAsia" w:eastAsia="微软雅黑"/>
                <w:szCs w:val="21"/>
              </w:rPr>
              <w:t>（%）</w:t>
            </w:r>
          </w:p>
        </w:tc>
        <w:tc>
          <w:tcPr>
            <w:tcW w:w="1229" w:type="dxa"/>
            <w:tcBorders>
              <w:top w:val="single" w:color="auto" w:sz="4" w:space="0"/>
              <w:left w:val="single" w:color="auto" w:sz="4" w:space="0"/>
              <w:bottom w:val="single" w:color="auto" w:sz="4" w:space="0"/>
              <w:right w:val="single" w:color="auto" w:sz="12" w:space="0"/>
            </w:tcBorders>
            <w:vAlign w:val="center"/>
          </w:tcPr>
          <w:p>
            <w:pPr>
              <w:widowControl w:val="0"/>
              <w:jc w:val="center"/>
              <w:rPr>
                <w:rFonts w:eastAsia="微软雅黑"/>
                <w:szCs w:val="21"/>
              </w:rPr>
            </w:pPr>
            <w:r>
              <w:rPr>
                <w:rFonts w:hint="eastAsia" w:eastAsia="微软雅黑"/>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047" w:type="dxa"/>
            <w:tcBorders>
              <w:top w:val="single" w:color="auto" w:sz="4" w:space="0"/>
              <w:left w:val="single" w:color="auto" w:sz="12"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Ⅲ</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eastAsia="微软雅黑"/>
                <w:szCs w:val="21"/>
              </w:rPr>
            </w:pPr>
            <w:r>
              <w:rPr>
                <w:rFonts w:hint="eastAsia" w:eastAsia="微软雅黑"/>
                <w:szCs w:val="21"/>
              </w:rPr>
              <w:t>阅览室、开架书库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3.0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2.0</w:t>
            </w:r>
          </w:p>
        </w:tc>
        <w:tc>
          <w:tcPr>
            <w:tcW w:w="1229" w:type="dxa"/>
            <w:tcBorders>
              <w:top w:val="single" w:color="auto" w:sz="4" w:space="0"/>
              <w:left w:val="single" w:color="auto" w:sz="4" w:space="0"/>
              <w:bottom w:val="single" w:color="auto" w:sz="4" w:space="0"/>
              <w:right w:val="single" w:color="auto" w:sz="12" w:space="0"/>
            </w:tcBorders>
            <w:vAlign w:val="center"/>
          </w:tcPr>
          <w:p>
            <w:pPr>
              <w:widowControl w:val="0"/>
              <w:jc w:val="center"/>
              <w:rPr>
                <w:rFonts w:eastAsia="微软雅黑"/>
                <w:szCs w:val="21"/>
              </w:rPr>
            </w:pPr>
            <w:r>
              <w:rPr>
                <w:rFonts w:hint="eastAsia" w:eastAsia="微软雅黑"/>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47" w:type="dxa"/>
            <w:tcBorders>
              <w:top w:val="single" w:color="auto" w:sz="4" w:space="0"/>
              <w:left w:val="single" w:color="auto" w:sz="12"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Ⅳ</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目录室</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2.0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300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eastAsia="微软雅黑"/>
                <w:szCs w:val="21"/>
              </w:rPr>
            </w:pPr>
            <w:r>
              <w:rPr>
                <w:rFonts w:hint="eastAsia" w:eastAsia="微软雅黑"/>
                <w:szCs w:val="21"/>
              </w:rPr>
              <w:t>1.0</w:t>
            </w:r>
          </w:p>
        </w:tc>
        <w:tc>
          <w:tcPr>
            <w:tcW w:w="1229" w:type="dxa"/>
            <w:tcBorders>
              <w:top w:val="single" w:color="auto" w:sz="4" w:space="0"/>
              <w:left w:val="single" w:color="auto" w:sz="4" w:space="0"/>
              <w:bottom w:val="single" w:color="auto" w:sz="4" w:space="0"/>
              <w:right w:val="single" w:color="auto" w:sz="12" w:space="0"/>
            </w:tcBorders>
            <w:vAlign w:val="center"/>
          </w:tcPr>
          <w:p>
            <w:pPr>
              <w:widowControl w:val="0"/>
              <w:jc w:val="center"/>
              <w:rPr>
                <w:rFonts w:eastAsia="微软雅黑"/>
                <w:szCs w:val="21"/>
              </w:rPr>
            </w:pPr>
            <w:r>
              <w:rPr>
                <w:rFonts w:hint="eastAsia" w:eastAsia="微软雅黑"/>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047" w:type="dxa"/>
            <w:tcBorders>
              <w:top w:val="single" w:color="auto" w:sz="4" w:space="0"/>
              <w:left w:val="single" w:color="auto" w:sz="12" w:space="0"/>
              <w:bottom w:val="single" w:color="auto" w:sz="12" w:space="0"/>
              <w:right w:val="single" w:color="auto" w:sz="4" w:space="0"/>
            </w:tcBorders>
            <w:vAlign w:val="center"/>
          </w:tcPr>
          <w:p>
            <w:pPr>
              <w:widowControl w:val="0"/>
              <w:jc w:val="center"/>
              <w:rPr>
                <w:rFonts w:eastAsia="微软雅黑"/>
                <w:szCs w:val="21"/>
              </w:rPr>
            </w:pPr>
            <w:r>
              <w:rPr>
                <w:rFonts w:hint="eastAsia" w:eastAsia="微软雅黑"/>
                <w:szCs w:val="21"/>
              </w:rPr>
              <w:t>Ⅴ</w:t>
            </w:r>
          </w:p>
        </w:tc>
        <w:tc>
          <w:tcPr>
            <w:tcW w:w="2311"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eastAsia="微软雅黑"/>
                <w:szCs w:val="21"/>
              </w:rPr>
            </w:pPr>
            <w:r>
              <w:rPr>
                <w:rFonts w:hint="eastAsia" w:eastAsia="微软雅黑"/>
                <w:szCs w:val="21"/>
              </w:rPr>
              <w:t>书库、走道、楼梯间、卫生间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eastAsia="微软雅黑"/>
                <w:szCs w:val="21"/>
              </w:rPr>
            </w:pPr>
            <w:r>
              <w:rPr>
                <w:rFonts w:hint="eastAsia" w:eastAsia="微软雅黑"/>
                <w:szCs w:val="21"/>
              </w:rPr>
              <w:t>1.0</w:t>
            </w:r>
          </w:p>
        </w:tc>
        <w:tc>
          <w:tcPr>
            <w:tcW w:w="1275"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eastAsia="微软雅黑"/>
                <w:szCs w:val="21"/>
              </w:rPr>
            </w:pPr>
            <w:r>
              <w:rPr>
                <w:rFonts w:hint="eastAsia" w:eastAsia="微软雅黑"/>
                <w:szCs w:val="21"/>
              </w:rPr>
              <w:t>150</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eastAsia="微软雅黑"/>
                <w:szCs w:val="21"/>
              </w:rPr>
            </w:pPr>
            <w:r>
              <w:rPr>
                <w:rFonts w:hint="eastAsia" w:eastAsia="微软雅黑"/>
                <w:szCs w:val="21"/>
              </w:rPr>
              <w:t>0.5</w:t>
            </w:r>
          </w:p>
        </w:tc>
        <w:tc>
          <w:tcPr>
            <w:tcW w:w="1229" w:type="dxa"/>
            <w:tcBorders>
              <w:top w:val="single" w:color="auto" w:sz="4" w:space="0"/>
              <w:left w:val="single" w:color="auto" w:sz="4" w:space="0"/>
              <w:bottom w:val="single" w:color="auto" w:sz="12" w:space="0"/>
              <w:right w:val="single" w:color="auto" w:sz="12" w:space="0"/>
            </w:tcBorders>
            <w:vAlign w:val="center"/>
          </w:tcPr>
          <w:p>
            <w:pPr>
              <w:widowControl w:val="0"/>
              <w:jc w:val="center"/>
              <w:rPr>
                <w:rFonts w:eastAsia="微软雅黑"/>
                <w:szCs w:val="21"/>
              </w:rPr>
            </w:pPr>
            <w:r>
              <w:rPr>
                <w:rFonts w:hint="eastAsia" w:eastAsia="微软雅黑"/>
                <w:szCs w:val="21"/>
              </w:rPr>
              <w:t>75</w:t>
            </w:r>
          </w:p>
        </w:tc>
      </w:tr>
    </w:tbl>
    <w:p>
      <w:pPr>
        <w:pStyle w:val="2"/>
        <w:ind w:left="432" w:hanging="432"/>
      </w:pPr>
      <w:bookmarkStart w:id="28" w:name="_Toc290209336"/>
      <w:bookmarkStart w:id="29" w:name="_Toc264569232"/>
      <w:bookmarkStart w:id="30" w:name="_Toc290209312"/>
      <w:bookmarkStart w:id="31" w:name="_Toc264043625"/>
      <w:bookmarkStart w:id="32" w:name="_Toc275165382"/>
      <w:bookmarkStart w:id="33" w:name="_Toc312399791"/>
      <w:bookmarkStart w:id="34" w:name="_Toc290149054"/>
      <w:bookmarkStart w:id="35" w:name="_Toc19130"/>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6124"/>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spacing w:line="360" w:lineRule="auto"/>
        <w:ind w:firstLine="422"/>
        <w:rPr>
          <w:sz w:val="21"/>
          <w:szCs w:val="21"/>
        </w:rPr>
      </w:pPr>
      <w:r>
        <w:rPr>
          <w:rFonts w:hint="eastAsia"/>
          <w:b/>
          <w:sz w:val="21"/>
          <w:szCs w:val="21"/>
        </w:rPr>
        <w:t>1．采光系数：</w:t>
      </w: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室内某一点的采光系数C，计算公式为：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bookmarkStart w:id="37" w:name="_Toc264569237"/>
      <w:bookmarkStart w:id="38" w:name="_Toc290149059"/>
      <w:bookmarkStart w:id="39" w:name="_Toc312399796"/>
      <w:bookmarkStart w:id="40" w:name="_Toc290209317"/>
      <w:bookmarkStart w:id="41" w:name="_Toc275165387"/>
      <w:bookmarkStart w:id="42" w:name="_Toc264043630"/>
      <w:bookmarkStart w:id="43" w:name="_Toc290209341"/>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6821"/>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bookmarkStart w:id="45" w:name="_Toc470102443"/>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0" w:firstLineChars="0"/>
        <w:rPr>
          <w:rFonts w:ascii="Times New Roman" w:hAnsi="Times New Roman"/>
          <w:sz w:val="21"/>
          <w:szCs w:val="21"/>
        </w:rPr>
      </w:pPr>
      <w:r>
        <w:rPr>
          <w:rFonts w:ascii="Times New Roman" w:hAnsi="Times New Roman"/>
          <w:sz w:val="21"/>
          <w:szCs w:val="21"/>
        </w:rPr>
        <w:t xml:space="preserve">    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ascii="Times New Roman" w:hAnsi="Times New Roman"/>
          <w:b/>
          <w:sz w:val="21"/>
          <w:szCs w:val="21"/>
        </w:rP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sz w:val="21"/>
          <w:szCs w:val="21"/>
        </w:rPr>
        <w:t>。</w:t>
      </w:r>
    </w:p>
    <w:p>
      <w:pPr>
        <w:pStyle w:val="4"/>
        <w:tabs>
          <w:tab w:val="left" w:pos="862"/>
          <w:tab w:val="clear" w:pos="578"/>
        </w:tabs>
        <w:ind w:left="862"/>
      </w:pPr>
      <w:bookmarkStart w:id="46" w:name="_Toc12144"/>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1900"/>
      <w:r>
        <w:rPr>
          <w:rFonts w:hint="eastAsia"/>
        </w:rPr>
        <w:t>模拟法</w:t>
      </w:r>
      <w:bookmarkEnd w:id="47"/>
    </w:p>
    <w:p>
      <w:pPr>
        <w:pStyle w:val="13"/>
        <w:spacing w:line="360" w:lineRule="auto"/>
        <w:ind w:firstLine="420"/>
        <w:rPr>
          <w:sz w:val="21"/>
          <w:szCs w:val="21"/>
        </w:rPr>
      </w:pPr>
      <w:r>
        <w:rPr>
          <w:rFonts w:hint="eastAsia"/>
          <w:sz w:val="21"/>
          <w:szCs w:val="21"/>
        </w:rPr>
        <w:t>在</w:t>
      </w:r>
      <w:r>
        <w:rPr>
          <w:rFonts w:ascii="Times New Roman" w:hAnsi="Times New Roman"/>
          <w:sz w:val="21"/>
          <w:szCs w:val="21"/>
        </w:rPr>
        <w:t>Dali</w:t>
      </w:r>
      <w:r>
        <w:rPr>
          <w:rFonts w:hint="eastAsia"/>
          <w:sz w:val="21"/>
          <w:szCs w:val="21"/>
        </w:rPr>
        <w:t>中</w:t>
      </w:r>
      <w:r>
        <w:rPr>
          <w:sz w:val="21"/>
          <w:szCs w:val="21"/>
        </w:rPr>
        <w:t>，</w:t>
      </w:r>
      <w:r>
        <w:rPr>
          <w:rFonts w:hint="eastAsia"/>
          <w:sz w:val="21"/>
          <w:szCs w:val="21"/>
        </w:rPr>
        <w:t>模拟法就是调用计算工具</w:t>
      </w:r>
      <w:r>
        <w:rPr>
          <w:rFonts w:hint="eastAsia" w:ascii="Times New Roman" w:hAnsi="Times New Roman"/>
          <w:sz w:val="21"/>
          <w:szCs w:val="21"/>
        </w:rPr>
        <w:t>Radi</w:t>
      </w:r>
      <w:r>
        <w:rPr>
          <w:rFonts w:ascii="Times New Roman" w:hAnsi="Times New Roman"/>
          <w:sz w:val="21"/>
          <w:szCs w:val="21"/>
        </w:rPr>
        <w:t>ance</w:t>
      </w:r>
      <w:r>
        <w:rPr>
          <w:rFonts w:hint="eastAsia"/>
          <w:sz w:val="21"/>
          <w:szCs w:val="21"/>
        </w:rPr>
        <w:t>进行</w:t>
      </w:r>
      <w:r>
        <w:rPr>
          <w:sz w:val="21"/>
          <w:szCs w:val="21"/>
        </w:rPr>
        <w:t>采光</w:t>
      </w:r>
      <w:r>
        <w:rPr>
          <w:rFonts w:hint="eastAsia"/>
          <w:sz w:val="21"/>
          <w:szCs w:val="21"/>
        </w:rPr>
        <w:t>模拟计算，最后将计算结果返回到</w:t>
      </w:r>
      <w:r>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pPr>
        <w:pStyle w:val="13"/>
        <w:spacing w:line="360" w:lineRule="auto"/>
        <w:ind w:firstLine="420"/>
        <w:rPr>
          <w:sz w:val="21"/>
          <w:szCs w:val="21"/>
        </w:rPr>
      </w:pPr>
      <w:r>
        <w:rPr>
          <w:rFonts w:hint="eastAsia" w:ascii="Times New Roman" w:hAnsi="Times New Roman"/>
          <w:sz w:val="21"/>
          <w:szCs w:val="21"/>
        </w:rPr>
        <w:t>Radiance</w:t>
      </w:r>
      <w:r>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经过大量的计算和软件模拟对比，发现</w:t>
      </w:r>
      <w:r>
        <w:rPr>
          <w:rFonts w:hint="eastAsia" w:ascii="Times New Roman" w:hAnsi="Times New Roman"/>
          <w:sz w:val="21"/>
          <w:szCs w:val="21"/>
        </w:rPr>
        <w:t>Radiance</w:t>
      </w:r>
      <w:r>
        <w:rPr>
          <w:rFonts w:hint="eastAsia"/>
          <w:sz w:val="21"/>
          <w:szCs w:val="21"/>
        </w:rPr>
        <w:t>软件模拟出的数值与理论计算的结果均离散在归纳函数附近</w:t>
      </w:r>
      <w:r>
        <w:rPr>
          <w:rFonts w:hint="eastAsia" w:ascii="Times New Roman" w:hAnsi="Times New Roman"/>
          <w:sz w:val="21"/>
          <w:szCs w:val="21"/>
        </w:rPr>
        <w:t>。说明Radiance软件可以提供精确度高的结果。国际上采光标准制定与论文基本上都采用Radiance进行模拟，国际上大部分商用采光分析软件都基于Radiance程序内核开发，该程序的分析计算结果受到广泛认可。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13471"/>
      <w:r>
        <w:rPr>
          <w:rFonts w:hint="eastAsia"/>
        </w:rPr>
        <w:t>公式法、</w:t>
      </w:r>
      <w:r>
        <w:t>公式扩展法</w:t>
      </w:r>
      <w:bookmarkEnd w:id="48"/>
    </w:p>
    <w:p>
      <w:pPr>
        <w:pStyle w:val="3"/>
        <w:ind w:firstLine="420"/>
        <w:rPr>
          <w:kern w:val="2"/>
          <w:lang w:val="en-US"/>
        </w:rPr>
      </w:pPr>
      <w:r>
        <w:rPr>
          <w:rFonts w:hint="eastAsia"/>
          <w:kern w:val="2"/>
          <w:lang w:val="en-US"/>
        </w:rPr>
        <w:t>公式法</w:t>
      </w:r>
      <w:r>
        <w:rPr>
          <w:kern w:val="2"/>
          <w:lang w:val="en-US"/>
        </w:rPr>
        <w:t>就是</w:t>
      </w:r>
      <w:r>
        <w:rPr>
          <w:rFonts w:hint="eastAsia"/>
          <w:kern w:val="2"/>
          <w:lang w:val="en-US"/>
        </w:rPr>
        <w:t>经过</w:t>
      </w:r>
      <w:r>
        <w:rPr>
          <w:kern w:val="2"/>
          <w:lang w:val="en-US"/>
        </w:rPr>
        <w:t>实际测量和模型试验确定的，在大量</w:t>
      </w:r>
      <w:r>
        <w:rPr>
          <w:rFonts w:hint="eastAsia"/>
          <w:kern w:val="2"/>
          <w:lang w:val="en-US"/>
        </w:rPr>
        <w:t>经验数据的</w:t>
      </w:r>
      <w:r>
        <w:rPr>
          <w:kern w:val="2"/>
          <w:lang w:val="en-US"/>
        </w:rPr>
        <w:t>基础上</w:t>
      </w:r>
      <w:r>
        <w:rPr>
          <w:rFonts w:hint="eastAsia"/>
          <w:kern w:val="2"/>
          <w:lang w:val="en-US"/>
        </w:rPr>
        <w:t>总结得到的采光系数平均值公式的计算</w:t>
      </w:r>
      <w:r>
        <w:rPr>
          <w:kern w:val="2"/>
          <w:lang w:val="en-US"/>
        </w:rPr>
        <w:t>方法</w:t>
      </w:r>
      <w:r>
        <w:rPr>
          <w:rFonts w:hint="eastAsia"/>
          <w:kern w:val="2"/>
          <w:lang w:val="en-US"/>
        </w:rPr>
        <w:t>，即</w:t>
      </w:r>
      <w:r>
        <w:rPr>
          <w:kern w:val="2"/>
          <w:lang w:val="en-US"/>
        </w:rPr>
        <w:t>《</w:t>
      </w:r>
      <w:r>
        <w:rPr>
          <w:rFonts w:hint="eastAsia"/>
          <w:kern w:val="2"/>
          <w:lang w:val="en-US"/>
        </w:rPr>
        <w:t>建筑</w:t>
      </w:r>
      <w:r>
        <w:rPr>
          <w:kern w:val="2"/>
          <w:lang w:val="en-US"/>
        </w:rPr>
        <w:t>采光</w:t>
      </w:r>
      <w:r>
        <w:rPr>
          <w:rFonts w:hint="eastAsia"/>
          <w:kern w:val="2"/>
          <w:lang w:val="en-US"/>
        </w:rPr>
        <w:t>设计</w:t>
      </w:r>
      <w:r>
        <w:rPr>
          <w:kern w:val="2"/>
          <w:lang w:val="en-US"/>
        </w:rPr>
        <w:t>标准》</w:t>
      </w:r>
      <w:r>
        <w:rPr>
          <w:rFonts w:hint="eastAsia"/>
          <w:kern w:val="2"/>
          <w:lang w:val="en-US"/>
        </w:rPr>
        <w:t>GB 50033-2013中“</w:t>
      </w:r>
      <w:r>
        <w:rPr>
          <w:kern w:val="2"/>
          <w:lang w:val="en-US"/>
        </w:rPr>
        <w:t>采光计算</w:t>
      </w:r>
      <w:r>
        <w:rPr>
          <w:rFonts w:hint="eastAsia"/>
          <w:kern w:val="2"/>
          <w:lang w:val="en-US"/>
        </w:rPr>
        <w:t>”</w:t>
      </w:r>
      <w:r>
        <w:rPr>
          <w:kern w:val="2"/>
          <w:lang w:val="en-US"/>
        </w:rPr>
        <w:t>一节提供的公式方法，</w:t>
      </w:r>
      <w:r>
        <w:rPr>
          <w:rFonts w:hint="eastAsia"/>
          <w:kern w:val="2"/>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ascii="Times New Roman" w:hAnsi="Times New Roman"/>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szCs w:val="18"/>
        </w:rPr>
      </w:pPr>
      <w:r>
        <w:rPr>
          <w:rFonts w:hint="eastAsia" w:ascii="黑体" w:hAnsi="黑体" w:eastAsia="黑体"/>
        </w:rPr>
        <w:t xml:space="preserve">   </w:t>
      </w:r>
      <w:r>
        <w:rPr>
          <w:rFonts w:hint="eastAsia"/>
          <w:sz w:val="21"/>
          <w:szCs w:val="21"/>
        </w:rPr>
        <w:t>公式法扩展在</w:t>
      </w:r>
      <w:r>
        <w:rPr>
          <w:sz w:val="21"/>
          <w:szCs w:val="21"/>
        </w:rPr>
        <w:t>计算时</w:t>
      </w:r>
      <w:r>
        <w:rPr>
          <w:rFonts w:hint="eastAsia"/>
          <w:sz w:val="21"/>
          <w:szCs w:val="21"/>
        </w:rPr>
        <w:t>考虑了室外天空散射遮挡，对公式法计算的基础</w:t>
      </w:r>
      <w:r>
        <w:rPr>
          <w:sz w:val="21"/>
          <w:szCs w:val="21"/>
        </w:rPr>
        <w:t>上进行</w:t>
      </w:r>
      <w:r>
        <w:rPr>
          <w:rFonts w:hint="eastAsia"/>
          <w:sz w:val="21"/>
          <w:szCs w:val="21"/>
        </w:rPr>
        <w:t>扩展。</w:t>
      </w:r>
      <w:r>
        <w:rPr>
          <w:rFonts w:hint="eastAsia" w:ascii="宋体" w:hAnsi="宋体"/>
          <w:kern w:val="2"/>
          <w:szCs w:val="18"/>
          <w:lang w:val="en-US"/>
        </w:rPr>
        <w:t xml:space="preserve">  </w:t>
      </w:r>
    </w:p>
    <w:p>
      <w:pPr>
        <w:pStyle w:val="13"/>
        <w:spacing w:line="360" w:lineRule="auto"/>
        <w:ind w:firstLine="360"/>
        <w:rPr>
          <w:sz w:val="18"/>
          <w:szCs w:val="18"/>
        </w:rPr>
      </w:pPr>
      <w:r>
        <w:rPr>
          <w:rFonts w:hint="eastAsia"/>
          <w:sz w:val="18"/>
          <w:szCs w:val="18"/>
        </w:rPr>
        <w:t>注：公式法不能计算没有外窗的房间。</w:t>
      </w:r>
    </w:p>
    <w:p>
      <w:pPr>
        <w:pStyle w:val="5"/>
      </w:pPr>
      <w:bookmarkStart w:id="49" w:name="_Toc903"/>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2"/>
        <w:ind w:left="432" w:hanging="432"/>
      </w:pPr>
      <w:bookmarkStart w:id="51" w:name="_Toc29049"/>
      <w:r>
        <w:rPr>
          <w:rFonts w:hint="eastAsia"/>
        </w:rPr>
        <w:t>采光计算</w:t>
      </w:r>
      <w:r>
        <w:t>参数</w:t>
      </w:r>
      <w:r>
        <w:rPr>
          <w:rFonts w:hint="eastAsia"/>
        </w:rPr>
        <w:t>取值</w:t>
      </w:r>
      <w:bookmarkEnd w:id="51"/>
    </w:p>
    <w:p>
      <w:pPr>
        <w:pStyle w:val="4"/>
      </w:pPr>
      <w:bookmarkStart w:id="52" w:name="_Toc264043629"/>
      <w:bookmarkStart w:id="53" w:name="_Toc275165386"/>
      <w:bookmarkStart w:id="54" w:name="_Toc264569236"/>
      <w:bookmarkStart w:id="55" w:name="_Toc290149058"/>
      <w:bookmarkStart w:id="56" w:name="_Toc290209340"/>
      <w:bookmarkStart w:id="57" w:name="_Toc312399795"/>
      <w:bookmarkStart w:id="58" w:name="_Toc290209316"/>
      <w:bookmarkStart w:id="59" w:name="_Toc15634"/>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hint="eastAsia"/>
          <w:sz w:val="21"/>
          <w:szCs w:val="21"/>
        </w:rPr>
        <w:t>全阴天天空；</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6</w:t>
      </w:r>
      <w:bookmarkEnd w:id="60"/>
      <w:r>
        <w:rPr>
          <w:sz w:val="21"/>
          <w:szCs w:val="21"/>
        </w:rPr>
        <w:t>次</w:t>
      </w:r>
      <w:r>
        <w:rPr>
          <w:rFonts w:hint="eastAsia"/>
          <w:sz w:val="21"/>
          <w:szCs w:val="21"/>
        </w:rPr>
        <w:t>；</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ascii="Times New Roman" w:hAnsi="Times New Roman"/>
          <w:sz w:val="21"/>
          <w:szCs w:val="21"/>
        </w:rPr>
        <w:t>m</w:t>
      </w:r>
      <w:r>
        <w:rPr>
          <w:rFonts w:hint="eastAsia"/>
          <w:sz w:val="21"/>
          <w:szCs w:val="21"/>
        </w:rPr>
        <w:t>，公共空间取地面；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27047"/>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0.33</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0.58</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0.84</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0.75</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1723"/>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5178"/>
      <w:bookmarkStart w:id="75" w:name="窗"/>
      <w:r>
        <w:rPr>
          <w:rFonts w:hint="eastAsia"/>
        </w:rPr>
        <w:t>普通窗</w:t>
      </w:r>
      <w:bookmarkEnd w:id="74"/>
    </w:p>
    <w:bookmarkEnd w:id="75"/>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2100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76" w:name="_Toc5625"/>
      <w:bookmarkStart w:id="77" w:name="幕墙"/>
      <w:r>
        <w:rPr>
          <w:rFonts w:hint="eastAsia"/>
        </w:rPr>
        <w:t>玻璃幕墙</w:t>
      </w:r>
      <w:bookmarkEnd w:id="76"/>
    </w:p>
    <w:bookmarkEnd w:id="77"/>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7000</w:t>
            </w:r>
          </w:p>
        </w:tc>
        <w:tc>
          <w:tcPr>
            <w:vAlign w:val="center"/>
          </w:tcPr>
          <w:p>
            <w:r>
              <w:t>4000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8" w:name="窗污染折减系数"/>
      <w:bookmarkEnd w:id="78"/>
    </w:p>
    <w:p>
      <w:pPr>
        <w:pStyle w:val="2"/>
        <w:ind w:left="432" w:hanging="432"/>
      </w:pPr>
      <w:bookmarkStart w:id="79" w:name="_Toc18611"/>
      <w:r>
        <w:rPr>
          <w:rFonts w:hint="eastAsia"/>
        </w:rPr>
        <w:t>房间模拟</w:t>
      </w:r>
      <w:r>
        <w:t>结果</w:t>
      </w:r>
      <w:bookmarkEnd w:id="79"/>
    </w:p>
    <w:p>
      <w:pPr>
        <w:pStyle w:val="3"/>
        <w:ind w:firstLine="420"/>
        <w:rPr>
          <w:lang w:val="en-US"/>
        </w:rPr>
      </w:pPr>
      <w:r>
        <w:rPr>
          <w:rFonts w:hint="eastAsia"/>
          <w:lang w:val="en-US"/>
        </w:rPr>
        <w:t>本项目为图书馆</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阅览室</w:t>
      </w:r>
      <w:r>
        <w:rPr>
          <w:lang w:val="en-US"/>
        </w:rPr>
        <w:t>、</w:t>
      </w:r>
      <w:r>
        <w:rPr>
          <w:rFonts w:hint="eastAsia"/>
          <w:lang w:val="en-US"/>
        </w:rPr>
        <w:t>开架</w:t>
      </w:r>
      <w:r>
        <w:rPr>
          <w:lang w:val="en-US"/>
        </w:rPr>
        <w:t>书库、目录室、书库</w:t>
      </w:r>
      <w:r>
        <w:rPr>
          <w:rFonts w:hint="eastAsia"/>
          <w:lang w:val="en-US"/>
        </w:rPr>
        <w:t>、走道</w:t>
      </w:r>
      <w:r>
        <w:rPr>
          <w:lang w:val="en-US"/>
        </w:rPr>
        <w:t>、厨房、卫生间、楼梯间的采光系数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Style w:val="19"/>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走道</w:t>
            </w:r>
          </w:p>
        </w:tc>
        <w:tc>
          <w:tcPr>
            <w:vAlign w:val="center"/>
          </w:tcPr>
          <w:p>
            <w:r>
              <w:t>V</w:t>
            </w:r>
          </w:p>
        </w:tc>
        <w:tc>
          <w:tcPr>
            <w:vAlign w:val="center"/>
          </w:tcPr>
          <w:p>
            <w:r>
              <w:t>侧面</w:t>
            </w:r>
          </w:p>
        </w:tc>
        <w:tc>
          <w:tcPr>
            <w:vAlign w:val="center"/>
          </w:tcPr>
          <w:p>
            <w:r>
              <w:t>1606.26</w:t>
            </w:r>
          </w:p>
        </w:tc>
        <w:tc>
          <w:tcPr>
            <w:vAlign w:val="center"/>
          </w:tcPr>
          <w:p>
            <w:r>
              <w:t>7.63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开架书库</w:t>
            </w:r>
          </w:p>
        </w:tc>
        <w:tc>
          <w:tcPr>
            <w:vAlign w:val="center"/>
          </w:tcPr>
          <w:p>
            <w:r>
              <w:t>III</w:t>
            </w:r>
          </w:p>
        </w:tc>
        <w:tc>
          <w:tcPr>
            <w:vAlign w:val="center"/>
          </w:tcPr>
          <w:p>
            <w:r>
              <w:t>侧面</w:t>
            </w:r>
          </w:p>
        </w:tc>
        <w:tc>
          <w:tcPr>
            <w:vAlign w:val="center"/>
          </w:tcPr>
          <w:p>
            <w:r>
              <w:t>208.76</w:t>
            </w:r>
          </w:p>
        </w:tc>
        <w:tc>
          <w:tcPr>
            <w:vAlign w:val="center"/>
          </w:tcPr>
          <w:p>
            <w:r>
              <w:t>10.02</w:t>
            </w:r>
          </w:p>
        </w:tc>
        <w:tc>
          <w:tcPr>
            <w:vAlign w:val="center"/>
          </w:tcPr>
          <w:p>
            <w:r>
              <w:t>3.30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卫生间</w:t>
            </w:r>
          </w:p>
        </w:tc>
        <w:tc>
          <w:tcPr>
            <w:vAlign w:val="center"/>
          </w:tcPr>
          <w:p>
            <w:r>
              <w:t>V</w:t>
            </w:r>
          </w:p>
        </w:tc>
        <w:tc>
          <w:tcPr>
            <w:vAlign w:val="center"/>
          </w:tcPr>
          <w:p>
            <w:r>
              <w:t>侧面</w:t>
            </w:r>
          </w:p>
        </w:tc>
        <w:tc>
          <w:tcPr>
            <w:vAlign w:val="center"/>
          </w:tcPr>
          <w:p>
            <w:r>
              <w:t>61.55</w:t>
            </w:r>
          </w:p>
        </w:tc>
        <w:tc>
          <w:tcPr>
            <w:vAlign w:val="center"/>
          </w:tcPr>
          <w:p>
            <w:r>
              <w:t>0.00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阅览室</w:t>
            </w:r>
          </w:p>
        </w:tc>
        <w:tc>
          <w:tcPr>
            <w:vAlign w:val="center"/>
          </w:tcPr>
          <w:p>
            <w:r>
              <w:t>III</w:t>
            </w:r>
          </w:p>
        </w:tc>
        <w:tc>
          <w:tcPr>
            <w:vAlign w:val="center"/>
          </w:tcPr>
          <w:p>
            <w:r>
              <w:t>侧面</w:t>
            </w:r>
          </w:p>
        </w:tc>
        <w:tc>
          <w:tcPr>
            <w:vAlign w:val="center"/>
          </w:tcPr>
          <w:p>
            <w:r>
              <w:t>313.65</w:t>
            </w:r>
          </w:p>
        </w:tc>
        <w:tc>
          <w:tcPr>
            <w:vAlign w:val="center"/>
          </w:tcPr>
          <w:p>
            <w:r>
              <w:t>0.00</w:t>
            </w:r>
          </w:p>
        </w:tc>
        <w:tc>
          <w:tcPr>
            <w:vAlign w:val="center"/>
          </w:tcPr>
          <w:p>
            <w:r>
              <w:t>3.30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目录室</w:t>
            </w:r>
          </w:p>
        </w:tc>
        <w:tc>
          <w:tcPr>
            <w:vAlign w:val="center"/>
          </w:tcPr>
          <w:p>
            <w:r>
              <w:t>IV</w:t>
            </w:r>
          </w:p>
        </w:tc>
        <w:tc>
          <w:tcPr>
            <w:vAlign w:val="center"/>
          </w:tcPr>
          <w:p>
            <w:r>
              <w:t>侧面</w:t>
            </w:r>
          </w:p>
        </w:tc>
        <w:tc>
          <w:tcPr>
            <w:vAlign w:val="center"/>
          </w:tcPr>
          <w:p>
            <w:r>
              <w:t>85.49</w:t>
            </w:r>
          </w:p>
        </w:tc>
        <w:tc>
          <w:tcPr>
            <w:vAlign w:val="center"/>
          </w:tcPr>
          <w:p>
            <w:r>
              <w:t>6.91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阅览室</w:t>
            </w:r>
          </w:p>
        </w:tc>
        <w:tc>
          <w:tcPr>
            <w:vAlign w:val="center"/>
          </w:tcPr>
          <w:p>
            <w:r>
              <w:t>III</w:t>
            </w:r>
          </w:p>
        </w:tc>
        <w:tc>
          <w:tcPr>
            <w:vAlign w:val="center"/>
          </w:tcPr>
          <w:p>
            <w:r>
              <w:t>侧面</w:t>
            </w:r>
          </w:p>
        </w:tc>
        <w:tc>
          <w:tcPr>
            <w:vAlign w:val="center"/>
          </w:tcPr>
          <w:p>
            <w:r>
              <w:t>88.38</w:t>
            </w:r>
          </w:p>
        </w:tc>
        <w:tc>
          <w:tcPr>
            <w:vAlign w:val="center"/>
          </w:tcPr>
          <w:p>
            <w:r>
              <w:t>16.95</w:t>
            </w:r>
          </w:p>
        </w:tc>
        <w:tc>
          <w:tcPr>
            <w:vAlign w:val="center"/>
          </w:tcPr>
          <w:p>
            <w:r>
              <w:t>3.30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书库</w:t>
            </w:r>
          </w:p>
        </w:tc>
        <w:tc>
          <w:tcPr>
            <w:vAlign w:val="center"/>
          </w:tcPr>
          <w:p>
            <w:r>
              <w:t>V</w:t>
            </w:r>
          </w:p>
        </w:tc>
        <w:tc>
          <w:tcPr>
            <w:vAlign w:val="center"/>
          </w:tcPr>
          <w:p>
            <w:r>
              <w:t>侧面</w:t>
            </w:r>
          </w:p>
        </w:tc>
        <w:tc>
          <w:tcPr>
            <w:vAlign w:val="center"/>
          </w:tcPr>
          <w:p>
            <w:r>
              <w:t>294.77</w:t>
            </w:r>
          </w:p>
        </w:tc>
        <w:tc>
          <w:tcPr>
            <w:vAlign w:val="center"/>
          </w:tcPr>
          <w:p>
            <w:r>
              <w:t>6.10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阅览室</w:t>
            </w:r>
          </w:p>
        </w:tc>
        <w:tc>
          <w:tcPr>
            <w:vAlign w:val="center"/>
          </w:tcPr>
          <w:p>
            <w:r>
              <w:t>III</w:t>
            </w:r>
          </w:p>
        </w:tc>
        <w:tc>
          <w:tcPr>
            <w:vAlign w:val="center"/>
          </w:tcPr>
          <w:p>
            <w:r>
              <w:t>侧面</w:t>
            </w:r>
          </w:p>
        </w:tc>
        <w:tc>
          <w:tcPr>
            <w:vAlign w:val="center"/>
          </w:tcPr>
          <w:p>
            <w:r>
              <w:t>231.05</w:t>
            </w:r>
          </w:p>
        </w:tc>
        <w:tc>
          <w:tcPr>
            <w:vAlign w:val="center"/>
          </w:tcPr>
          <w:p>
            <w:r>
              <w:t>4.92</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开架书库</w:t>
            </w:r>
          </w:p>
        </w:tc>
        <w:tc>
          <w:tcPr>
            <w:vAlign w:val="center"/>
          </w:tcPr>
          <w:p>
            <w:r>
              <w:t>III</w:t>
            </w:r>
          </w:p>
        </w:tc>
        <w:tc>
          <w:tcPr>
            <w:vAlign w:val="center"/>
          </w:tcPr>
          <w:p>
            <w:r>
              <w:t>侧面</w:t>
            </w:r>
          </w:p>
        </w:tc>
        <w:tc>
          <w:tcPr>
            <w:vAlign w:val="center"/>
          </w:tcPr>
          <w:p>
            <w:r>
              <w:t>208.76</w:t>
            </w:r>
          </w:p>
        </w:tc>
        <w:tc>
          <w:tcPr>
            <w:vAlign w:val="center"/>
          </w:tcPr>
          <w:p>
            <w:r>
              <w:t>9.80</w:t>
            </w:r>
          </w:p>
        </w:tc>
        <w:tc>
          <w:tcPr>
            <w:vAlign w:val="center"/>
          </w:tcPr>
          <w:p>
            <w:r>
              <w:t>3.30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楼梯间</w:t>
            </w:r>
          </w:p>
        </w:tc>
        <w:tc>
          <w:tcPr>
            <w:vAlign w:val="center"/>
          </w:tcPr>
          <w:p>
            <w:r>
              <w:t>V</w:t>
            </w:r>
          </w:p>
        </w:tc>
        <w:tc>
          <w:tcPr>
            <w:vAlign w:val="center"/>
          </w:tcPr>
          <w:p>
            <w:r>
              <w:t>侧面</w:t>
            </w:r>
          </w:p>
        </w:tc>
        <w:tc>
          <w:tcPr>
            <w:vAlign w:val="center"/>
          </w:tcPr>
          <w:p>
            <w:r>
              <w:t>61.55</w:t>
            </w:r>
          </w:p>
        </w:tc>
        <w:tc>
          <w:tcPr>
            <w:vAlign w:val="center"/>
          </w:tcPr>
          <w:p>
            <w:r>
              <w:t>0.00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阅览室</w:t>
            </w:r>
          </w:p>
        </w:tc>
        <w:tc>
          <w:tcPr>
            <w:vAlign w:val="center"/>
          </w:tcPr>
          <w:p>
            <w:r>
              <w:t>III</w:t>
            </w:r>
          </w:p>
        </w:tc>
        <w:tc>
          <w:tcPr>
            <w:vAlign w:val="center"/>
          </w:tcPr>
          <w:p>
            <w:r>
              <w:t>侧面</w:t>
            </w:r>
          </w:p>
        </w:tc>
        <w:tc>
          <w:tcPr>
            <w:vAlign w:val="center"/>
          </w:tcPr>
          <w:p>
            <w:r>
              <w:t>313.65</w:t>
            </w:r>
          </w:p>
        </w:tc>
        <w:tc>
          <w:tcPr>
            <w:vAlign w:val="center"/>
          </w:tcPr>
          <w:p>
            <w:r>
              <w:t>0.00</w:t>
            </w:r>
          </w:p>
        </w:tc>
        <w:tc>
          <w:tcPr>
            <w:vAlign w:val="center"/>
          </w:tcPr>
          <w:p>
            <w:r>
              <w:t>3.30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阅览室</w:t>
            </w:r>
          </w:p>
        </w:tc>
        <w:tc>
          <w:tcPr>
            <w:vAlign w:val="center"/>
          </w:tcPr>
          <w:p>
            <w:r>
              <w:t>III</w:t>
            </w:r>
          </w:p>
        </w:tc>
        <w:tc>
          <w:tcPr>
            <w:vAlign w:val="center"/>
          </w:tcPr>
          <w:p>
            <w:r>
              <w:t>侧面</w:t>
            </w:r>
          </w:p>
        </w:tc>
        <w:tc>
          <w:tcPr>
            <w:vAlign w:val="center"/>
          </w:tcPr>
          <w:p>
            <w:r>
              <w:t>88.38</w:t>
            </w:r>
          </w:p>
        </w:tc>
        <w:tc>
          <w:tcPr>
            <w:vAlign w:val="center"/>
          </w:tcPr>
          <w:p>
            <w:r>
              <w:t>10.87</w:t>
            </w:r>
          </w:p>
        </w:tc>
        <w:tc>
          <w:tcPr>
            <w:vAlign w:val="center"/>
          </w:tcPr>
          <w:p>
            <w:r>
              <w:t>3.30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走道</w:t>
            </w:r>
          </w:p>
        </w:tc>
        <w:tc>
          <w:tcPr>
            <w:vAlign w:val="center"/>
          </w:tcPr>
          <w:p>
            <w:r>
              <w:t>V</w:t>
            </w:r>
          </w:p>
        </w:tc>
        <w:tc>
          <w:tcPr>
            <w:vAlign w:val="center"/>
          </w:tcPr>
          <w:p>
            <w:r>
              <w:t>侧面</w:t>
            </w:r>
          </w:p>
        </w:tc>
        <w:tc>
          <w:tcPr>
            <w:vAlign w:val="center"/>
          </w:tcPr>
          <w:p>
            <w:r>
              <w:t>418.51</w:t>
            </w:r>
          </w:p>
        </w:tc>
        <w:tc>
          <w:tcPr>
            <w:vAlign w:val="center"/>
          </w:tcPr>
          <w:p>
            <w:r>
              <w:t>4.08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开架书库</w:t>
            </w:r>
          </w:p>
        </w:tc>
        <w:tc>
          <w:tcPr>
            <w:vAlign w:val="center"/>
          </w:tcPr>
          <w:p>
            <w:r>
              <w:t>III</w:t>
            </w:r>
          </w:p>
        </w:tc>
        <w:tc>
          <w:tcPr>
            <w:vAlign w:val="center"/>
          </w:tcPr>
          <w:p>
            <w:r>
              <w:t>侧面</w:t>
            </w:r>
          </w:p>
        </w:tc>
        <w:tc>
          <w:tcPr>
            <w:vAlign w:val="center"/>
          </w:tcPr>
          <w:p>
            <w:r>
              <w:t>251.70</w:t>
            </w:r>
          </w:p>
        </w:tc>
        <w:tc>
          <w:tcPr>
            <w:vAlign w:val="center"/>
          </w:tcPr>
          <w:p>
            <w:r>
              <w:t>10.07</w:t>
            </w:r>
          </w:p>
        </w:tc>
        <w:tc>
          <w:tcPr>
            <w:vAlign w:val="center"/>
          </w:tcPr>
          <w:p>
            <w:r>
              <w:t>3.30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楼梯间</w:t>
            </w:r>
          </w:p>
        </w:tc>
        <w:tc>
          <w:tcPr>
            <w:vAlign w:val="center"/>
          </w:tcPr>
          <w:p>
            <w:r>
              <w:t>V</w:t>
            </w:r>
          </w:p>
        </w:tc>
        <w:tc>
          <w:tcPr>
            <w:vAlign w:val="center"/>
          </w:tcPr>
          <w:p>
            <w:r>
              <w:t>侧面</w:t>
            </w:r>
          </w:p>
        </w:tc>
        <w:tc>
          <w:tcPr>
            <w:vAlign w:val="center"/>
          </w:tcPr>
          <w:p>
            <w:r>
              <w:t>61.55</w:t>
            </w:r>
          </w:p>
        </w:tc>
        <w:tc>
          <w:tcPr>
            <w:vAlign w:val="center"/>
          </w:tcPr>
          <w:p>
            <w:r>
              <w:t>3.83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阅览室</w:t>
            </w:r>
          </w:p>
        </w:tc>
        <w:tc>
          <w:tcPr>
            <w:vAlign w:val="center"/>
          </w:tcPr>
          <w:p>
            <w:r>
              <w:t>III</w:t>
            </w:r>
          </w:p>
        </w:tc>
        <w:tc>
          <w:tcPr>
            <w:vAlign w:val="center"/>
          </w:tcPr>
          <w:p>
            <w:r>
              <w:t>侧面</w:t>
            </w:r>
          </w:p>
        </w:tc>
        <w:tc>
          <w:tcPr>
            <w:vAlign w:val="center"/>
          </w:tcPr>
          <w:p>
            <w:r>
              <w:t>126.97</w:t>
            </w:r>
          </w:p>
        </w:tc>
        <w:tc>
          <w:tcPr>
            <w:vAlign w:val="center"/>
          </w:tcPr>
          <w:p>
            <w:r>
              <w:t>1.61</w:t>
            </w:r>
          </w:p>
        </w:tc>
        <w:tc>
          <w:tcPr>
            <w:vAlign w:val="center"/>
          </w:tcPr>
          <w:p>
            <w:r>
              <w:t>3.30</w:t>
            </w:r>
          </w:p>
        </w:tc>
        <w:tc>
          <w:tcPr>
            <w:vAlign w:val="center"/>
          </w:tcPr>
          <w:p>
            <w:r>
              <w:rPr>
                <w:color w:val="FF00FF"/>
              </w:rPr>
              <w:t>不满足</w:t>
            </w:r>
          </w:p>
        </w:tc>
      </w:tr>
    </w:tbl>
    <w:p>
      <w:pPr>
        <w:pStyle w:val="3"/>
        <w:ind w:firstLine="0" w:firstLineChars="0"/>
        <w:rPr>
          <w:rFonts w:ascii="宋体" w:hAnsi="宋体"/>
          <w:sz w:val="18"/>
          <w:szCs w:val="18"/>
          <w:lang w:val="en-US"/>
        </w:rPr>
      </w:pPr>
    </w:p>
    <w:p>
      <w:pPr>
        <w:pStyle w:val="2"/>
        <w:ind w:left="432" w:hanging="432"/>
      </w:pPr>
      <w:bookmarkStart w:id="81" w:name="_Toc9362"/>
      <w:r>
        <w:rPr>
          <w:rFonts w:hint="eastAsia"/>
        </w:rPr>
        <w:t>采光</w:t>
      </w:r>
      <w:r>
        <w:t>效果分析</w:t>
      </w:r>
      <w:r>
        <w:rPr>
          <w:rFonts w:hint="eastAsia"/>
        </w:rPr>
        <w:t>彩图</w:t>
      </w:r>
      <w:bookmarkEnd w:id="81"/>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pPr>
        <w:pStyle w:val="3"/>
        <w:ind w:firstLine="0" w:firstLineChars="0"/>
        <w:jc w:val="center"/>
        <w:rPr>
          <w:rFonts w:ascii="宋体" w:hAnsi="宋体"/>
          <w:sz w:val="18"/>
          <w:szCs w:val="18"/>
          <w:lang w:val="en-US"/>
        </w:rPr>
      </w:pPr>
      <w:r>
        <w:drawing>
          <wp:inline distT="0" distB="0" distL="0" distR="0">
            <wp:extent cx="5667375" cy="48196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48196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32004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32004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16192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16192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p>
    <w:p>
      <w:pPr>
        <w:pStyle w:val="2"/>
        <w:ind w:left="432" w:hanging="432"/>
      </w:pPr>
      <w:bookmarkStart w:id="83" w:name="_Toc8446"/>
      <w:r>
        <w:rPr>
          <w:rFonts w:hint="eastAsia"/>
        </w:rPr>
        <w:t>结论</w:t>
      </w:r>
      <w:bookmarkEnd w:id="83"/>
    </w:p>
    <w:p>
      <w:pPr>
        <w:pStyle w:val="3"/>
        <w:ind w:firstLine="420"/>
        <w:rPr>
          <w:lang w:val="en-US"/>
        </w:rPr>
      </w:pPr>
      <w:r>
        <w:rPr>
          <w:rFonts w:hint="eastAsia"/>
          <w:lang w:val="en-US"/>
        </w:rPr>
        <w:t xml:space="preserve">通过采光分析可知本项目中标准要求房间的采光效果，根据满足《建筑采光设计标准》 </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16</w:t>
            </w:r>
          </w:p>
        </w:tc>
        <w:tc>
          <w:tcPr>
            <w:vAlign w:val="center"/>
          </w:tcPr>
          <w:p>
            <w:r>
              <w:t>11</w:t>
            </w:r>
          </w:p>
        </w:tc>
        <w:tc>
          <w:tcPr>
            <w:vAlign w:val="center"/>
          </w:tcPr>
          <w:p>
            <w:r>
              <w:t>68.75</w:t>
            </w:r>
          </w:p>
        </w:tc>
        <w:tc>
          <w:tcPr>
            <w:vAlign w:val="center"/>
          </w:tcPr>
          <w:p>
            <w:r>
              <w:rPr>
                <w:color w:val="FF00FF"/>
              </w:rPr>
              <w:t xml:space="preserve">1003 1004 2002 2003 3004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4421.01</w:t>
            </w:r>
          </w:p>
        </w:tc>
        <w:tc>
          <w:tcPr>
            <w:vAlign w:val="center"/>
          </w:tcPr>
          <w:p>
            <w:r>
              <w:t>3543.62</w:t>
            </w:r>
          </w:p>
        </w:tc>
        <w:tc>
          <w:tcPr>
            <w:vAlign w:val="center"/>
          </w:tcPr>
          <w:p>
            <w:r>
              <w:t>80.15</w:t>
            </w:r>
          </w:p>
        </w:tc>
        <w:tc>
          <w:tcPr>
            <w:vAlign w:val="center"/>
          </w:tcPr>
          <w:p>
            <w:pPr>
              <w:jc w:val="center"/>
            </w:pPr>
            <w:r>
              <w:t>－－</w:t>
            </w:r>
          </w:p>
        </w:tc>
        <w:tc>
          <w:tcPr>
            <w:vAlign w:val="center"/>
          </w:tcPr>
          <w:p>
            <w:pPr>
              <w:jc w:val="center"/>
            </w:pPr>
            <w:r>
              <w:t>－－</w:t>
            </w:r>
          </w:p>
        </w:tc>
      </w:tr>
    </w:tbl>
    <w:p>
      <w:pPr>
        <w:rPr>
          <w:lang w:val="en-US"/>
        </w:rPr>
      </w:pPr>
    </w:p>
    <w:p>
      <w:pPr>
        <w:pStyle w:val="3"/>
        <w:spacing w:line="240" w:lineRule="auto"/>
        <w:ind w:firstLine="0" w:firstLineChars="0"/>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5" w:name="总平面图"/>
      <w:bookmarkEnd w:id="85"/>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Dali2018</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sz w:val="21"/>
      </w:rPr>
      <w:t>建筑采光分析</w:t>
    </w:r>
    <w:r>
      <w:rPr>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8F345F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qFormat/>
    <w:uiPriority w:val="0"/>
    <w:pPr>
      <w:tabs>
        <w:tab w:val="center" w:pos="4153"/>
        <w:tab w:val="right" w:pos="8306"/>
      </w:tabs>
      <w:snapToGrid w:val="0"/>
    </w:pPr>
    <w:rPr>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 w:val="21"/>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Char"/>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5EDB2-5D7F-478D-A443-0815FD1294BC}">
  <ds:schemaRefs/>
</ds:datastoreItem>
</file>

<file path=docProps/app.xml><?xml version="1.0" encoding="utf-8"?>
<Properties xmlns="http://schemas.openxmlformats.org/officeDocument/2006/extended-properties" xmlns:vt="http://schemas.openxmlformats.org/officeDocument/2006/docPropsVTypes">
  <Template>图书馆采光设计审查</Template>
  <Company>ths</Company>
  <Pages>10</Pages>
  <Words>850</Words>
  <Characters>4847</Characters>
  <Lines>40</Lines>
  <Paragraphs>11</Paragraphs>
  <TotalTime>0</TotalTime>
  <ScaleCrop>false</ScaleCrop>
  <LinksUpToDate>false</LinksUpToDate>
  <CharactersWithSpaces>5686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江南红雨</cp:lastModifiedBy>
  <cp:lastPrinted>2411-12-31T16:00:00Z</cp:lastPrinted>
  <dcterms:modified xsi:type="dcterms:W3CDTF">2021-01-06T07:03:37Z</dcterms:modified>
  <dc:title>建筑采光分析报告书</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