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jc w:val="both"/>
        <w:rPr>
          <w:rFonts w:hint="eastAsia" w:ascii="Times New Roman" w:hAnsi="Times New Roman" w:eastAsia="宋体" w:cs="Times New Roman"/>
          <w:b/>
          <w:bCs/>
          <w:color w:val="000000"/>
          <w:kern w:val="32"/>
          <w:sz w:val="28"/>
          <w:szCs w:val="28"/>
          <w:lang w:val="en-US" w:eastAsia="zh-CN" w:bidi="ar-SA"/>
        </w:rPr>
      </w:pPr>
      <w:bookmarkStart w:id="0" w:name="_Toc26571"/>
      <w:bookmarkStart w:id="7" w:name="_GoBack"/>
      <w:bookmarkEnd w:id="7"/>
      <w:r>
        <w:rPr>
          <w:rFonts w:hint="eastAsia" w:ascii="Times New Roman" w:hAnsi="Times New Roman" w:eastAsia="宋体" w:cs="Times New Roman"/>
          <w:b/>
          <w:bCs/>
          <w:color w:val="000000"/>
          <w:kern w:val="32"/>
          <w:sz w:val="28"/>
          <w:szCs w:val="28"/>
          <w:lang w:val="en-US" w:eastAsia="zh-CN" w:bidi="ar-SA"/>
        </w:rPr>
        <w:t>改造项目能耗、增量成本及回收期</w:t>
      </w:r>
      <w:bookmarkEnd w:id="0"/>
    </w:p>
    <w:p>
      <w:pPr>
        <w:pStyle w:val="3"/>
        <w:ind w:left="0" w:leftChars="0" w:firstLine="0" w:firstLineChars="0"/>
        <w:jc w:val="center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改造措施总表</w:t>
      </w:r>
    </w:p>
    <w:tbl>
      <w:tblPr>
        <w:tblStyle w:val="5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2"/>
        <w:gridCol w:w="1606"/>
        <w:gridCol w:w="2068"/>
        <w:gridCol w:w="1406"/>
        <w:gridCol w:w="961"/>
        <w:gridCol w:w="1221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02" w:type="dxa"/>
            <w:tcBorders>
              <w:top w:val="single" w:color="auto" w:sz="12" w:space="0"/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项目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改造前能耗（kWh/m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068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改造措施</w:t>
            </w:r>
          </w:p>
        </w:tc>
        <w:tc>
          <w:tcPr>
            <w:tcW w:w="1406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改造后能耗（kWh/m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61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节能率（%）</w:t>
            </w:r>
          </w:p>
        </w:tc>
        <w:tc>
          <w:tcPr>
            <w:tcW w:w="1221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增量成本（万元）</w:t>
            </w:r>
          </w:p>
        </w:tc>
        <w:tc>
          <w:tcPr>
            <w:tcW w:w="1036" w:type="dxa"/>
            <w:tcBorders>
              <w:top w:val="single" w:color="auto" w:sz="12" w:space="0"/>
              <w:righ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回收期（年）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外墙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70.03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外涂吸收式材料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69.83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1.80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水泵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69.83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采用变频水泵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68.90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2.90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屋面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68.90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设置太阳能光伏板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65.13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5.47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26.92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遮阳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65.13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设置百叶遮阳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65.11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照明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65.11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智能调控、改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LED灯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60.22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7.51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26.80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热回收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60.22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排风全热回收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59.17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</w:t>
            </w:r>
          </w:p>
        </w:tc>
        <w:tc>
          <w:tcPr>
            <w:tcW w:w="12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3.30</w:t>
            </w:r>
          </w:p>
        </w:tc>
        <w:tc>
          <w:tcPr>
            <w:tcW w:w="1036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802" w:type="dxa"/>
            <w:tcBorders>
              <w:left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内保温</w:t>
            </w:r>
          </w:p>
        </w:tc>
        <w:tc>
          <w:tcPr>
            <w:tcW w:w="16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59.17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使用复合隔热板</w:t>
            </w:r>
          </w:p>
        </w:tc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59.12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122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28.23</w:t>
            </w:r>
          </w:p>
        </w:tc>
        <w:tc>
          <w:tcPr>
            <w:tcW w:w="1036" w:type="dxa"/>
            <w:vMerge w:val="restart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802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1606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59.12</w:t>
            </w:r>
          </w:p>
        </w:tc>
        <w:tc>
          <w:tcPr>
            <w:tcW w:w="2068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空调间歇式运行</w:t>
            </w:r>
          </w:p>
        </w:tc>
        <w:tc>
          <w:tcPr>
            <w:tcW w:w="1406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54.42</w:t>
            </w:r>
          </w:p>
        </w:tc>
        <w:tc>
          <w:tcPr>
            <w:tcW w:w="961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7.95</w:t>
            </w:r>
          </w:p>
        </w:tc>
        <w:tc>
          <w:tcPr>
            <w:tcW w:w="1221" w:type="dxa"/>
            <w:vMerge w:val="continue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4"/>
      </w:pPr>
      <w:bookmarkStart w:id="1" w:name="_Toc2419"/>
      <w:r>
        <w:rPr>
          <w:rFonts w:hint="eastAsia"/>
        </w:rPr>
        <w:t>外墙</w:t>
      </w:r>
      <w:bookmarkEnd w:id="1"/>
    </w:p>
    <w:p>
      <w:pPr>
        <w:pStyle w:val="3"/>
        <w:rPr>
          <w:rFonts w:hint="eastAsia"/>
        </w:rPr>
      </w:pPr>
      <w:r>
        <w:rPr>
          <w:rFonts w:hint="eastAsia"/>
        </w:rPr>
        <w:t>1立方米硅酸盐保温涂料的价格为320元，此前所述外墙的面积为18780㎡，涂料厚度为3mm，故所需涂料体积为56.34m³，总价约为1.8万元。电价按1元/kWh计算，改造后节省电能为0.20kWh/㎡，一年可节省电费约3200元，故回收期约为5.6年。</w:t>
      </w:r>
    </w:p>
    <w:p>
      <w:pPr>
        <w:pStyle w:val="4"/>
      </w:pPr>
      <w:bookmarkStart w:id="2" w:name="_Toc721"/>
      <w:r>
        <w:rPr>
          <w:rFonts w:hint="eastAsia"/>
          <w:lang w:eastAsia="zh-CN"/>
        </w:rPr>
        <w:t>水泵</w:t>
      </w:r>
      <w:bookmarkEnd w:id="2"/>
    </w:p>
    <w:p>
      <w:pPr>
        <w:pStyle w:val="3"/>
        <w:rPr>
          <w:rFonts w:hint="eastAsia"/>
          <w:lang w:eastAsia="zh-CN"/>
        </w:rPr>
      </w:pPr>
      <w:r>
        <w:rPr>
          <w:rFonts w:hint="eastAsia"/>
        </w:rPr>
        <w:t>从表中可以看出，将定频水泵换成变频水泵后，在供冷期内4月15日至10月15日期间，设计工作点效率提高了5%，能耗减少了0.93kWh/m2，节能率为5.96%，电价按1元/kWh计算，一年可节约运行费用1.46万元。2台变频水泵价格约为2.9万元，故初期投资的回收期约为2年</w:t>
      </w:r>
      <w:r>
        <w:rPr>
          <w:rFonts w:hint="eastAsia"/>
          <w:lang w:eastAsia="zh-CN"/>
        </w:rPr>
        <w:t>。</w:t>
      </w:r>
    </w:p>
    <w:p>
      <w:pPr>
        <w:pStyle w:val="4"/>
      </w:pPr>
      <w:bookmarkStart w:id="3" w:name="_Toc23402"/>
      <w:r>
        <w:rPr>
          <w:rFonts w:hint="eastAsia"/>
          <w:lang w:eastAsia="zh-CN"/>
        </w:rPr>
        <w:t>屋面</w:t>
      </w:r>
      <w:bookmarkEnd w:id="3"/>
    </w:p>
    <w:p>
      <w:pPr>
        <w:pStyle w:val="3"/>
        <w:rPr>
          <w:rFonts w:hint="eastAsia"/>
          <w:lang w:eastAsia="zh-CN"/>
        </w:rPr>
      </w:pPr>
      <w:r>
        <w:rPr>
          <w:rFonts w:hint="eastAsia"/>
        </w:rPr>
        <w:t>根据独立光伏系统 技术规范 GB/T 29196-2012，太阳能光伏板布置间距取为1.1m，需距离女儿墙2.1m以上，为满足以上要求，太阳能光伏板的安装面积设置为640m2。屋面光伏系统总峰值功率达144kW，工程造价约为26.92万元，年发电量为58969kWh。对于使用太阳能光伏，国家是给予鼓励的，且还制定一系列的鼓励政策。使用分布式光伏发电，国家补贴标准为0.42元/kWh（含税），而对于本建筑所在的广州地区，对于项目建设居民个人或单位，按照0.1元/千瓦时的标准，以项目上一年度所发电量为基础计算补助金额，补助时间为项目建成投产后连续10年；对于建筑物权属人，以建成的项目总装机量为基础，按0.2元/瓦的标准确定补助金额，一次性发放给建筑物权属人。单个项目最高补助金额为200万元。在屋面安装太阳能光伏板后，避免了阳光直射于屋面，减少了建筑顶层的夏季冷负荷。从表中可以看出，使用太阳能光伏板后，能耗减少了3.77kWh/m2，节能率为5.5%。对于本建筑，电价按1元/kWh计算，按一年发电量可节省约58969元，国家补贴每年约为24767元，广州市补贴每年约为5896.9元，广州市一次性补贴为28800元，故本光伏系统约2.68年可回收其成本。</w:t>
      </w:r>
    </w:p>
    <w:p>
      <w:pPr>
        <w:pStyle w:val="4"/>
      </w:pPr>
      <w:bookmarkStart w:id="4" w:name="_Toc9333"/>
      <w:r>
        <w:rPr>
          <w:rFonts w:hint="eastAsia"/>
          <w:lang w:eastAsia="zh-CN"/>
        </w:rPr>
        <w:t>照明</w:t>
      </w:r>
      <w:bookmarkEnd w:id="4"/>
    </w:p>
    <w:p>
      <w:pPr>
        <w:pStyle w:val="3"/>
        <w:rPr>
          <w:rFonts w:hint="eastAsia"/>
        </w:rPr>
      </w:pPr>
      <w:r>
        <w:rPr>
          <w:rFonts w:hint="eastAsia"/>
        </w:rPr>
        <w:t>模拟计算结果显示，实施智能照明运行模式后的耗电量明显低于改造前的，阶梯教室和绘图室的节能率大部分保持在40%以上，最大达到了75%，进行改造的绘图室和阶梯教室平均节能率达到了62%，说明进行智能照明控制的改造后，书库的耗电量明显降低。</w:t>
      </w:r>
    </w:p>
    <w:p>
      <w:pPr>
        <w:pStyle w:val="3"/>
        <w:rPr>
          <w:rFonts w:hint="eastAsia"/>
        </w:rPr>
      </w:pPr>
      <w:r>
        <w:rPr>
          <w:rFonts w:hint="eastAsia"/>
        </w:rPr>
        <w:t>除此之外，房间功能对节能率的影响较为明显，如部分绘图室节能率均达到了60%以上。是因为绘图室主要为少部分需要绘图的专业开放的，相对而言，自习和上课人数较少，因此节能率较高。而部分阶梯教室，节能率仅为40%左右，因为阶梯教室承载着较多的房间功能，如考试、上课和自习等，人员流动幅度较大，加上部分人上课后未能做到照明灯人走即关，因此照明开启时间较长，节能率明显低于其他类型的房间。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</w:rPr>
        <w:t>按学校规律，全年教学楼开放时间大约为44周，阶梯室10间，每间阶梯教室的面积为156.17㎡，总面积为1561.7㎡；绘图室28间，总面积为2813.64㎡。因此改造前的模式运行一年照明耗电量为145542.32kW·h，按保守节能率60%计算，可以节省87325.39kW·h，电价按1元/kW·h计算，可以获得8.73万元收益；完成该38间阶梯室和绘图室智能照明改造的合同金额为26.8万元，大约可在3.1年回收节能改造投入。</w:t>
      </w:r>
    </w:p>
    <w:p>
      <w:pPr>
        <w:pStyle w:val="4"/>
      </w:pPr>
      <w:bookmarkStart w:id="5" w:name="_Toc11778"/>
      <w:r>
        <w:rPr>
          <w:rFonts w:hint="eastAsia"/>
          <w:lang w:eastAsia="zh-CN"/>
        </w:rPr>
        <w:t>热回收</w:t>
      </w:r>
      <w:bookmarkEnd w:id="5"/>
    </w:p>
    <w:p>
      <w:pPr>
        <w:pStyle w:val="3"/>
        <w:rPr>
          <w:rFonts w:hint="eastAsia"/>
        </w:rPr>
      </w:pPr>
      <w:r>
        <w:rPr>
          <w:rFonts w:hint="eastAsia"/>
        </w:rPr>
        <w:t>电价按1元/kWh计算，由计算结果可得：在供冷期内4月15日至10月15日期间，能耗值减少16579.46kWh，一年可节约运行费用1.66万元。根据经验值，全热回收系统的初投资约为5元/（m3/h），教学楼总体积为65291m³，建筑所需新风量按总体积的10%计算，约为6600m³。则全热回收系统初投资为6600×5=3.3万元，故初期投资的回收期约为2年。</w:t>
      </w:r>
    </w:p>
    <w:p>
      <w:pPr>
        <w:pStyle w:val="4"/>
      </w:pPr>
      <w:bookmarkStart w:id="6" w:name="_Toc3004"/>
      <w:r>
        <w:rPr>
          <w:rFonts w:hint="eastAsia"/>
        </w:rPr>
        <w:t>内保温及</w:t>
      </w:r>
      <w:r>
        <w:rPr>
          <w:rFonts w:hint="eastAsia"/>
          <w:lang w:eastAsia="zh-CN"/>
        </w:rPr>
        <w:t>空调</w:t>
      </w:r>
      <w:bookmarkEnd w:id="6"/>
    </w:p>
    <w:p>
      <w:pPr>
        <w:pStyle w:val="3"/>
      </w:pPr>
      <w:r>
        <w:rPr>
          <w:rFonts w:hint="eastAsia"/>
        </w:rPr>
        <w:t>PRT复合隔热板（400*400*30mm规格）的价格为3元，窗墙比为0.23，总外表面积约为23100㎡，外墙的面积为18780㎡，内墙有效面积系数为k=0.8，故所贴墙的面积为15050㎡。所需隔热板的块数约为94100块，总价为28.23万元。内保温加间歇运行的节能量为4.78kWh/㎡，总节电量为75000kWh，电价按1元/kWh计算，一年可节省电费约7.5万元，故回收期为3.76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71A5F"/>
    <w:rsid w:val="4D27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2021-03-02T12:56:00Z</dcterms:created>
  <dc:creator>Administrator</dc:creator>
  <cp:lastModifiedBy>Administrator</cp:lastModifiedBy>
  <dcterms:modified xsi:type="dcterms:W3CDTF">2021-03-02T12:57:19Z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