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1B" w:rsidRDefault="009C551E">
      <w:pPr>
        <w:jc w:val="center"/>
      </w:pPr>
      <w:bookmarkStart w:id="0" w:name="_GoBack"/>
      <w:r>
        <w:t>规定性指标</w:t>
      </w:r>
    </w:p>
    <w:tbl>
      <w:tblPr>
        <w:tblW w:w="129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900"/>
        <w:gridCol w:w="6270"/>
        <w:gridCol w:w="950"/>
        <w:gridCol w:w="1520"/>
      </w:tblGrid>
      <w:tr w:rsidR="008E451B">
        <w:tc>
          <w:tcPr>
            <w:tcW w:w="2280" w:type="dxa"/>
            <w:shd w:val="clear" w:color="auto" w:fill="DEDEDE"/>
            <w:vAlign w:val="center"/>
          </w:tcPr>
          <w:bookmarkEnd w:id="0"/>
          <w:p w:rsidR="008E451B" w:rsidRDefault="009C551E">
            <w:r>
              <w:t>检查项</w:t>
            </w:r>
          </w:p>
        </w:tc>
        <w:tc>
          <w:tcPr>
            <w:tcW w:w="1900" w:type="dxa"/>
            <w:shd w:val="clear" w:color="auto" w:fill="DEDEDE"/>
            <w:vAlign w:val="center"/>
          </w:tcPr>
          <w:p w:rsidR="008E451B" w:rsidRDefault="009C551E">
            <w:r>
              <w:t>计算值</w:t>
            </w:r>
          </w:p>
        </w:tc>
        <w:tc>
          <w:tcPr>
            <w:tcW w:w="6270" w:type="dxa"/>
            <w:shd w:val="clear" w:color="auto" w:fill="DEDEDE"/>
            <w:vAlign w:val="center"/>
          </w:tcPr>
          <w:p w:rsidR="008E451B" w:rsidRDefault="009C551E">
            <w:r>
              <w:t>标准要求</w:t>
            </w:r>
          </w:p>
        </w:tc>
        <w:tc>
          <w:tcPr>
            <w:tcW w:w="950" w:type="dxa"/>
            <w:shd w:val="clear" w:color="auto" w:fill="DEDEDE"/>
            <w:vAlign w:val="center"/>
          </w:tcPr>
          <w:p w:rsidR="008E451B" w:rsidRDefault="009C551E">
            <w:r>
              <w:t>结论</w:t>
            </w:r>
          </w:p>
        </w:tc>
        <w:tc>
          <w:tcPr>
            <w:tcW w:w="1520" w:type="dxa"/>
            <w:shd w:val="clear" w:color="auto" w:fill="DEDEDE"/>
            <w:vAlign w:val="center"/>
          </w:tcPr>
          <w:p w:rsidR="008E451B" w:rsidRDefault="009C551E">
            <w:r>
              <w:t>可否性能权衡</w:t>
            </w:r>
          </w:p>
        </w:tc>
      </w:tr>
      <w:tr w:rsidR="008E451B">
        <w:tc>
          <w:tcPr>
            <w:tcW w:w="228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窗墙比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夏热冬冷地区甲类公共建筑各单一立面窗墙面积比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包括透光幕墙</w:t>
            </w:r>
            <w:r>
              <w:rPr>
                <w:color w:val="000000"/>
              </w:rPr>
              <w:t xml:space="preserve"> )</w:t>
            </w:r>
            <w:r>
              <w:rPr>
                <w:color w:val="000000"/>
              </w:rPr>
              <w:t>均不宜大于</w:t>
            </w:r>
            <w:r>
              <w:rPr>
                <w:color w:val="000000"/>
              </w:rPr>
              <w:t>0.70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适宜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</w:tr>
      <w:tr w:rsidR="008E451B">
        <w:tc>
          <w:tcPr>
            <w:tcW w:w="228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可见光透射比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当窗墙面积比小于</w:t>
            </w:r>
            <w:r>
              <w:rPr>
                <w:color w:val="000000"/>
              </w:rPr>
              <w:t>0.40</w:t>
            </w:r>
            <w:r>
              <w:rPr>
                <w:color w:val="000000"/>
              </w:rPr>
              <w:t>时，玻璃的可见光透射比不应当小于</w:t>
            </w:r>
            <w:r>
              <w:rPr>
                <w:color w:val="000000"/>
              </w:rPr>
              <w:t>0.6;</w:t>
            </w:r>
            <w:r>
              <w:rPr>
                <w:color w:val="000000"/>
              </w:rPr>
              <w:t>当窗墙面积比大于等于</w:t>
            </w:r>
            <w:r>
              <w:rPr>
                <w:color w:val="000000"/>
              </w:rPr>
              <w:t>0.40</w:t>
            </w:r>
            <w:r>
              <w:rPr>
                <w:color w:val="000000"/>
              </w:rPr>
              <w:t>时，玻璃的可见光透射比不应当小于</w:t>
            </w:r>
            <w:r>
              <w:rPr>
                <w:color w:val="000000"/>
              </w:rPr>
              <w:t>0.4;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</w:tr>
      <w:tr w:rsidR="008E451B">
        <w:tc>
          <w:tcPr>
            <w:tcW w:w="228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天窗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</w:tr>
      <w:tr w:rsidR="008E451B">
        <w:tc>
          <w:tcPr>
            <w:tcW w:w="228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屋顶构造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K</w:t>
            </w:r>
            <w:r>
              <w:rPr>
                <w:color w:val="000000"/>
              </w:rPr>
              <w:t>应满足表</w:t>
            </w:r>
            <w:r>
              <w:rPr>
                <w:color w:val="000000"/>
              </w:rPr>
              <w:t>3.3.1-4</w:t>
            </w:r>
            <w:r>
              <w:rPr>
                <w:color w:val="000000"/>
              </w:rPr>
              <w:t>的规定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</w:tr>
      <w:tr w:rsidR="008E451B">
        <w:tc>
          <w:tcPr>
            <w:tcW w:w="228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外墙构造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K=0.72; D=4.35</w:t>
            </w:r>
          </w:p>
        </w:tc>
        <w:tc>
          <w:tcPr>
            <w:tcW w:w="627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K≤0.80[K</w:t>
            </w:r>
            <w:r>
              <w:rPr>
                <w:color w:val="000000"/>
              </w:rPr>
              <w:t>应满足表</w:t>
            </w:r>
            <w:r>
              <w:rPr>
                <w:color w:val="000000"/>
              </w:rPr>
              <w:t>3.3.1-4</w:t>
            </w:r>
            <w:r>
              <w:rPr>
                <w:color w:val="000000"/>
              </w:rPr>
              <w:t>的规定</w:t>
            </w:r>
            <w:r>
              <w:rPr>
                <w:color w:val="000000"/>
              </w:rPr>
              <w:t>]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</w:tr>
      <w:tr w:rsidR="008E451B">
        <w:tc>
          <w:tcPr>
            <w:tcW w:w="228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挑空楼板构造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K=0.60</w:t>
            </w:r>
          </w:p>
        </w:tc>
        <w:tc>
          <w:tcPr>
            <w:tcW w:w="627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K≤0.70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</w:tr>
      <w:tr w:rsidR="008E451B">
        <w:tc>
          <w:tcPr>
            <w:tcW w:w="228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外窗热工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</w:tr>
      <w:tr w:rsidR="008E451B">
        <w:tc>
          <w:tcPr>
            <w:tcW w:w="228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有效通风换气面积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有通风换气装置</w:t>
            </w:r>
          </w:p>
        </w:tc>
        <w:tc>
          <w:tcPr>
            <w:tcW w:w="627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甲类建筑外窗有效通风换气面积不宜小于所在房间立面面积的</w:t>
            </w:r>
            <w:r>
              <w:rPr>
                <w:color w:val="000000"/>
              </w:rPr>
              <w:t xml:space="preserve">10% 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适宜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</w:tr>
      <w:tr w:rsidR="008E451B">
        <w:tc>
          <w:tcPr>
            <w:tcW w:w="228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非中空窗面积比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非中空玻璃的面积不应超过同一立面透光面积的</w:t>
            </w:r>
            <w:r>
              <w:rPr>
                <w:color w:val="000000"/>
              </w:rPr>
              <w:t>15%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</w:tr>
      <w:tr w:rsidR="008E451B">
        <w:tc>
          <w:tcPr>
            <w:tcW w:w="228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外窗气密性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</w:tr>
      <w:tr w:rsidR="008E451B">
        <w:tc>
          <w:tcPr>
            <w:tcW w:w="228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幕墙气密性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</w:tr>
      <w:tr w:rsidR="008E451B">
        <w:tc>
          <w:tcPr>
            <w:tcW w:w="228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结论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8E451B" w:rsidRDefault="009C551E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8E451B" w:rsidRDefault="008E451B">
            <w:pPr>
              <w:rPr>
                <w:color w:val="000000"/>
              </w:rPr>
            </w:pPr>
          </w:p>
        </w:tc>
      </w:tr>
    </w:tbl>
    <w:p w:rsidR="008E451B" w:rsidRDefault="008E451B">
      <w:pPr>
        <w:jc w:val="center"/>
      </w:pPr>
    </w:p>
    <w:sectPr w:rsidR="008E451B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51E"/>
    <w:rsid w:val="001915A3"/>
    <w:rsid w:val="00217F62"/>
    <w:rsid w:val="008E451B"/>
    <w:rsid w:val="009C551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节能检查-规定性指标</dc:title>
  <dc:creator>DELL</dc:creator>
  <cp:lastModifiedBy>DELL</cp:lastModifiedBy>
  <cp:revision>1</cp:revision>
  <dcterms:created xsi:type="dcterms:W3CDTF">2021-01-02T09:12:00Z</dcterms:created>
  <dcterms:modified xsi:type="dcterms:W3CDTF">2021-01-02T09:13:00Z</dcterms:modified>
</cp:coreProperties>
</file>