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长春市第105中学改造</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长春</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2021年03月10日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北京绿建软件有限公司</w:t>
            </w:r>
          </w:p>
          <w:p>
            <w:pPr>
              <w:spacing w:line="240" w:lineRule="auto"/>
              <w:jc w:val="both"/>
              <w:rPr>
                <w:rFonts w:ascii="宋体" w:hAnsi="宋体"/>
                <w:szCs w:val="18"/>
              </w:rPr>
            </w:pPr>
            <w:r>
              <w:rPr>
                <w:rFonts w:hint="eastAsia" w:ascii="宋体" w:hAnsi="宋体"/>
                <w:szCs w:val="18"/>
              </w:rPr>
              <w:t>深圳市斯维尔科技有限公司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"_Toc66300286" </w:instrText>
      </w:r>
      <w:r>
        <w:fldChar w:fldCharType="separate"/>
      </w:r>
      <w:r>
        <w:rPr>
          <w:rStyle w:val="26"/>
        </w:rPr>
        <w:t>1</w:t>
      </w:r>
      <w:r>
        <w:rPr>
          <w:rFonts w:asciiTheme="minorHAnsi" w:hAnsiTheme="minorHAnsi" w:eastAsiaTheme="minorEastAsia" w:cstheme="minorBidi"/>
          <w:b w:val="0"/>
          <w:bCs w:val="0"/>
          <w:szCs w:val="22"/>
        </w:rPr>
        <w:tab/>
      </w:r>
      <w:r>
        <w:rPr>
          <w:rStyle w:val="26"/>
        </w:rPr>
        <w:t>项目概况</w:t>
      </w:r>
      <w:r>
        <w:tab/>
      </w:r>
      <w:r>
        <w:fldChar w:fldCharType="begin"/>
      </w:r>
      <w:r>
        <w:instrText xml:space="preserve"> PAGEREF _Toc66300286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"_Toc66300287" </w:instrText>
      </w:r>
      <w:r>
        <w:fldChar w:fldCharType="separate"/>
      </w:r>
      <w:r>
        <w:rPr>
          <w:rStyle w:val="26"/>
          <w:lang w:val="en-GB"/>
        </w:rPr>
        <w:t>1.1</w:t>
      </w:r>
      <w:r>
        <w:rPr>
          <w:rFonts w:asciiTheme="minorHAnsi" w:hAnsiTheme="minorHAnsi" w:eastAsiaTheme="minorEastAsia" w:cstheme="minorBidi"/>
          <w:szCs w:val="22"/>
        </w:rPr>
        <w:tab/>
      </w:r>
      <w:r>
        <w:rPr>
          <w:rStyle w:val="26"/>
        </w:rPr>
        <w:t>总平面图</w:t>
      </w:r>
      <w:r>
        <w:tab/>
      </w:r>
      <w:r>
        <w:fldChar w:fldCharType="begin"/>
      </w:r>
      <w:r>
        <w:instrText xml:space="preserve"> PAGEREF _Toc66300287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"_Toc66300288" </w:instrText>
      </w:r>
      <w:r>
        <w:fldChar w:fldCharType="separate"/>
      </w:r>
      <w:r>
        <w:rPr>
          <w:rStyle w:val="26"/>
          <w:lang w:val="en-GB"/>
        </w:rPr>
        <w:t>1.2</w:t>
      </w:r>
      <w:r>
        <w:rPr>
          <w:rFonts w:asciiTheme="minorHAnsi" w:hAnsiTheme="minorHAnsi" w:eastAsiaTheme="minorEastAsia" w:cstheme="minorBidi"/>
          <w:szCs w:val="22"/>
        </w:rPr>
        <w:tab/>
      </w:r>
      <w:r>
        <w:rPr>
          <w:rStyle w:val="26"/>
        </w:rPr>
        <w:t>三维视图</w:t>
      </w:r>
      <w:r>
        <w:tab/>
      </w:r>
      <w:r>
        <w:fldChar w:fldCharType="begin"/>
      </w:r>
      <w:r>
        <w:instrText xml:space="preserve"> PAGEREF _Toc66300288 \h </w:instrText>
      </w:r>
      <w:r>
        <w:fldChar w:fldCharType="separate"/>
      </w:r>
      <w:r>
        <w:t>5</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"_Toc66300289" </w:instrText>
      </w:r>
      <w:r>
        <w:fldChar w:fldCharType="separate"/>
      </w:r>
      <w:r>
        <w:rPr>
          <w:rStyle w:val="26"/>
        </w:rPr>
        <w:t>2</w:t>
      </w:r>
      <w:r>
        <w:rPr>
          <w:rFonts w:asciiTheme="minorHAnsi" w:hAnsiTheme="minorHAnsi" w:eastAsiaTheme="minorEastAsia" w:cstheme="minorBidi"/>
          <w:b w:val="0"/>
          <w:bCs w:val="0"/>
          <w:szCs w:val="22"/>
        </w:rPr>
        <w:tab/>
      </w:r>
      <w:r>
        <w:rPr>
          <w:rStyle w:val="26"/>
        </w:rPr>
        <w:t>计算依据</w:t>
      </w:r>
      <w:r>
        <w:tab/>
      </w:r>
      <w:r>
        <w:fldChar w:fldCharType="begin"/>
      </w:r>
      <w:r>
        <w:instrText xml:space="preserve"> PAGEREF _Toc66300289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"_Toc66300290" </w:instrText>
      </w:r>
      <w:r>
        <w:fldChar w:fldCharType="separate"/>
      </w:r>
      <w:r>
        <w:rPr>
          <w:rStyle w:val="26"/>
        </w:rPr>
        <w:t>3</w:t>
      </w:r>
      <w:r>
        <w:rPr>
          <w:rFonts w:asciiTheme="minorHAnsi" w:hAnsiTheme="minorHAnsi" w:eastAsiaTheme="minorEastAsia" w:cstheme="minorBidi"/>
          <w:b w:val="0"/>
          <w:bCs w:val="0"/>
          <w:szCs w:val="22"/>
        </w:rPr>
        <w:tab/>
      </w:r>
      <w:r>
        <w:rPr>
          <w:rStyle w:val="26"/>
        </w:rPr>
        <w:t>参考标准</w:t>
      </w:r>
      <w:r>
        <w:tab/>
      </w:r>
      <w:r>
        <w:fldChar w:fldCharType="begin"/>
      </w:r>
      <w:r>
        <w:instrText xml:space="preserve"> PAGEREF _Toc66300290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"_Toc66300291" </w:instrText>
      </w:r>
      <w:r>
        <w:fldChar w:fldCharType="separate"/>
      </w:r>
      <w:r>
        <w:rPr>
          <w:rStyle w:val="26"/>
        </w:rPr>
        <w:t>4</w:t>
      </w:r>
      <w:r>
        <w:rPr>
          <w:rFonts w:asciiTheme="minorHAnsi" w:hAnsiTheme="minorHAnsi" w:eastAsiaTheme="minorEastAsia" w:cstheme="minorBidi"/>
          <w:b w:val="0"/>
          <w:bCs w:val="0"/>
          <w:szCs w:val="22"/>
        </w:rPr>
        <w:tab/>
      </w:r>
      <w:r>
        <w:rPr>
          <w:rStyle w:val="26"/>
        </w:rPr>
        <w:t>计算原理</w:t>
      </w:r>
      <w:r>
        <w:tab/>
      </w:r>
      <w:r>
        <w:fldChar w:fldCharType="begin"/>
      </w:r>
      <w:r>
        <w:instrText xml:space="preserve"> PAGEREF _Toc66300291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"_Toc66300292" </w:instrText>
      </w:r>
      <w:r>
        <w:fldChar w:fldCharType="separate"/>
      </w:r>
      <w:r>
        <w:rPr>
          <w:rStyle w:val="26"/>
          <w:lang w:val="en-GB"/>
        </w:rPr>
        <w:t>4.1</w:t>
      </w:r>
      <w:r>
        <w:rPr>
          <w:rFonts w:asciiTheme="minorHAnsi" w:hAnsiTheme="minorHAnsi" w:eastAsiaTheme="minorEastAsia" w:cstheme="minorBidi"/>
          <w:szCs w:val="22"/>
        </w:rPr>
        <w:tab/>
      </w:r>
      <w:r>
        <w:rPr>
          <w:rStyle w:val="26"/>
        </w:rPr>
        <w:t>风场计算域</w:t>
      </w:r>
      <w:r>
        <w:tab/>
      </w:r>
      <w:r>
        <w:fldChar w:fldCharType="begin"/>
      </w:r>
      <w:r>
        <w:instrText xml:space="preserve"> PAGEREF _Toc66300292 \h </w:instrText>
      </w:r>
      <w:r>
        <w:fldChar w:fldCharType="separate"/>
      </w:r>
      <w:r>
        <w:t>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"_Toc66300293" </w:instrText>
      </w:r>
      <w:r>
        <w:fldChar w:fldCharType="separate"/>
      </w:r>
      <w:r>
        <w:rPr>
          <w:rStyle w:val="26"/>
          <w:lang w:val="en-GB"/>
        </w:rPr>
        <w:t>4.1.1</w:t>
      </w:r>
      <w:r>
        <w:rPr>
          <w:rFonts w:asciiTheme="minorHAnsi" w:hAnsiTheme="minorHAnsi" w:eastAsiaTheme="minorEastAsia" w:cstheme="minorBidi"/>
          <w:szCs w:val="22"/>
        </w:rPr>
        <w:tab/>
      </w:r>
      <w:r>
        <w:rPr>
          <w:rStyle w:val="26"/>
        </w:rPr>
        <w:t>冬季工况风场计算域</w:t>
      </w:r>
      <w:r>
        <w:tab/>
      </w:r>
      <w:r>
        <w:fldChar w:fldCharType="begin"/>
      </w:r>
      <w:r>
        <w:instrText xml:space="preserve"> PAGEREF _Toc66300293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"_Toc66300294" </w:instrText>
      </w:r>
      <w:r>
        <w:fldChar w:fldCharType="separate"/>
      </w:r>
      <w:r>
        <w:rPr>
          <w:rStyle w:val="26"/>
          <w:lang w:val="en-GB"/>
        </w:rPr>
        <w:t>4.2</w:t>
      </w:r>
      <w:r>
        <w:rPr>
          <w:rFonts w:asciiTheme="minorHAnsi" w:hAnsiTheme="minorHAnsi" w:eastAsiaTheme="minorEastAsia" w:cstheme="minorBidi"/>
          <w:szCs w:val="22"/>
        </w:rPr>
        <w:tab/>
      </w:r>
      <w:r>
        <w:rPr>
          <w:rStyle w:val="26"/>
        </w:rPr>
        <w:t>网格划分</w:t>
      </w:r>
      <w:r>
        <w:tab/>
      </w:r>
      <w:r>
        <w:fldChar w:fldCharType="begin"/>
      </w:r>
      <w:r>
        <w:instrText xml:space="preserve"> PAGEREF _Toc66300294 \h </w:instrText>
      </w:r>
      <w:r>
        <w:fldChar w:fldCharType="separate"/>
      </w:r>
      <w:r>
        <w:t>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"_Toc66300295" </w:instrText>
      </w:r>
      <w:r>
        <w:fldChar w:fldCharType="separate"/>
      </w:r>
      <w:r>
        <w:rPr>
          <w:rStyle w:val="26"/>
          <w:lang w:val="en-GB"/>
        </w:rPr>
        <w:t>4.3</w:t>
      </w:r>
      <w:r>
        <w:rPr>
          <w:rFonts w:asciiTheme="minorHAnsi" w:hAnsiTheme="minorHAnsi" w:eastAsiaTheme="minorEastAsia" w:cstheme="minorBidi"/>
          <w:szCs w:val="22"/>
        </w:rPr>
        <w:tab/>
      </w:r>
      <w:r>
        <w:rPr>
          <w:rStyle w:val="26"/>
        </w:rPr>
        <w:t>边界条件</w:t>
      </w:r>
      <w:r>
        <w:tab/>
      </w:r>
      <w:r>
        <w:fldChar w:fldCharType="begin"/>
      </w:r>
      <w:r>
        <w:instrText xml:space="preserve"> PAGEREF _Toc66300295 \h </w:instrText>
      </w:r>
      <w:r>
        <w:fldChar w:fldCharType="separate"/>
      </w:r>
      <w:r>
        <w:t>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"_Toc66300296" </w:instrText>
      </w:r>
      <w:r>
        <w:fldChar w:fldCharType="separate"/>
      </w:r>
      <w:r>
        <w:rPr>
          <w:rStyle w:val="26"/>
          <w:lang w:val="en-GB"/>
        </w:rPr>
        <w:t>4.3.1</w:t>
      </w:r>
      <w:r>
        <w:rPr>
          <w:rFonts w:asciiTheme="minorHAnsi" w:hAnsiTheme="minorHAnsi" w:eastAsiaTheme="minorEastAsia" w:cstheme="minorBidi"/>
          <w:szCs w:val="22"/>
        </w:rPr>
        <w:tab/>
      </w:r>
      <w:r>
        <w:rPr>
          <w:rStyle w:val="26"/>
        </w:rPr>
        <w:t>入口与出口边界条件</w:t>
      </w:r>
      <w:r>
        <w:tab/>
      </w:r>
      <w:r>
        <w:fldChar w:fldCharType="begin"/>
      </w:r>
      <w:r>
        <w:instrText xml:space="preserve"> PAGEREF _Toc66300296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"_Toc66300297" </w:instrText>
      </w:r>
      <w:r>
        <w:fldChar w:fldCharType="separate"/>
      </w:r>
      <w:r>
        <w:rPr>
          <w:rStyle w:val="26"/>
          <w:lang w:val="en-GB"/>
        </w:rPr>
        <w:t>4.3.2</w:t>
      </w:r>
      <w:r>
        <w:rPr>
          <w:rFonts w:asciiTheme="minorHAnsi" w:hAnsiTheme="minorHAnsi" w:eastAsiaTheme="minorEastAsia" w:cstheme="minorBidi"/>
          <w:szCs w:val="22"/>
        </w:rPr>
        <w:tab/>
      </w:r>
      <w:r>
        <w:rPr>
          <w:rStyle w:val="26"/>
        </w:rPr>
        <w:t>壁面边界条件</w:t>
      </w:r>
      <w:r>
        <w:tab/>
      </w:r>
      <w:r>
        <w:fldChar w:fldCharType="begin"/>
      </w:r>
      <w:r>
        <w:instrText xml:space="preserve"> PAGEREF _Toc66300297 \h </w:instrText>
      </w:r>
      <w:r>
        <w:fldChar w:fldCharType="separate"/>
      </w:r>
      <w:r>
        <w:t>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"_Toc66300298" </w:instrText>
      </w:r>
      <w:r>
        <w:fldChar w:fldCharType="separate"/>
      </w:r>
      <w:r>
        <w:rPr>
          <w:rStyle w:val="26"/>
          <w:lang w:val="en-GB"/>
        </w:rPr>
        <w:t>4.4</w:t>
      </w:r>
      <w:r>
        <w:rPr>
          <w:rFonts w:asciiTheme="minorHAnsi" w:hAnsiTheme="minorHAnsi" w:eastAsiaTheme="minorEastAsia" w:cstheme="minorBidi"/>
          <w:szCs w:val="22"/>
        </w:rPr>
        <w:tab/>
      </w:r>
      <w:r>
        <w:rPr>
          <w:rStyle w:val="26"/>
        </w:rPr>
        <w:t>湍流模型</w:t>
      </w:r>
      <w:r>
        <w:tab/>
      </w:r>
      <w:r>
        <w:fldChar w:fldCharType="begin"/>
      </w:r>
      <w:r>
        <w:instrText xml:space="preserve"> PAGEREF _Toc66300298 \h </w:instrText>
      </w:r>
      <w:r>
        <w:fldChar w:fldCharType="separate"/>
      </w:r>
      <w:r>
        <w:t>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"_Toc66300299" </w:instrText>
      </w:r>
      <w:r>
        <w:fldChar w:fldCharType="separate"/>
      </w:r>
      <w:r>
        <w:rPr>
          <w:rStyle w:val="26"/>
          <w:lang w:val="en-GB"/>
        </w:rPr>
        <w:t>4.5</w:t>
      </w:r>
      <w:r>
        <w:rPr>
          <w:rFonts w:asciiTheme="minorHAnsi" w:hAnsiTheme="minorHAnsi" w:eastAsiaTheme="minorEastAsia" w:cstheme="minorBidi"/>
          <w:szCs w:val="22"/>
        </w:rPr>
        <w:tab/>
      </w:r>
      <w:r>
        <w:rPr>
          <w:rStyle w:val="26"/>
        </w:rPr>
        <w:t>求解计算</w:t>
      </w:r>
      <w:r>
        <w:tab/>
      </w:r>
      <w:r>
        <w:fldChar w:fldCharType="begin"/>
      </w:r>
      <w:r>
        <w:instrText xml:space="preserve"> PAGEREF _Toc66300299 \h </w:instrText>
      </w:r>
      <w:r>
        <w:fldChar w:fldCharType="separate"/>
      </w:r>
      <w:r>
        <w:t>10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"_Toc66300300" </w:instrText>
      </w:r>
      <w:r>
        <w:fldChar w:fldCharType="separate"/>
      </w:r>
      <w:r>
        <w:rPr>
          <w:rStyle w:val="26"/>
          <w:lang w:val="en-GB"/>
        </w:rPr>
        <w:t>4.6</w:t>
      </w:r>
      <w:r>
        <w:rPr>
          <w:rFonts w:asciiTheme="minorHAnsi" w:hAnsiTheme="minorHAnsi" w:eastAsiaTheme="minorEastAsia" w:cstheme="minorBidi"/>
          <w:szCs w:val="22"/>
        </w:rPr>
        <w:tab/>
      </w:r>
      <w:r>
        <w:rPr>
          <w:rStyle w:val="26"/>
        </w:rPr>
        <w:t>风速放大系数计算</w:t>
      </w:r>
      <w:r>
        <w:tab/>
      </w:r>
      <w:r>
        <w:fldChar w:fldCharType="begin"/>
      </w:r>
      <w:r>
        <w:instrText xml:space="preserve"> PAGEREF _Toc66300300 \h </w:instrText>
      </w:r>
      <w:r>
        <w:fldChar w:fldCharType="separate"/>
      </w:r>
      <w:r>
        <w:t>11</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"_Toc66300301" </w:instrText>
      </w:r>
      <w:r>
        <w:fldChar w:fldCharType="separate"/>
      </w:r>
      <w:r>
        <w:rPr>
          <w:rStyle w:val="26"/>
        </w:rPr>
        <w:t>5</w:t>
      </w:r>
      <w:r>
        <w:rPr>
          <w:rFonts w:asciiTheme="minorHAnsi" w:hAnsiTheme="minorHAnsi" w:eastAsiaTheme="minorEastAsia" w:cstheme="minorBidi"/>
          <w:b w:val="0"/>
          <w:bCs w:val="0"/>
          <w:szCs w:val="22"/>
        </w:rPr>
        <w:tab/>
      </w:r>
      <w:r>
        <w:rPr>
          <w:rStyle w:val="26"/>
        </w:rPr>
        <w:t>结果分析</w:t>
      </w:r>
      <w:r>
        <w:tab/>
      </w:r>
      <w:r>
        <w:fldChar w:fldCharType="begin"/>
      </w:r>
      <w:r>
        <w:instrText xml:space="preserve"> PAGEREF _Toc66300301 \h </w:instrText>
      </w:r>
      <w:r>
        <w:fldChar w:fldCharType="separate"/>
      </w:r>
      <w:r>
        <w:t>12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"_Toc66300302" </w:instrText>
      </w:r>
      <w:r>
        <w:fldChar w:fldCharType="separate"/>
      </w:r>
      <w:r>
        <w:rPr>
          <w:rStyle w:val="26"/>
          <w:lang w:val="en-GB"/>
        </w:rPr>
        <w:t>5.1</w:t>
      </w:r>
      <w:r>
        <w:rPr>
          <w:rFonts w:asciiTheme="minorHAnsi" w:hAnsiTheme="minorHAnsi" w:eastAsiaTheme="minorEastAsia" w:cstheme="minorBidi"/>
          <w:szCs w:val="22"/>
        </w:rPr>
        <w:tab/>
      </w:r>
      <w:r>
        <w:rPr>
          <w:rStyle w:val="26"/>
        </w:rPr>
        <w:t>工况表</w:t>
      </w:r>
      <w:r>
        <w:tab/>
      </w:r>
      <w:r>
        <w:fldChar w:fldCharType="begin"/>
      </w:r>
      <w:r>
        <w:instrText xml:space="preserve"> PAGEREF _Toc66300302 \h </w:instrText>
      </w:r>
      <w:r>
        <w:fldChar w:fldCharType="separate"/>
      </w:r>
      <w:r>
        <w:t>12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"_Toc66300303" </w:instrText>
      </w:r>
      <w:r>
        <w:fldChar w:fldCharType="separate"/>
      </w:r>
      <w:r>
        <w:rPr>
          <w:rStyle w:val="26"/>
          <w:lang w:val="en-GB"/>
        </w:rPr>
        <w:t>5.2</w:t>
      </w:r>
      <w:r>
        <w:rPr>
          <w:rFonts w:asciiTheme="minorHAnsi" w:hAnsiTheme="minorHAnsi" w:eastAsiaTheme="minorEastAsia" w:cstheme="minorBidi"/>
          <w:szCs w:val="22"/>
        </w:rPr>
        <w:tab/>
      </w:r>
      <w:r>
        <w:rPr>
          <w:rStyle w:val="26"/>
        </w:rPr>
        <w:t>冬季工况</w:t>
      </w:r>
      <w:r>
        <w:tab/>
      </w:r>
      <w:r>
        <w:fldChar w:fldCharType="begin"/>
      </w:r>
      <w:r>
        <w:instrText xml:space="preserve"> PAGEREF _Toc66300303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"_Toc66300304" </w:instrText>
      </w:r>
      <w:r>
        <w:fldChar w:fldCharType="separate"/>
      </w:r>
      <w:r>
        <w:rPr>
          <w:rStyle w:val="26"/>
          <w:lang w:val="en-GB"/>
        </w:rPr>
        <w:t>5.2.1</w:t>
      </w:r>
      <w:r>
        <w:rPr>
          <w:rFonts w:asciiTheme="minorHAnsi" w:hAnsiTheme="minorHAnsi" w:eastAsiaTheme="minorEastAsia" w:cstheme="minorBidi"/>
          <w:szCs w:val="22"/>
        </w:rPr>
        <w:tab/>
      </w:r>
      <w:r>
        <w:rPr>
          <w:rStyle w:val="26"/>
        </w:rPr>
        <w:t>风速达标分析</w:t>
      </w:r>
      <w:r>
        <w:tab/>
      </w:r>
      <w:r>
        <w:fldChar w:fldCharType="begin"/>
      </w:r>
      <w:r>
        <w:instrText xml:space="preserve"> PAGEREF _Toc66300304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"_Toc66300305" </w:instrText>
      </w:r>
      <w:r>
        <w:fldChar w:fldCharType="separate"/>
      </w:r>
      <w:r>
        <w:rPr>
          <w:rStyle w:val="26"/>
          <w:lang w:val="en-GB"/>
        </w:rPr>
        <w:t>5.2.2</w:t>
      </w:r>
      <w:r>
        <w:rPr>
          <w:rFonts w:asciiTheme="minorHAnsi" w:hAnsiTheme="minorHAnsi" w:eastAsiaTheme="minorEastAsia" w:cstheme="minorBidi"/>
          <w:szCs w:val="22"/>
        </w:rPr>
        <w:tab/>
      </w:r>
      <w:r>
        <w:rPr>
          <w:rStyle w:val="26"/>
        </w:rPr>
        <w:t>风速放大系数达标分析</w:t>
      </w:r>
      <w:r>
        <w:tab/>
      </w:r>
      <w:r>
        <w:fldChar w:fldCharType="begin"/>
      </w:r>
      <w:r>
        <w:instrText xml:space="preserve"> PAGEREF _Toc66300305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"_Toc66300306" </w:instrText>
      </w:r>
      <w:r>
        <w:fldChar w:fldCharType="separate"/>
      </w:r>
      <w:r>
        <w:rPr>
          <w:rStyle w:val="26"/>
          <w:lang w:val="en-GB"/>
        </w:rPr>
        <w:t>5.2.3</w:t>
      </w:r>
      <w:r>
        <w:rPr>
          <w:rFonts w:asciiTheme="minorHAnsi" w:hAnsiTheme="minorHAnsi" w:eastAsiaTheme="minorEastAsia" w:cstheme="minorBidi"/>
          <w:szCs w:val="22"/>
        </w:rPr>
        <w:tab/>
      </w:r>
      <w:r>
        <w:rPr>
          <w:rStyle w:val="26"/>
          <w:rFonts w:cs="宋体"/>
          <w:lang w:val="en-GB"/>
        </w:rPr>
        <w:t>人行区域</w:t>
      </w:r>
      <w:r>
        <w:rPr>
          <w:rStyle w:val="26"/>
        </w:rPr>
        <w:t>冬季工况风速/风速放大系数达标判定</w:t>
      </w:r>
      <w:r>
        <w:tab/>
      </w:r>
      <w:r>
        <w:fldChar w:fldCharType="begin"/>
      </w:r>
      <w:r>
        <w:instrText xml:space="preserve"> PAGEREF _Toc66300306 \h </w:instrText>
      </w:r>
      <w:r>
        <w:fldChar w:fldCharType="separate"/>
      </w:r>
      <w:r>
        <w:t>14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"_Toc66300307" </w:instrText>
      </w:r>
      <w:r>
        <w:fldChar w:fldCharType="separate"/>
      </w:r>
      <w:r>
        <w:rPr>
          <w:rStyle w:val="26"/>
          <w:lang w:val="en-GB"/>
        </w:rPr>
        <w:t>5.2.4</w:t>
      </w:r>
      <w:r>
        <w:rPr>
          <w:rFonts w:asciiTheme="minorHAnsi" w:hAnsiTheme="minorHAnsi" w:eastAsiaTheme="minorEastAsia" w:cstheme="minorBidi"/>
          <w:szCs w:val="22"/>
        </w:rPr>
        <w:tab/>
      </w:r>
      <w:r>
        <w:rPr>
          <w:rStyle w:val="26"/>
        </w:rPr>
        <w:t>建筑迎风面和背风面风压分析</w:t>
      </w:r>
      <w:r>
        <w:tab/>
      </w:r>
      <w:r>
        <w:fldChar w:fldCharType="begin"/>
      </w:r>
      <w:r>
        <w:instrText xml:space="preserve"> PAGEREF _Toc66300307 \h </w:instrText>
      </w:r>
      <w:r>
        <w:fldChar w:fldCharType="separate"/>
      </w:r>
      <w:r>
        <w:t>14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"_Toc66300308" </w:instrText>
      </w:r>
      <w:r>
        <w:fldChar w:fldCharType="separate"/>
      </w:r>
      <w:r>
        <w:rPr>
          <w:rStyle w:val="26"/>
          <w:lang w:val="en-GB"/>
        </w:rPr>
        <w:t>5.3</w:t>
      </w:r>
      <w:r>
        <w:rPr>
          <w:rFonts w:asciiTheme="minorHAnsi" w:hAnsiTheme="minorHAnsi" w:eastAsiaTheme="minorEastAsia" w:cstheme="minorBidi"/>
          <w:szCs w:val="22"/>
        </w:rPr>
        <w:tab/>
      </w:r>
      <w:r>
        <w:rPr>
          <w:rStyle w:val="26"/>
        </w:rPr>
        <w:t>结论</w:t>
      </w:r>
      <w:r>
        <w:tab/>
      </w:r>
      <w:r>
        <w:fldChar w:fldCharType="begin"/>
      </w:r>
      <w:r>
        <w:instrText xml:space="preserve"> PAGEREF _Toc66300308 \h </w:instrText>
      </w:r>
      <w:r>
        <w:fldChar w:fldCharType="separate"/>
      </w:r>
      <w:r>
        <w:t>17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"_Toc66300309" </w:instrText>
      </w:r>
      <w:r>
        <w:fldChar w:fldCharType="separate"/>
      </w:r>
      <w:r>
        <w:rPr>
          <w:rStyle w:val="26"/>
          <w:lang w:val="en-GB"/>
        </w:rPr>
        <w:t>5.3.1</w:t>
      </w:r>
      <w:r>
        <w:rPr>
          <w:rFonts w:asciiTheme="minorHAnsi" w:hAnsiTheme="minorHAnsi" w:eastAsiaTheme="minorEastAsia" w:cstheme="minorBidi"/>
          <w:szCs w:val="22"/>
        </w:rPr>
        <w:tab/>
      </w:r>
      <w:r>
        <w:rPr>
          <w:rStyle w:val="26"/>
        </w:rPr>
        <w:t>冬季工况达标判断</w:t>
      </w:r>
      <w:r>
        <w:tab/>
      </w:r>
      <w:r>
        <w:fldChar w:fldCharType="begin"/>
      </w:r>
      <w:r>
        <w:instrText xml:space="preserve"> PAGEREF _Toc66300309 \h </w:instrText>
      </w:r>
      <w:r>
        <w:fldChar w:fldCharType="separate"/>
      </w:r>
      <w:r>
        <w:t>17</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8" w:name="_Toc66300286"/>
      <w:bookmarkStart w:id="9" w:name="_Toc452108759"/>
      <w:r>
        <w:rPr>
          <w:rFonts w:hint="eastAsia"/>
        </w:rPr>
        <w:t>项目概况</w:t>
      </w:r>
      <w:bookmarkEnd w:id="8"/>
      <w:bookmarkEnd w:id="9"/>
    </w:p>
    <w:p>
      <w:pPr>
        <w:pStyle w:val="3"/>
        <w:ind w:firstLine="420"/>
        <w:rPr>
          <w:lang w:val="en-US"/>
        </w:rPr>
      </w:pPr>
      <w:bookmarkStart w:id="10" w:name="项目概况"/>
      <w:bookmarkEnd w:id="10"/>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1" w:name="_Toc66300287"/>
      <w:bookmarkStart w:id="12" w:name="_Toc452108760"/>
      <w:r>
        <w:rPr>
          <w:rFonts w:hint="eastAsia"/>
        </w:rPr>
        <w:t>总</w:t>
      </w:r>
      <w:r>
        <w:t>平面图</w:t>
      </w:r>
      <w:bookmarkEnd w:id="11"/>
      <w:bookmarkEnd w:id="12"/>
    </w:p>
    <w:p>
      <w:pPr>
        <w:pStyle w:val="3"/>
        <w:ind w:firstLine="0" w:firstLineChars="0"/>
        <w:jc w:val="center"/>
        <w:rPr>
          <w:lang w:val="en-US"/>
        </w:rPr>
      </w:pPr>
      <w:r>
        <w:rPr>
          <w:rFonts w:hint="eastAsia"/>
          <w:lang w:val="en-US"/>
        </w:rPr>
        <w:t xml:space="preserve"> </w:t>
      </w:r>
      <w:bookmarkStart w:id="13" w:name="总平面图"/>
      <w:bookmarkEnd w:id="13"/>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4" w:name="_Toc452108761"/>
      <w:bookmarkStart w:id="15" w:name="_Toc66300288"/>
      <w:r>
        <w:rPr>
          <w:rFonts w:hint="eastAsia"/>
        </w:rPr>
        <w:t>三</w:t>
      </w:r>
      <w:r>
        <w:t>维视图</w:t>
      </w:r>
      <w:bookmarkEnd w:id="14"/>
      <w:bookmarkEnd w:id="15"/>
    </w:p>
    <w:p>
      <w:pPr>
        <w:pStyle w:val="3"/>
        <w:ind w:firstLine="0" w:firstLineChars="0"/>
        <w:jc w:val="center"/>
        <w:rPr>
          <w:lang w:val="en-US"/>
        </w:rPr>
      </w:pPr>
      <w:r>
        <w:rPr>
          <w:rFonts w:hint="eastAsia"/>
          <w:lang w:val="en-US"/>
        </w:rPr>
        <w:t xml:space="preserve"> </w:t>
      </w:r>
      <w:bookmarkStart w:id="16" w:name="三维视图"/>
      <w:bookmarkEnd w:id="16"/>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7" w:name="_Toc66300289"/>
      <w:bookmarkStart w:id="18" w:name="TitleFormat"/>
      <w:bookmarkStart w:id="19" w:name="_Toc452108762"/>
      <w:r>
        <w:rPr>
          <w:rFonts w:hint="eastAsia"/>
        </w:rPr>
        <w:t>计算</w:t>
      </w:r>
      <w:r>
        <w:t>依据</w:t>
      </w:r>
      <w:bookmarkEnd w:id="17"/>
      <w:bookmarkEnd w:id="18"/>
      <w:bookmarkEnd w:id="19"/>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0" w:name="_Toc452108763"/>
      <w:bookmarkStart w:id="21" w:name="_Toc66300290"/>
      <w:r>
        <w:rPr>
          <w:rFonts w:hint="eastAsia"/>
        </w:rPr>
        <w:t>参考</w:t>
      </w:r>
      <w:r>
        <w:t>标准</w:t>
      </w:r>
      <w:bookmarkEnd w:id="20"/>
      <w:bookmarkEnd w:id="21"/>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2" w:name="_Toc452108764"/>
      <w:bookmarkStart w:id="23" w:name="_Toc451698935"/>
      <w:bookmarkStart w:id="24"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5" w:name="_Toc66300291"/>
      <w:r>
        <w:rPr>
          <w:rFonts w:hint="eastAsia"/>
        </w:rPr>
        <w:t>计算原理</w:t>
      </w:r>
      <w:bookmarkEnd w:id="22"/>
      <w:bookmarkEnd w:id="23"/>
      <w:bookmarkEnd w:id="25"/>
    </w:p>
    <w:p>
      <w:pPr>
        <w:pStyle w:val="4"/>
        <w:numPr>
          <w:ilvl w:val="1"/>
          <w:numId w:val="3"/>
        </w:numPr>
      </w:pPr>
      <w:bookmarkStart w:id="26" w:name="_Toc509844740"/>
      <w:bookmarkStart w:id="27" w:name="_Toc66300292"/>
      <w:bookmarkStart w:id="28" w:name="_Toc451698937"/>
      <w:bookmarkStart w:id="29" w:name="_Toc452108765"/>
      <w:r>
        <w:rPr>
          <w:rFonts w:hint="eastAsia"/>
        </w:rPr>
        <w:t>风场计算域</w:t>
      </w:r>
      <w:bookmarkEnd w:id="26"/>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0" w:name="_Toc66300293"/>
      <w:r>
        <w:rPr>
          <w:rFonts w:hint="eastAsia"/>
        </w:rPr>
        <w:t>冬季工况风场计算域</w:t>
      </w:r>
      <w:bookmarkEnd w:id="30"/>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31" w:name="季节2"/>
      <w:r>
        <w:rPr>
          <w:rFonts w:hint="eastAsia" w:ascii="黑体" w:hAnsi="黑体" w:eastAsia="黑体"/>
          <w:sz w:val="20"/>
          <w:szCs w:val="20"/>
        </w:rPr>
        <w:t>冬季</w:t>
      </w:r>
      <w:bookmarkEnd w:id="3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2" w:name="冬季风场X尺寸"/>
            <w:r>
              <w:t>362</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3" w:name="冬季风场Y尺寸"/>
            <w:r>
              <w:t>311</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4" w:name="冬季风场Z尺寸"/>
            <w:r>
              <w:t>113</w:t>
            </w:r>
            <w:bookmarkEnd w:id="34"/>
          </w:p>
        </w:tc>
      </w:tr>
    </w:tbl>
    <w:p>
      <w:pPr>
        <w:pStyle w:val="3"/>
        <w:ind w:firstLine="0" w:firstLineChars="0"/>
        <w:jc w:val="center"/>
        <w:rPr>
          <w:lang w:val="en-US"/>
        </w:rPr>
      </w:pPr>
      <w:bookmarkStart w:id="35" w:name="冬季工况风场计算域图示"/>
      <w:bookmarkEnd w:id="35"/>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2"/>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w:t>
      </w:r>
      <w:bookmarkStart w:id="36" w:name="季节3"/>
      <w:r>
        <w:rPr>
          <w:rFonts w:hint="eastAsia" w:ascii="黑体" w:hAnsi="黑体"/>
        </w:rPr>
        <w:t>冬季</w:t>
      </w:r>
      <w:bookmarkEnd w:id="36"/>
      <w:r>
        <w:rPr>
          <w:rFonts w:hint="eastAsia"/>
        </w:rPr>
        <w:t>工况风场计算域图示</w:t>
      </w:r>
      <w:r>
        <w:rPr>
          <w:rFonts w:hint="eastAsia"/>
          <w:szCs w:val="21"/>
          <w:lang w:val="en-US"/>
        </w:rPr>
        <w:t xml:space="preserve"> </w:t>
      </w:r>
    </w:p>
    <w:p>
      <w:pPr>
        <w:pStyle w:val="3"/>
        <w:ind w:firstLine="315" w:firstLineChars="150"/>
        <w:rPr>
          <w:lang w:val="en-US"/>
        </w:rPr>
      </w:pPr>
      <w:bookmarkStart w:id="37" w:name="计算域"/>
      <w:bookmarkEnd w:id="37"/>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8" w:name="_Toc509844741"/>
      <w:bookmarkStart w:id="39" w:name="_Toc66300294"/>
      <w:r>
        <w:rPr>
          <w:rFonts w:hint="eastAsia"/>
        </w:rPr>
        <w:t>网格划分</w:t>
      </w:r>
      <w:bookmarkEnd w:id="38"/>
      <w:bookmarkEnd w:id="39"/>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40" w:name="OLE_LINK277"/>
      <w:bookmarkStart w:id="41" w:name="OLE_LINK276"/>
      <w:r>
        <w:rPr>
          <w:rFonts w:hint="eastAsia"/>
        </w:rPr>
        <w:t>1）普通网格：指除靠近地面和建筑以外的网格，通常不需要特别加密处理</w:t>
      </w:r>
    </w:p>
    <w:p>
      <w:pPr>
        <w:pStyle w:val="12"/>
        <w:numPr>
          <w:ilvl w:val="0"/>
          <w:numId w:val="4"/>
        </w:numPr>
        <w:spacing w:before="156"/>
      </w:pPr>
      <w:bookmarkStart w:id="42" w:name="OLE_LINK15"/>
      <w:r>
        <w:rPr>
          <w:rFonts w:hint="eastAsia"/>
        </w:rPr>
        <w:t>分弧精度：对于有圆弧特征的建筑局部，把圆弧分解为线段时，弦到弧的最大距离；</w:t>
      </w:r>
    </w:p>
    <w:bookmarkEnd w:id="42"/>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40"/>
      <w:bookmarkEnd w:id="41"/>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bookmarkStart w:id="43" w:name="季节1"/>
      <w:r>
        <w:rPr>
          <w:rFonts w:hint="eastAsia" w:ascii="黑体" w:hAnsi="黑体"/>
        </w:rPr>
        <w:t>冬季</w:t>
      </w:r>
      <w:bookmarkEnd w:id="4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44" w:name="冬季网格总数"/>
            <w:r>
              <w:t>710042</w:t>
            </w:r>
            <w:bookmarkEnd w:id="44"/>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5" w:name="冬季分弧精度"/>
            <w:r>
              <w:t>0.18</w:t>
            </w:r>
            <w:bookmarkEnd w:id="4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6" w:name="冬季初始网格"/>
            <w:r>
              <w:t>8.0</w:t>
            </w:r>
            <w:bookmarkEnd w:id="4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7" w:name="冬季最小细分级数"/>
            <w:r>
              <w:t>2</w:t>
            </w:r>
            <w:bookmarkEnd w:id="4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8" w:name="冬季最大细分级数"/>
            <w:r>
              <w:t>3</w:t>
            </w:r>
            <w:bookmarkEnd w:id="4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9" w:name="冬季远场细分级数"/>
            <w:r>
              <w:t>2</w:t>
            </w:r>
            <w:bookmarkEnd w:id="4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0" w:name="冬季近场细分级数"/>
            <w:r>
              <w:t>3</w:t>
            </w:r>
            <w:bookmarkEnd w:id="5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1" w:name="冬季地面附面层数"/>
            <w:r>
              <w:t>4</w:t>
            </w:r>
            <w:bookmarkEnd w:id="5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2" w:name="冬季建筑附面层数"/>
            <w:r>
              <w:t>1</w:t>
            </w:r>
            <w:bookmarkEnd w:id="52"/>
          </w:p>
        </w:tc>
      </w:tr>
    </w:tbl>
    <w:p>
      <w:pPr>
        <w:rPr>
          <w:szCs w:val="21"/>
          <w:lang w:val="en-US"/>
        </w:rPr>
      </w:pPr>
    </w:p>
    <w:p>
      <w:pPr>
        <w:pStyle w:val="3"/>
        <w:ind w:firstLine="630" w:firstLineChars="300"/>
        <w:rPr>
          <w:rFonts w:ascii="黑体" w:hAnsi="黑体" w:eastAsia="黑体"/>
          <w:szCs w:val="20"/>
        </w:rPr>
      </w:pPr>
      <w:bookmarkStart w:id="53" w:name="网格划分信息"/>
      <w:bookmarkEnd w:id="53"/>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54" w:name="_Toc66300295"/>
      <w:bookmarkStart w:id="55" w:name="_Toc509844742"/>
      <w:r>
        <w:rPr>
          <w:rFonts w:hint="eastAsia"/>
        </w:rPr>
        <w:t>边界条件</w:t>
      </w:r>
      <w:bookmarkEnd w:id="54"/>
      <w:bookmarkEnd w:id="55"/>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56" w:name="_Toc509844743"/>
      <w:bookmarkStart w:id="57" w:name="_Toc66300296"/>
      <w:r>
        <w:rPr>
          <w:rFonts w:hint="eastAsia"/>
        </w:rPr>
        <w:t>入口与出口边界条件</w:t>
      </w:r>
      <w:bookmarkEnd w:id="56"/>
      <w:bookmarkEnd w:id="57"/>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pt;width:71.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9pt;width:1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lang w:val="en-US"/>
        </w:rPr>
        <w:t>、</w:t>
      </w:r>
      <w:r>
        <w:rPr>
          <w:lang w:val="en-US"/>
        </w:rPr>
        <w:t xml:space="preserve"> </w:t>
      </w:r>
      <w:r>
        <w:rPr>
          <w:position w:val="-10"/>
          <w:lang w:val="en-US"/>
        </w:rPr>
        <w:object>
          <v:shape id="_x0000_i1027" o:spt="75" type="#_x0000_t75" style="height:19pt;width:14.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58" w:name="地面粗糙度指数2"/>
      <w:r>
        <w:rPr>
          <w:rFonts w:hint="eastAsia"/>
          <w:lang w:val="en-US"/>
        </w:rPr>
        <w:t>0.28</w:t>
      </w:r>
      <w:bookmarkEnd w:id="58"/>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59" w:name="_Toc66300297"/>
      <w:bookmarkStart w:id="60" w:name="_Toc509844744"/>
      <w:r>
        <w:rPr>
          <w:rFonts w:hint="eastAsia"/>
        </w:rPr>
        <w:t>壁面边界条件</w:t>
      </w:r>
      <w:bookmarkEnd w:id="59"/>
      <w:bookmarkEnd w:id="60"/>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61" w:name="_Toc66300298"/>
      <w:r>
        <w:rPr>
          <w:rFonts w:hint="eastAsia"/>
        </w:rPr>
        <w:t>湍流模型</w:t>
      </w:r>
      <w:bookmarkEnd w:id="28"/>
      <w:bookmarkEnd w:id="29"/>
      <w:bookmarkEnd w:id="61"/>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62" w:name="_Toc452108767"/>
      <w:bookmarkStart w:id="63" w:name="_Toc451698939"/>
      <w:bookmarkStart w:id="64" w:name="_Toc66300299"/>
      <w:r>
        <w:rPr>
          <w:rFonts w:hint="eastAsia"/>
        </w:rPr>
        <w:t>求解计算</w:t>
      </w:r>
      <w:bookmarkEnd w:id="62"/>
      <w:bookmarkEnd w:id="63"/>
      <w:bookmarkEnd w:id="64"/>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5"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5"/>
      <w:r>
        <w:rPr>
          <w:rFonts w:hint="eastAsia" w:ascii="黑体" w:hAnsi="黑体" w:eastAsia="黑体"/>
          <w:sz w:val="20"/>
          <w:szCs w:val="20"/>
        </w:rPr>
        <w:t xml:space="preserve"> </w:t>
      </w:r>
      <w:bookmarkStart w:id="66" w:name="_Ref225175618"/>
      <w:r>
        <w:rPr>
          <w:rFonts w:hint="eastAsia" w:ascii="黑体" w:hAnsi="黑体" w:eastAsia="黑体"/>
          <w:sz w:val="20"/>
          <w:szCs w:val="20"/>
        </w:rPr>
        <w:t>计算流体力学的控制方程</w:t>
      </w:r>
      <w:bookmarkEnd w:id="66"/>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4"/>
    </w:p>
    <w:p>
      <w:pPr>
        <w:pStyle w:val="4"/>
      </w:pPr>
      <w:bookmarkStart w:id="67" w:name="_Toc66300300"/>
      <w:bookmarkStart w:id="68" w:name="_Toc509844747"/>
      <w:r>
        <w:rPr>
          <w:rFonts w:hint="eastAsia"/>
        </w:rPr>
        <w:t>风速放大系数计算</w:t>
      </w:r>
      <w:bookmarkEnd w:id="67"/>
      <w:bookmarkEnd w:id="68"/>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5pt;width:13pt;" o:ole="t" filled="f" o:preferrelative="t" stroked="f" coordsize="21600,21600">
            <v:path/>
            <v:fill on="f" focussize="0,0"/>
            <v:stroke on="f" joinstyle="miter"/>
            <v:imagedata r:id="rId61" o:title=""/>
            <o:lock v:ext="edit" aspectratio="t"/>
            <w10:wrap type="none"/>
            <w10:anchorlock/>
          </v:shape>
          <o:OLEObject Type="Embed" ProgID="Equation.3" ShapeID="_x0000_i1028" DrawAspect="Content" ObjectID="_1468075728" r:id="rId60">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3" o:title=""/>
            <o:lock v:ext="edit" aspectratio="t"/>
            <w10:wrap type="none"/>
            <w10:anchorlock/>
          </v:shape>
          <o:OLEObject Type="Embed" ProgID="Equation.3" ShapeID="_x0000_i1029" DrawAspect="Content" ObjectID="_1468075729" r:id="rId62">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5pt;width:24pt;" o:ole="t" filled="f" o:preferrelative="t" stroked="f" coordsize="21600,21600">
            <v:path/>
            <v:fill on="f" focussize="0,0"/>
            <v:stroke on="f" joinstyle="miter"/>
            <v:imagedata r:id="rId65" o:title=""/>
            <o:lock v:ext="edit" aspectratio="t"/>
            <w10:wrap type="none"/>
            <w10:anchorlock/>
          </v:shape>
          <o:OLEObject Type="Embed" ProgID="Equation.3" ShapeID="_x0000_i1030" DrawAspect="Content" ObjectID="_1468075730" r:id="rId64">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5pt;width:20.5pt;" o:ole="t" filled="f" o:preferrelative="t" stroked="f" coordsize="21600,21600">
            <v:path/>
            <v:fill on="f" focussize="0,0"/>
            <v:stroke on="f" joinstyle="miter"/>
            <v:imagedata r:id="rId67" o:title=""/>
            <o:lock v:ext="edit" aspectratio="t"/>
            <w10:wrap type="none"/>
            <w10:anchorlock/>
          </v:shape>
          <o:OLEObject Type="Embed" ProgID="Equation.3" ShapeID="_x0000_i1031" DrawAspect="Content" ObjectID="_1468075731" r:id="rId66">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0.28</w:t>
      </w:r>
      <w:bookmarkEnd w:id="69"/>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70" w:name="_Toc452108768"/>
      <w:bookmarkStart w:id="71" w:name="_Toc66300301"/>
      <w:r>
        <w:rPr>
          <w:rFonts w:hint="eastAsia"/>
        </w:rPr>
        <w:t>结果</w:t>
      </w:r>
      <w:r>
        <w:t>分析</w:t>
      </w:r>
      <w:bookmarkEnd w:id="70"/>
      <w:bookmarkEnd w:id="71"/>
    </w:p>
    <w:p>
      <w:pPr>
        <w:pStyle w:val="4"/>
        <w:rPr>
          <w:szCs w:val="21"/>
        </w:rPr>
      </w:pPr>
      <w:bookmarkStart w:id="72" w:name="_Toc66300302"/>
      <w:r>
        <w:rPr>
          <w:rFonts w:hint="eastAsia"/>
          <w:szCs w:val="21"/>
        </w:rPr>
        <w:t>工况</w:t>
      </w:r>
      <w:r>
        <w:rPr>
          <w:szCs w:val="21"/>
        </w:rPr>
        <w:t>表</w:t>
      </w:r>
      <w:bookmarkEnd w:id="72"/>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73"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4.70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WSW</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202.5</w:t>
            </w:r>
          </w:p>
        </w:tc>
      </w:tr>
      <w:bookmarkEnd w:id="73"/>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8"/>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74" w:name="_Toc509844750"/>
      <w:bookmarkStart w:id="75" w:name="_Toc66300303"/>
      <w:r>
        <w:rPr>
          <w:rFonts w:hint="eastAsia"/>
        </w:rPr>
        <w:t>冬季工况</w:t>
      </w:r>
      <w:bookmarkEnd w:id="74"/>
      <w:bookmarkEnd w:id="75"/>
    </w:p>
    <w:p>
      <w:pPr>
        <w:ind w:firstLine="420" w:firstLineChars="200"/>
        <w:jc w:val="both"/>
      </w:pPr>
      <w:r>
        <w:rPr>
          <w:rFonts w:hint="eastAsia"/>
          <w:lang w:val="en-US"/>
        </w:rPr>
        <w:t>本项目冬季工况的入口边界风速为</w:t>
      </w:r>
      <w:bookmarkStart w:id="76" w:name="冬季入口边界风速"/>
      <w:r>
        <w:rPr>
          <w:rFonts w:hint="eastAsia" w:ascii="Calibri" w:hAnsi="Calibri"/>
          <w:szCs w:val="21"/>
        </w:rPr>
        <w:t>4.70</w:t>
      </w:r>
      <w:bookmarkEnd w:id="76"/>
      <w:r>
        <w:rPr>
          <w:rFonts w:ascii="Calibri" w:hAnsi="Calibri"/>
          <w:szCs w:val="21"/>
        </w:rPr>
        <w:t>m/s</w:t>
      </w:r>
      <w:r>
        <w:rPr>
          <w:rFonts w:hint="eastAsia" w:ascii="Calibri" w:hAnsi="Calibri"/>
          <w:szCs w:val="21"/>
        </w:rPr>
        <w:t>，风向为</w:t>
      </w:r>
      <w:bookmarkStart w:id="77" w:name="冬季入口边界风向"/>
      <w:r>
        <w:rPr>
          <w:szCs w:val="21"/>
        </w:rPr>
        <w:t>WSW</w:t>
      </w:r>
      <w:bookmarkEnd w:id="77"/>
      <w:r>
        <w:rPr>
          <w:rFonts w:hint="eastAsia"/>
          <w:szCs w:val="21"/>
        </w:rPr>
        <w:t>。</w:t>
      </w:r>
    </w:p>
    <w:p>
      <w:pPr>
        <w:pStyle w:val="5"/>
      </w:pPr>
      <w:bookmarkStart w:id="78" w:name="_Toc509844751"/>
      <w:bookmarkStart w:id="79" w:name="_Toc66300304"/>
      <w:r>
        <w:rPr>
          <w:rFonts w:hint="eastAsia"/>
        </w:rPr>
        <w:t>风速达标分析</w:t>
      </w:r>
      <w:bookmarkEnd w:id="78"/>
      <w:bookmarkEnd w:id="79"/>
      <w:r>
        <w:rPr>
          <w:rFonts w:hint="eastAsia"/>
        </w:rPr>
        <w:t xml:space="preserve"> </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bookmarkStart w:id="80" w:name="冬季工况风速分析结论"/>
      <w:bookmarkEnd w:id="80"/>
      <w:r>
        <w:rPr>
          <w:lang w:val="en-US"/>
        </w:rPr>
        <w:t>建筑周围</w:t>
      </w:r>
      <w:r>
        <w:rPr>
          <w:color w:val="FF0000"/>
          <w:lang w:val="en-US"/>
        </w:rPr>
        <w:t>出现</w:t>
      </w:r>
      <w:r>
        <w:rPr>
          <w:lang w:val="en-US"/>
        </w:rPr>
        <w:t>风速超限区域，</w:t>
      </w:r>
      <w:r>
        <w:rPr>
          <w:color w:val="FF0000"/>
          <w:lang w:val="en-US"/>
        </w:rPr>
        <w:t>需</w:t>
      </w:r>
      <w:r>
        <w:rPr>
          <w:lang w:val="en-US"/>
        </w:rPr>
        <w:t>酌情调整建筑布局。</w:t>
      </w:r>
    </w:p>
    <w:p>
      <w:pPr>
        <w:pStyle w:val="3"/>
        <w:ind w:hanging="2" w:firstLineChars="0"/>
        <w:jc w:val="center"/>
        <w:rPr>
          <w:rFonts w:ascii="Calibri Light" w:hAnsi="Calibri Light" w:eastAsia="黑体"/>
          <w:sz w:val="20"/>
          <w:szCs w:val="20"/>
        </w:rPr>
      </w:pPr>
      <w:bookmarkStart w:id="81" w:name="冬季工况风速云图"/>
      <w:bookmarkEnd w:id="81"/>
      <w:r>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9"/>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82" w:name="_Toc66300305"/>
      <w:bookmarkStart w:id="83" w:name="_Toc509844752"/>
      <w:r>
        <w:rPr>
          <w:rFonts w:hint="eastAsia"/>
        </w:rPr>
        <w:t>风速放大系数达标分析</w:t>
      </w:r>
      <w:bookmarkEnd w:id="82"/>
      <w:bookmarkEnd w:id="83"/>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bookmarkStart w:id="84" w:name="冬季工况风速放大系数分析结论"/>
      <w:bookmarkEnd w:id="84"/>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pPr>
        <w:pStyle w:val="13"/>
        <w:jc w:val="center"/>
        <w:rPr>
          <w:lang w:val="en-US"/>
        </w:rPr>
      </w:pPr>
      <w:bookmarkStart w:id="85" w:name="冬季工况风速放大系数云图"/>
      <w:bookmarkEnd w:id="85"/>
      <w:r>
        <w:drawing>
          <wp:inline distT="0" distB="0" distL="0" distR="0">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0"/>
                    <a:stretch>
                      <a:fillRect/>
                    </a:stretch>
                  </pic:blipFill>
                  <pic:spPr>
                    <a:xfrm>
                      <a:off x="0" y="0"/>
                      <a:ext cx="5667375" cy="3476625"/>
                    </a:xfrm>
                    <a:prstGeom prst="rect">
                      <a:avLst/>
                    </a:prstGeom>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86" w:name="_Toc509844753"/>
      <w:bookmarkStart w:id="87" w:name="_Toc66300306"/>
      <w:r>
        <w:rPr>
          <w:rFonts w:hint="eastAsia" w:cs="宋体"/>
          <w:lang w:val="en-GB"/>
        </w:rPr>
        <w:t>人行区域</w:t>
      </w:r>
      <w:r>
        <w:rPr>
          <w:rFonts w:hint="eastAsia"/>
        </w:rPr>
        <w:t>冬季工况风速/风速放大系数达标判定</w:t>
      </w:r>
      <w:bookmarkEnd w:id="86"/>
      <w:bookmarkEnd w:id="87"/>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bookmarkStart w:id="88" w:name="冬季工况风速要求2019"/>
            <w:r>
              <w:rPr>
                <w:rFonts w:hint="eastAsia" w:ascii="宋体" w:hAnsi="宋体" w:cs="宋体"/>
                <w:szCs w:val="21"/>
              </w:rPr>
              <w:t xml:space="preserve">或 </w:t>
            </w:r>
            <w:r>
              <w:rPr>
                <w:rFonts w:ascii="宋体" w:hAnsi="宋体" w:cs="宋体"/>
                <w:szCs w:val="21"/>
              </w:rPr>
              <w:t>&lt;2m/s</w:t>
            </w:r>
            <w:bookmarkEnd w:id="88"/>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否</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是</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89" w:name="冬季工况风速放大系数是否有超限区域"/>
            <w:r>
              <w:rPr>
                <w:rFonts w:hint="eastAsia" w:ascii="宋体" w:hAnsi="宋体" w:cs="宋体"/>
                <w:color w:val="000000"/>
                <w:sz w:val="22"/>
                <w:szCs w:val="22"/>
                <w:lang w:val="en-US"/>
              </w:rPr>
              <w:t>否</w:t>
            </w:r>
            <w:bookmarkEnd w:id="89"/>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90" w:name="冬季工况风速放大系数达标判断"/>
            <w:r>
              <w:rPr>
                <w:rFonts w:hint="eastAsia" w:ascii="宋体" w:hAnsi="宋体" w:cs="宋体"/>
                <w:color w:val="000000"/>
                <w:sz w:val="22"/>
                <w:szCs w:val="22"/>
                <w:lang w:val="en-US"/>
              </w:rPr>
              <w:t>是</w:t>
            </w:r>
            <w:bookmarkEnd w:id="90"/>
          </w:p>
        </w:tc>
      </w:tr>
    </w:tbl>
    <w:p>
      <w:pPr>
        <w:pStyle w:val="5"/>
      </w:pPr>
      <w:bookmarkStart w:id="91" w:name="_Toc509844754"/>
      <w:bookmarkEnd w:id="91"/>
      <w:bookmarkStart w:id="92" w:name="_Toc509844755"/>
      <w:bookmarkEnd w:id="92"/>
      <w:bookmarkStart w:id="93" w:name="_Toc509844757"/>
      <w:bookmarkEnd w:id="93"/>
      <w:bookmarkStart w:id="94" w:name="_Toc509844756"/>
      <w:bookmarkEnd w:id="94"/>
      <w:bookmarkStart w:id="95" w:name="_Toc509844758"/>
      <w:bookmarkStart w:id="96" w:name="_Toc66300307"/>
      <w:r>
        <w:rPr>
          <w:rFonts w:hint="eastAsia"/>
        </w:rPr>
        <w:t>建筑迎风面和背风面风压分析</w:t>
      </w:r>
      <w:bookmarkEnd w:id="95"/>
      <w:bookmarkEnd w:id="96"/>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noChangeArrowheads="1"/>
                    </pic:cNvPicPr>
                  </pic:nvPicPr>
                  <pic:blipFill>
                    <a:blip r:embed="rId71">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97" w:name="冬季工况建筑迎风面风压云图"/>
      <w:bookmarkEnd w:id="97"/>
      <w:r>
        <w:drawing>
          <wp:inline distT="0" distB="0" distL="0" distR="0">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2"/>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98" w:name="冬季工况建筑背风面风压云图"/>
      <w:bookmarkEnd w:id="98"/>
      <w:r>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3"/>
                    <a:stretch>
                      <a:fillRect/>
                    </a:stretch>
                  </pic:blipFill>
                  <pic:spPr>
                    <a:xfrm>
                      <a:off x="0" y="0"/>
                      <a:ext cx="5667375" cy="36385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bookmarkStart w:id="99" w:name="建筑迎风面和背风面风压差计算结果"/>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00" w:name="建筑迎背风面风压差表_建筑名"/>
      <w:r>
        <w:rPr>
          <w:rFonts w:ascii="Cambria" w:hAnsi="Cambria" w:eastAsia="黑体"/>
          <w:sz w:val="20"/>
        </w:rPr>
        <w:t>DT单体(2.23日改后1_t7)</w:t>
      </w:r>
      <w:bookmarkEnd w:id="100"/>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1.18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-2.33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1.25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-3.00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-3.89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0.96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-2.93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1.25</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-3.05</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4.30</w:t>
            </w:r>
          </w:p>
        </w:tc>
      </w:tr>
    </w:tbl>
    <w:p>
      <w:bookmarkStart w:id="101" w:name="结论"/>
      <w:bookmarkEnd w:id="101"/>
      <w:r>
        <w:t>标准要求：迎背风面窗平均风压差（绝对值）≤5Pa。结论：该楼</w:t>
      </w:r>
      <w:r>
        <w:rPr>
          <w:b/>
          <w:color w:val="0000FF"/>
        </w:rPr>
        <w:t>达标</w:t>
      </w:r>
      <w:r>
        <w:t>。</w:t>
      </w:r>
    </w:p>
    <w:bookmarkEnd w:id="99"/>
    <w:p>
      <w:pPr>
        <w:jc w:val="center"/>
        <w:rPr>
          <w:rFonts w:ascii="Cambria" w:hAnsi="Cambria" w:eastAsia="黑体"/>
          <w:sz w:val="20"/>
        </w:rPr>
      </w:pPr>
      <w:bookmarkStart w:id="102" w:name="建筑迎背风面风压差表_新增"/>
      <w:bookmarkEnd w:id="102"/>
      <w:bookmarkStart w:id="103" w:name="建筑迎背风面风压差表"/>
    </w:p>
    <w:bookmarkEnd w:id="103"/>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bookmarkStart w:id="104" w:name="建筑迎风和背风面风压差结论汇总表"/>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DT单体(2.23日改后1_t7)</w:t>
            </w:r>
          </w:p>
        </w:tc>
        <w:tc>
          <w:tcPr>
            <w:tcW w:w="1276" w:type="dxa"/>
            <w:shd w:val="clear" w:color="auto" w:fill="auto"/>
            <w:vAlign w:val="center"/>
          </w:tcPr>
          <w:p>
            <w:pPr>
              <w:jc w:val="center"/>
              <w:rPr>
                <w:lang w:val="en-US"/>
              </w:rPr>
            </w:pPr>
            <w:r>
              <w:rPr>
                <w:lang w:val="en-US"/>
              </w:rPr>
              <w:t>1.25</w:t>
            </w:r>
          </w:p>
        </w:tc>
        <w:tc>
          <w:tcPr>
            <w:tcW w:w="1276" w:type="dxa"/>
            <w:shd w:val="clear" w:color="auto" w:fill="auto"/>
            <w:vAlign w:val="center"/>
          </w:tcPr>
          <w:p>
            <w:pPr>
              <w:jc w:val="center"/>
              <w:rPr>
                <w:lang w:val="en-US"/>
              </w:rPr>
            </w:pPr>
            <w:r>
              <w:rPr>
                <w:lang w:val="en-US"/>
              </w:rPr>
              <w:t>-3.05</w:t>
            </w:r>
          </w:p>
        </w:tc>
        <w:tc>
          <w:tcPr>
            <w:tcW w:w="1701" w:type="dxa"/>
            <w:shd w:val="clear" w:color="auto" w:fill="auto"/>
            <w:vAlign w:val="center"/>
          </w:tcPr>
          <w:p>
            <w:pPr>
              <w:jc w:val="center"/>
              <w:rPr>
                <w:lang w:val="en-US"/>
              </w:rPr>
            </w:pPr>
            <w:r>
              <w:rPr>
                <w:lang w:val="en-US"/>
              </w:rPr>
              <w:t>4.30</w:t>
            </w:r>
          </w:p>
        </w:tc>
        <w:tc>
          <w:tcPr>
            <w:tcW w:w="973" w:type="dxa"/>
            <w:shd w:val="clear" w:color="auto" w:fill="auto"/>
            <w:vAlign w:val="center"/>
          </w:tcPr>
          <w:p>
            <w:pPr>
              <w:jc w:val="center"/>
              <w:rPr>
                <w:lang w:val="en-US"/>
              </w:rPr>
            </w:pPr>
            <w:r>
              <w:rPr>
                <w:lang w:val="en-US"/>
              </w:rPr>
              <w:t>是</w:t>
            </w:r>
          </w:p>
        </w:tc>
      </w:tr>
      <w:bookmarkEnd w:id="104"/>
    </w:tbl>
    <w:p>
      <w:pPr>
        <w:rPr>
          <w:lang w:val="en-US"/>
        </w:rPr>
      </w:pPr>
      <w:bookmarkStart w:id="105" w:name="建筑迎风和背风面风压差结论汇总结论"/>
      <w:bookmarkEnd w:id="105"/>
      <w:r>
        <w:rPr>
          <w:lang w:val="en-US"/>
        </w:rPr>
        <w:t>结论：本项目中参评建筑</w:t>
      </w:r>
      <w:r>
        <w:rPr>
          <w:b/>
          <w:color w:val="0000FF"/>
          <w:lang w:val="en-US"/>
        </w:rPr>
        <w:t>满足</w:t>
      </w:r>
      <w:r>
        <w:rPr>
          <w:lang w:val="en-US"/>
        </w:rPr>
        <w:t>“除迎风第一排建筑外，建筑迎风面与背风面表面风压差不超过5Pa”的要求。</w:t>
      </w:r>
    </w:p>
    <w:p>
      <w:pPr>
        <w:rPr>
          <w:lang w:val="en-US"/>
        </w:rPr>
      </w:pPr>
      <w:bookmarkStart w:id="106" w:name="冬季工况"/>
      <w:bookmarkEnd w:id="106"/>
      <w:r>
        <w:rPr>
          <w:rFonts w:hint="eastAsia"/>
          <w:lang w:val="en-US"/>
        </w:rPr>
        <w:t xml:space="preserve"> </w:t>
      </w:r>
    </w:p>
    <w:p>
      <w:pPr>
        <w:rPr>
          <w:lang w:val="en-US"/>
        </w:rPr>
      </w:pPr>
      <w:bookmarkStart w:id="107" w:name="其他工况"/>
      <w:bookmarkEnd w:id="107"/>
      <w:r>
        <w:rPr>
          <w:rFonts w:hint="eastAsia"/>
          <w:lang w:val="en-US"/>
        </w:rPr>
        <w:t xml:space="preserve"> </w:t>
      </w:r>
    </w:p>
    <w:p>
      <w:pPr>
        <w:pStyle w:val="4"/>
      </w:pPr>
      <w:bookmarkStart w:id="108" w:name="_Toc509844764"/>
      <w:bookmarkStart w:id="109" w:name="_Toc66300308"/>
      <w:r>
        <w:rPr>
          <w:rFonts w:hint="eastAsia"/>
        </w:rPr>
        <w:t>结论</w:t>
      </w:r>
      <w:bookmarkEnd w:id="108"/>
      <w:bookmarkEnd w:id="109"/>
    </w:p>
    <w:p>
      <w:pPr>
        <w:pStyle w:val="5"/>
      </w:pPr>
      <w:bookmarkStart w:id="110" w:name="_Toc509844765"/>
      <w:bookmarkStart w:id="111" w:name="_Toc66300309"/>
      <w:r>
        <w:rPr>
          <w:rFonts w:hint="eastAsia"/>
        </w:rPr>
        <w:t>冬季工况达标判断</w:t>
      </w:r>
      <w:bookmarkEnd w:id="110"/>
      <w:bookmarkEnd w:id="111"/>
      <w:bookmarkStart w:id="112" w:name="_Toc509844766"/>
      <w:bookmarkEnd w:id="112"/>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bookmarkStart w:id="113" w:name="冬季风速结果"/>
            <w:r>
              <w:t>出现</w:t>
            </w:r>
            <w:bookmarkEnd w:id="113"/>
            <w:r>
              <w:rPr>
                <w:rFonts w:hint="eastAsia"/>
                <w:lang w:val="en-US"/>
              </w:rPr>
              <w:t>风速大于</w:t>
            </w:r>
            <w:r>
              <w:rPr>
                <w:lang w:val="en-US"/>
              </w:rPr>
              <w:t>5m/s</w:t>
            </w:r>
            <w:r>
              <w:rPr>
                <w:rFonts w:hint="eastAsia"/>
                <w:lang w:val="en-US"/>
              </w:rPr>
              <w:t>的区域，户外休息区、儿童娱乐区</w:t>
            </w:r>
            <w:bookmarkStart w:id="114" w:name="冬季风速结果2"/>
            <w:r>
              <w:t>没有出现</w:t>
            </w:r>
            <w:bookmarkEnd w:id="114"/>
            <w:r>
              <w:rPr>
                <w:rFonts w:hint="eastAsia"/>
                <w:lang w:val="en-US"/>
              </w:rPr>
              <w:t>风速大于2m/s的区域</w:t>
            </w:r>
          </w:p>
        </w:tc>
        <w:tc>
          <w:tcPr>
            <w:tcW w:w="1985" w:type="dxa"/>
            <w:vMerge w:val="restart"/>
            <w:tcBorders>
              <w:top w:val="single" w:color="auto" w:sz="4" w:space="0"/>
            </w:tcBorders>
            <w:shd w:val="clear" w:color="auto" w:fill="auto"/>
            <w:vAlign w:val="center"/>
          </w:tcPr>
          <w:p>
            <w:pPr>
              <w:jc w:val="center"/>
              <w:rPr>
                <w:rFonts w:hint="eastAsia" w:eastAsia="宋体"/>
                <w:b/>
                <w:lang w:val="en-US" w:eastAsia="zh-CN"/>
              </w:rPr>
            </w:pPr>
            <w:r>
              <w:rPr>
                <w:rFonts w:hint="eastAsia"/>
                <w:b/>
                <w:lang w:val="en-US" w:eastAsia="zh-CN"/>
              </w:rPr>
              <w:t>达标</w:t>
            </w:r>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eastAsia="zh-CN"/>
              </w:rPr>
              <w:t>3</w:t>
            </w:r>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bookmarkStart w:id="115" w:name="冬季风速放大系数结果"/>
            <w:r>
              <w:t>没有出现</w:t>
            </w:r>
            <w:bookmarkEnd w:id="115"/>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除迎风第一排建筑外，建筑迎风面与背风面表面风压差不超过5Pa，得2分</w:t>
            </w:r>
          </w:p>
        </w:tc>
        <w:tc>
          <w:tcPr>
            <w:tcW w:w="1985" w:type="dxa"/>
            <w:shd w:val="clear" w:color="auto" w:fill="auto"/>
            <w:vAlign w:val="center"/>
          </w:tcPr>
          <w:p>
            <w:pPr>
              <w:jc w:val="center"/>
              <w:rPr>
                <w:lang w:val="en-US"/>
              </w:rPr>
            </w:pPr>
            <w:r>
              <w:rPr>
                <w:rFonts w:hint="eastAsia"/>
                <w:lang w:val="en-US"/>
              </w:rPr>
              <w:t>本项目</w:t>
            </w:r>
            <w:bookmarkStart w:id="116" w:name="冬季迎背风面结果"/>
            <w:r>
              <w:t>没有出现</w:t>
            </w:r>
            <w:bookmarkEnd w:id="116"/>
            <w:r>
              <w:rPr>
                <w:rFonts w:hint="eastAsia"/>
                <w:lang w:val="en-US"/>
              </w:rPr>
              <w:t>建筑迎风面与背风面表面风压差大于5Pa的建筑</w:t>
            </w:r>
          </w:p>
        </w:tc>
        <w:tc>
          <w:tcPr>
            <w:tcW w:w="1985" w:type="dxa"/>
            <w:shd w:val="clear" w:color="auto" w:fill="auto"/>
            <w:vAlign w:val="center"/>
          </w:tcPr>
          <w:p>
            <w:pPr>
              <w:jc w:val="center"/>
              <w:rPr>
                <w:lang w:val="en-US"/>
              </w:rPr>
            </w:pPr>
            <w:bookmarkStart w:id="117" w:name="冬季迎背风面达标判定"/>
            <w:r>
              <w:rPr>
                <w:rFonts w:hint="eastAsia"/>
                <w:b/>
                <w:lang w:val="en-US"/>
              </w:rPr>
              <w:t>达标</w:t>
            </w:r>
            <w:bookmarkEnd w:id="117"/>
          </w:p>
        </w:tc>
        <w:tc>
          <w:tcPr>
            <w:tcW w:w="1416" w:type="dxa"/>
            <w:shd w:val="clear" w:color="auto" w:fill="auto"/>
            <w:vAlign w:val="center"/>
          </w:tcPr>
          <w:p>
            <w:pPr>
              <w:jc w:val="center"/>
              <w:rPr>
                <w:lang w:val="en-US"/>
              </w:rPr>
            </w:pPr>
            <w:bookmarkStart w:id="118" w:name="冬季迎背风面得分"/>
            <w:r>
              <w:rPr>
                <w:rFonts w:hint="eastAsia"/>
                <w:lang w:val="en-US"/>
              </w:rPr>
              <w:t>2</w:t>
            </w:r>
            <w:bookmarkEnd w:id="118"/>
            <w:r>
              <w:rPr>
                <w:rFonts w:hint="eastAsia"/>
                <w:lang w:val="en-US"/>
              </w:rPr>
              <w:t>分</w:t>
            </w:r>
          </w:p>
        </w:tc>
      </w:tr>
    </w:tbl>
    <w:p>
      <w:pPr>
        <w:rPr>
          <w:szCs w:val="21"/>
          <w:lang w:val="en-US"/>
        </w:rPr>
      </w:pPr>
      <w:bookmarkStart w:id="119" w:name="_Toc509844768"/>
      <w:bookmarkEnd w:id="119"/>
      <w:bookmarkStart w:id="120" w:name="_Toc509844767"/>
      <w:bookmarkEnd w:id="120"/>
    </w:p>
    <w:p>
      <w:pPr>
        <w:pStyle w:val="3"/>
        <w:ind w:firstLine="0" w:firstLineChars="0"/>
        <w:rPr>
          <w:lang w:val="en-US"/>
        </w:rPr>
      </w:pPr>
      <w:r>
        <w:rPr>
          <w:rFonts w:hint="eastAsia"/>
          <w:lang w:val="en-US"/>
        </w:rPr>
        <w:t>综合上述达标判断详表的信息，可知本项目得分为</w:t>
      </w:r>
      <w:r>
        <w:rPr>
          <w:rFonts w:hint="eastAsia"/>
          <w:lang w:val="en-US" w:eastAsia="zh-CN"/>
        </w:rPr>
        <w:t>5</w:t>
      </w:r>
      <w:bookmarkStart w:id="121" w:name="_GoBack"/>
      <w:bookmarkEnd w:id="121"/>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6</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24"/>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D6324"/>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56F8"/>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0189"/>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695"/>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 w:val="107D0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7" Type="http://schemas.openxmlformats.org/officeDocument/2006/relationships/fontTable" Target="fontTable.xml"/><Relationship Id="rId76" Type="http://schemas.openxmlformats.org/officeDocument/2006/relationships/customXml" Target="../customXml/item2.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png"/><Relationship Id="rId67" Type="http://schemas.openxmlformats.org/officeDocument/2006/relationships/image" Target="media/image53.wmf"/><Relationship Id="rId66" Type="http://schemas.openxmlformats.org/officeDocument/2006/relationships/oleObject" Target="embeddings/oleObject7.bin"/><Relationship Id="rId65" Type="http://schemas.openxmlformats.org/officeDocument/2006/relationships/image" Target="media/image52.wmf"/><Relationship Id="rId64" Type="http://schemas.openxmlformats.org/officeDocument/2006/relationships/oleObject" Target="embeddings/oleObject6.bin"/><Relationship Id="rId63" Type="http://schemas.openxmlformats.org/officeDocument/2006/relationships/image" Target="media/image51.wmf"/><Relationship Id="rId62" Type="http://schemas.openxmlformats.org/officeDocument/2006/relationships/oleObject" Target="embeddings/oleObject5.bin"/><Relationship Id="rId61" Type="http://schemas.openxmlformats.org/officeDocument/2006/relationships/image" Target="media/image50.wmf"/><Relationship Id="rId60" Type="http://schemas.openxmlformats.org/officeDocument/2006/relationships/oleObject" Target="embeddings/oleObject4.bin"/><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220\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C911B-D3E4-4C63-9444-04E571EE739F}">
  <ds:schemaRefs/>
</ds:datastoreItem>
</file>

<file path=docProps/app.xml><?xml version="1.0" encoding="utf-8"?>
<Properties xmlns="http://schemas.openxmlformats.org/officeDocument/2006/extended-properties" xmlns:vt="http://schemas.openxmlformats.org/officeDocument/2006/docPropsVTypes">
  <Template>tmp4</Template>
  <Company>ths</Company>
  <Pages>17</Pages>
  <Words>1279</Words>
  <Characters>7291</Characters>
  <Lines>60</Lines>
  <Paragraphs>17</Paragraphs>
  <TotalTime>39</TotalTime>
  <ScaleCrop>false</ScaleCrop>
  <LinksUpToDate>false</LinksUpToDate>
  <CharactersWithSpaces>8553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2021-03-10T12:24:00Z</dcterms:created>
  <dc:creator>阿佛</dc:creator>
  <cp:lastModifiedBy>25220</cp:lastModifiedBy>
  <cp:lastPrinted>2411-12-31T16:00:00Z</cp:lastPrinted>
  <dcterms:modified xsi:type="dcterms:W3CDTF">2021-03-13T02:00:00Z</dcterms:modified>
  <dc:title>室外风环境模拟分析报告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FF7E34826D1D49DCBC59E13167AF21E0</vt:lpwstr>
  </property>
</Properties>
</file>