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广东工业大学图书馆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广州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2021年02月23日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"_Toc64976925"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_Toc64976925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"_Toc64976926" </w:instrText>
      </w:r>
      <w:r>
        <w:fldChar w:fldCharType="separate"/>
      </w:r>
      <w:r>
        <w:rPr>
          <w:rStyle w:val="26"/>
          <w:lang w:val="en-GB"/>
        </w:rPr>
        <w:t>1.1</w:t>
      </w:r>
      <w:r>
        <w:rPr>
          <w:rFonts w:asciiTheme="minorHAnsi" w:hAnsiTheme="minorHAnsi" w:eastAsiaTheme="minorEastAsia" w:cstheme="minorBidi"/>
          <w:szCs w:val="22"/>
        </w:rPr>
        <w:tab/>
      </w:r>
      <w:r>
        <w:rPr>
          <w:rStyle w:val="26"/>
        </w:rPr>
        <w:t>总平面图</w:t>
      </w:r>
      <w:r>
        <w:tab/>
      </w:r>
      <w:r>
        <w:fldChar w:fldCharType="begin"/>
      </w:r>
      <w:r>
        <w:instrText xml:space="preserve"> PAGEREF _Toc64976926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"_Toc64976927"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_Toc64976927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"_Toc64976928"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_Toc64976928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"_Toc64976929"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_Toc64976929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"_Toc64976930" </w:instrText>
      </w:r>
      <w:r>
        <w:fldChar w:fldCharType="separate"/>
      </w:r>
      <w:r>
        <w:rPr>
          <w:rStyle w:val="26"/>
        </w:rPr>
        <w:t>4</w:t>
      </w:r>
      <w:r>
        <w:rPr>
          <w:rFonts w:asciiTheme="minorHAnsi" w:hAnsiTheme="minorHAnsi" w:eastAsiaTheme="minorEastAsia" w:cstheme="minorBidi"/>
          <w:b w:val="0"/>
          <w:bCs w:val="0"/>
          <w:szCs w:val="22"/>
        </w:rPr>
        <w:tab/>
      </w:r>
      <w:r>
        <w:rPr>
          <w:rStyle w:val="26"/>
        </w:rPr>
        <w:t>计算原理</w:t>
      </w:r>
      <w:r>
        <w:tab/>
      </w:r>
      <w:r>
        <w:fldChar w:fldCharType="begin"/>
      </w:r>
      <w:r>
        <w:instrText xml:space="preserve"> PAGEREF _Toc64976930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"_Toc64976931" </w:instrText>
      </w:r>
      <w:r>
        <w:fldChar w:fldCharType="separate"/>
      </w:r>
      <w:r>
        <w:rPr>
          <w:rStyle w:val="26"/>
          <w:lang w:val="en-GB"/>
        </w:rPr>
        <w:t>4.1</w:t>
      </w:r>
      <w:r>
        <w:rPr>
          <w:rFonts w:asciiTheme="minorHAnsi" w:hAnsiTheme="minorHAnsi" w:eastAsiaTheme="minorEastAsia" w:cstheme="minorBidi"/>
          <w:szCs w:val="22"/>
        </w:rPr>
        <w:tab/>
      </w:r>
      <w:r>
        <w:rPr>
          <w:rStyle w:val="26"/>
        </w:rPr>
        <w:t>风场计算域</w:t>
      </w:r>
      <w:r>
        <w:tab/>
      </w:r>
      <w:r>
        <w:fldChar w:fldCharType="begin"/>
      </w:r>
      <w:r>
        <w:instrText xml:space="preserve"> PAGEREF _Toc64976931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"_Toc64976932" </w:instrText>
      </w:r>
      <w:r>
        <w:fldChar w:fldCharType="separate"/>
      </w:r>
      <w:r>
        <w:rPr>
          <w:rStyle w:val="26"/>
          <w:lang w:val="en-GB"/>
        </w:rPr>
        <w:t>4.1.1</w:t>
      </w:r>
      <w:r>
        <w:rPr>
          <w:rFonts w:asciiTheme="minorHAnsi" w:hAnsiTheme="minorHAnsi" w:eastAsiaTheme="minorEastAsia" w:cstheme="minorBidi"/>
          <w:szCs w:val="22"/>
        </w:rPr>
        <w:tab/>
      </w:r>
      <w:r>
        <w:rPr>
          <w:rStyle w:val="26"/>
        </w:rPr>
        <w:t>冬季工况风场计算域</w:t>
      </w:r>
      <w:r>
        <w:tab/>
      </w:r>
      <w:r>
        <w:fldChar w:fldCharType="begin"/>
      </w:r>
      <w:r>
        <w:instrText xml:space="preserve"> PAGEREF _Toc64976932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"_Toc64976933" </w:instrText>
      </w:r>
      <w:r>
        <w:fldChar w:fldCharType="separate"/>
      </w:r>
      <w:r>
        <w:rPr>
          <w:rStyle w:val="26"/>
          <w:lang w:val="en-GB"/>
        </w:rPr>
        <w:t>4.1.2</w:t>
      </w:r>
      <w:r>
        <w:rPr>
          <w:rFonts w:asciiTheme="minorHAnsi" w:hAnsiTheme="minorHAnsi" w:eastAsiaTheme="minorEastAsia" w:cstheme="minorBidi"/>
          <w:szCs w:val="22"/>
        </w:rPr>
        <w:tab/>
      </w:r>
      <w:r>
        <w:rPr>
          <w:rStyle w:val="26"/>
        </w:rPr>
        <w:t>夏季工况风场计算域</w:t>
      </w:r>
      <w:r>
        <w:tab/>
      </w:r>
      <w:r>
        <w:fldChar w:fldCharType="begin"/>
      </w:r>
      <w:r>
        <w:instrText xml:space="preserve"> PAGEREF _Toc64976933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"_Toc64976934" </w:instrText>
      </w:r>
      <w:r>
        <w:fldChar w:fldCharType="separate"/>
      </w:r>
      <w:r>
        <w:rPr>
          <w:rStyle w:val="26"/>
          <w:lang w:val="en-GB"/>
        </w:rPr>
        <w:t>4.2</w:t>
      </w:r>
      <w:r>
        <w:rPr>
          <w:rFonts w:asciiTheme="minorHAnsi" w:hAnsiTheme="minorHAnsi" w:eastAsiaTheme="minorEastAsia" w:cstheme="minorBidi"/>
          <w:szCs w:val="22"/>
        </w:rPr>
        <w:tab/>
      </w:r>
      <w:r>
        <w:rPr>
          <w:rStyle w:val="26"/>
        </w:rPr>
        <w:t>网格划分</w:t>
      </w:r>
      <w:r>
        <w:tab/>
      </w:r>
      <w:r>
        <w:fldChar w:fldCharType="begin"/>
      </w:r>
      <w:r>
        <w:instrText xml:space="preserve"> PAGEREF _Toc64976934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"_Toc64976935" </w:instrText>
      </w:r>
      <w:r>
        <w:fldChar w:fldCharType="separate"/>
      </w:r>
      <w:r>
        <w:rPr>
          <w:rStyle w:val="26"/>
          <w:lang w:val="en-GB"/>
        </w:rPr>
        <w:t>4.3</w:t>
      </w:r>
      <w:r>
        <w:rPr>
          <w:rFonts w:asciiTheme="minorHAnsi" w:hAnsiTheme="minorHAnsi" w:eastAsiaTheme="minorEastAsia" w:cstheme="minorBidi"/>
          <w:szCs w:val="22"/>
        </w:rPr>
        <w:tab/>
      </w:r>
      <w:r>
        <w:rPr>
          <w:rStyle w:val="26"/>
        </w:rPr>
        <w:t>边界条件</w:t>
      </w:r>
      <w:r>
        <w:tab/>
      </w:r>
      <w:r>
        <w:fldChar w:fldCharType="begin"/>
      </w:r>
      <w:r>
        <w:instrText xml:space="preserve"> PAGEREF _Toc64976935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"_Toc64976936" </w:instrText>
      </w:r>
      <w:r>
        <w:fldChar w:fldCharType="separate"/>
      </w:r>
      <w:r>
        <w:rPr>
          <w:rStyle w:val="26"/>
          <w:lang w:val="en-GB"/>
        </w:rPr>
        <w:t>4.3.1</w:t>
      </w:r>
      <w:r>
        <w:rPr>
          <w:rFonts w:asciiTheme="minorHAnsi" w:hAnsiTheme="minorHAnsi" w:eastAsiaTheme="minorEastAsia" w:cstheme="minorBidi"/>
          <w:szCs w:val="22"/>
        </w:rPr>
        <w:tab/>
      </w:r>
      <w:r>
        <w:rPr>
          <w:rStyle w:val="26"/>
        </w:rPr>
        <w:t>入口与出口边界条件</w:t>
      </w:r>
      <w:r>
        <w:tab/>
      </w:r>
      <w:r>
        <w:fldChar w:fldCharType="begin"/>
      </w:r>
      <w:r>
        <w:instrText xml:space="preserve"> PAGEREF _Toc64976936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"_Toc64976937" </w:instrText>
      </w:r>
      <w:r>
        <w:fldChar w:fldCharType="separate"/>
      </w:r>
      <w:r>
        <w:rPr>
          <w:rStyle w:val="26"/>
          <w:lang w:val="en-GB"/>
        </w:rPr>
        <w:t>4.3.2</w:t>
      </w:r>
      <w:r>
        <w:rPr>
          <w:rFonts w:asciiTheme="minorHAnsi" w:hAnsiTheme="minorHAnsi" w:eastAsiaTheme="minorEastAsia" w:cstheme="minorBidi"/>
          <w:szCs w:val="22"/>
        </w:rPr>
        <w:tab/>
      </w:r>
      <w:r>
        <w:rPr>
          <w:rStyle w:val="26"/>
        </w:rPr>
        <w:t>壁面边界条件</w:t>
      </w:r>
      <w:r>
        <w:tab/>
      </w:r>
      <w:r>
        <w:fldChar w:fldCharType="begin"/>
      </w:r>
      <w:r>
        <w:instrText xml:space="preserve"> PAGEREF _Toc64976937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"_Toc64976938" </w:instrText>
      </w:r>
      <w:r>
        <w:fldChar w:fldCharType="separate"/>
      </w:r>
      <w:r>
        <w:rPr>
          <w:rStyle w:val="26"/>
          <w:lang w:val="en-GB"/>
        </w:rPr>
        <w:t>4.4</w:t>
      </w:r>
      <w:r>
        <w:rPr>
          <w:rFonts w:asciiTheme="minorHAnsi" w:hAnsiTheme="minorHAnsi" w:eastAsiaTheme="minorEastAsia" w:cstheme="minorBidi"/>
          <w:szCs w:val="22"/>
        </w:rPr>
        <w:tab/>
      </w:r>
      <w:r>
        <w:rPr>
          <w:rStyle w:val="26"/>
        </w:rPr>
        <w:t>湍流模型</w:t>
      </w:r>
      <w:r>
        <w:tab/>
      </w:r>
      <w:r>
        <w:fldChar w:fldCharType="begin"/>
      </w:r>
      <w:r>
        <w:instrText xml:space="preserve"> PAGEREF _Toc64976938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"_Toc64976939" </w:instrText>
      </w:r>
      <w:r>
        <w:fldChar w:fldCharType="separate"/>
      </w:r>
      <w:r>
        <w:rPr>
          <w:rStyle w:val="26"/>
          <w:lang w:val="en-GB"/>
        </w:rPr>
        <w:t>4.5</w:t>
      </w:r>
      <w:r>
        <w:rPr>
          <w:rFonts w:asciiTheme="minorHAnsi" w:hAnsiTheme="minorHAnsi" w:eastAsiaTheme="minorEastAsia" w:cstheme="minorBidi"/>
          <w:szCs w:val="22"/>
        </w:rPr>
        <w:tab/>
      </w:r>
      <w:r>
        <w:rPr>
          <w:rStyle w:val="26"/>
        </w:rPr>
        <w:t>求解计算</w:t>
      </w:r>
      <w:r>
        <w:tab/>
      </w:r>
      <w:r>
        <w:fldChar w:fldCharType="begin"/>
      </w:r>
      <w:r>
        <w:instrText xml:space="preserve"> PAGEREF _Toc64976939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"_Toc64976940" </w:instrText>
      </w:r>
      <w:r>
        <w:fldChar w:fldCharType="separate"/>
      </w:r>
      <w:r>
        <w:rPr>
          <w:rStyle w:val="26"/>
          <w:lang w:val="en-GB"/>
        </w:rPr>
        <w:t>4.6</w:t>
      </w:r>
      <w:r>
        <w:rPr>
          <w:rFonts w:asciiTheme="minorHAnsi" w:hAnsiTheme="minorHAnsi" w:eastAsiaTheme="minorEastAsia" w:cstheme="minorBidi"/>
          <w:szCs w:val="22"/>
        </w:rPr>
        <w:tab/>
      </w:r>
      <w:r>
        <w:rPr>
          <w:rStyle w:val="26"/>
        </w:rPr>
        <w:t>风速放大系数计算</w:t>
      </w:r>
      <w:r>
        <w:tab/>
      </w:r>
      <w:r>
        <w:fldChar w:fldCharType="begin"/>
      </w:r>
      <w:r>
        <w:instrText xml:space="preserve"> PAGEREF _Toc64976940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"_Toc64976941"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_Toc64976941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"_Toc64976942" </w:instrText>
      </w:r>
      <w:r>
        <w:fldChar w:fldCharType="separate"/>
      </w:r>
      <w:r>
        <w:rPr>
          <w:rStyle w:val="26"/>
          <w:lang w:val="en-GB"/>
        </w:rPr>
        <w:t>5.1</w:t>
      </w:r>
      <w:r>
        <w:rPr>
          <w:rFonts w:asciiTheme="minorHAnsi" w:hAnsiTheme="minorHAnsi" w:eastAsiaTheme="minorEastAsia" w:cstheme="minorBidi"/>
          <w:szCs w:val="22"/>
        </w:rPr>
        <w:tab/>
      </w:r>
      <w:r>
        <w:rPr>
          <w:rStyle w:val="26"/>
        </w:rPr>
        <w:t>工况表</w:t>
      </w:r>
      <w:r>
        <w:tab/>
      </w:r>
      <w:r>
        <w:fldChar w:fldCharType="begin"/>
      </w:r>
      <w:r>
        <w:instrText xml:space="preserve"> PAGEREF _Toc64976942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"_Toc64976943" </w:instrText>
      </w:r>
      <w:r>
        <w:fldChar w:fldCharType="separate"/>
      </w:r>
      <w:r>
        <w:rPr>
          <w:rStyle w:val="26"/>
          <w:lang w:val="en-GB"/>
        </w:rPr>
        <w:t>5.2</w:t>
      </w:r>
      <w:r>
        <w:rPr>
          <w:rFonts w:asciiTheme="minorHAnsi" w:hAnsiTheme="minorHAnsi" w:eastAsiaTheme="minorEastAsia" w:cstheme="minorBidi"/>
          <w:szCs w:val="22"/>
        </w:rPr>
        <w:tab/>
      </w:r>
      <w:r>
        <w:rPr>
          <w:rStyle w:val="26"/>
        </w:rPr>
        <w:t>冬季工况</w:t>
      </w:r>
      <w:r>
        <w:tab/>
      </w:r>
      <w:r>
        <w:fldChar w:fldCharType="begin"/>
      </w:r>
      <w:r>
        <w:instrText xml:space="preserve"> PAGEREF _Toc64976943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"_Toc64976944" </w:instrText>
      </w:r>
      <w:r>
        <w:fldChar w:fldCharType="separate"/>
      </w:r>
      <w:r>
        <w:rPr>
          <w:rStyle w:val="26"/>
          <w:lang w:val="en-GB"/>
        </w:rPr>
        <w:t>5.2.1</w:t>
      </w:r>
      <w:r>
        <w:rPr>
          <w:rFonts w:asciiTheme="minorHAnsi" w:hAnsiTheme="minorHAnsi" w:eastAsiaTheme="minorEastAsia" w:cstheme="minorBidi"/>
          <w:szCs w:val="22"/>
        </w:rPr>
        <w:tab/>
      </w:r>
      <w:r>
        <w:rPr>
          <w:rStyle w:val="26"/>
        </w:rPr>
        <w:t>风速达标分析</w:t>
      </w:r>
      <w:r>
        <w:tab/>
      </w:r>
      <w:r>
        <w:fldChar w:fldCharType="begin"/>
      </w:r>
      <w:r>
        <w:instrText xml:space="preserve"> PAGEREF _Toc64976944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"_Toc64976945" </w:instrText>
      </w:r>
      <w:r>
        <w:fldChar w:fldCharType="separate"/>
      </w:r>
      <w:r>
        <w:rPr>
          <w:rStyle w:val="26"/>
          <w:lang w:val="en-GB"/>
        </w:rPr>
        <w:t>5.2.2</w:t>
      </w:r>
      <w:r>
        <w:rPr>
          <w:rFonts w:asciiTheme="minorHAnsi" w:hAnsiTheme="minorHAnsi" w:eastAsiaTheme="minorEastAsia" w:cstheme="minorBidi"/>
          <w:szCs w:val="22"/>
        </w:rPr>
        <w:tab/>
      </w:r>
      <w:r>
        <w:rPr>
          <w:rStyle w:val="26"/>
        </w:rPr>
        <w:t>风速放大系数达标分析</w:t>
      </w:r>
      <w:r>
        <w:tab/>
      </w:r>
      <w:r>
        <w:fldChar w:fldCharType="begin"/>
      </w:r>
      <w:r>
        <w:instrText xml:space="preserve"> PAGEREF _Toc64976945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"_Toc64976946" </w:instrText>
      </w:r>
      <w:r>
        <w:fldChar w:fldCharType="separate"/>
      </w:r>
      <w:r>
        <w:rPr>
          <w:rStyle w:val="26"/>
          <w:lang w:val="en-GB"/>
        </w:rPr>
        <w:t>5.2.3</w:t>
      </w:r>
      <w:r>
        <w:rPr>
          <w:rFonts w:asciiTheme="minorHAnsi" w:hAnsiTheme="minorHAnsi" w:eastAsiaTheme="minorEastAsia" w:cstheme="minorBidi"/>
          <w:szCs w:val="22"/>
        </w:rPr>
        <w:tab/>
      </w:r>
      <w:r>
        <w:rPr>
          <w:rStyle w:val="26"/>
          <w:rFonts w:cs="宋体"/>
          <w:lang w:val="en-GB"/>
        </w:rPr>
        <w:t>人行区域</w:t>
      </w:r>
      <w:r>
        <w:rPr>
          <w:rStyle w:val="26"/>
        </w:rPr>
        <w:t>冬季工况风速/风速放大系数达标判定</w:t>
      </w:r>
      <w:r>
        <w:tab/>
      </w:r>
      <w:r>
        <w:fldChar w:fldCharType="begin"/>
      </w:r>
      <w:r>
        <w:instrText xml:space="preserve"> PAGEREF _Toc64976946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"_Toc64976947" </w:instrText>
      </w:r>
      <w:r>
        <w:fldChar w:fldCharType="separate"/>
      </w:r>
      <w:r>
        <w:rPr>
          <w:rStyle w:val="26"/>
          <w:lang w:val="en-GB"/>
        </w:rPr>
        <w:t>5.2.4</w:t>
      </w:r>
      <w:r>
        <w:rPr>
          <w:rFonts w:asciiTheme="minorHAnsi" w:hAnsiTheme="minorHAnsi" w:eastAsiaTheme="minorEastAsia" w:cstheme="minorBidi"/>
          <w:szCs w:val="22"/>
        </w:rPr>
        <w:tab/>
      </w:r>
      <w:r>
        <w:rPr>
          <w:rStyle w:val="26"/>
        </w:rPr>
        <w:t>建筑迎风面和背风面风压分析</w:t>
      </w:r>
      <w:r>
        <w:tab/>
      </w:r>
      <w:r>
        <w:fldChar w:fldCharType="begin"/>
      </w:r>
      <w:r>
        <w:instrText xml:space="preserve"> PAGEREF _Toc64976947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"_Toc64976948" </w:instrText>
      </w:r>
      <w:r>
        <w:fldChar w:fldCharType="separate"/>
      </w:r>
      <w:r>
        <w:rPr>
          <w:rStyle w:val="26"/>
          <w:lang w:val="en-GB"/>
        </w:rPr>
        <w:t>5.3</w:t>
      </w:r>
      <w:r>
        <w:rPr>
          <w:rFonts w:asciiTheme="minorHAnsi" w:hAnsiTheme="minorHAnsi" w:eastAsiaTheme="minorEastAsia" w:cstheme="minorBidi"/>
          <w:szCs w:val="22"/>
        </w:rPr>
        <w:tab/>
      </w:r>
      <w:r>
        <w:rPr>
          <w:rStyle w:val="26"/>
        </w:rPr>
        <w:t>夏季工况</w:t>
      </w:r>
      <w:r>
        <w:tab/>
      </w:r>
      <w:r>
        <w:fldChar w:fldCharType="begin"/>
      </w:r>
      <w:r>
        <w:instrText xml:space="preserve"> PAGEREF _Toc64976948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"_Toc64976949" </w:instrText>
      </w:r>
      <w:r>
        <w:fldChar w:fldCharType="separate"/>
      </w:r>
      <w:r>
        <w:rPr>
          <w:rStyle w:val="26"/>
          <w:lang w:val="en-GB"/>
        </w:rPr>
        <w:t>5.3.1</w:t>
      </w:r>
      <w:r>
        <w:rPr>
          <w:rFonts w:asciiTheme="minorHAnsi" w:hAnsiTheme="minorHAnsi" w:eastAsiaTheme="minorEastAsia" w:cstheme="minorBidi"/>
          <w:szCs w:val="22"/>
        </w:rPr>
        <w:tab/>
      </w:r>
      <w:r>
        <w:rPr>
          <w:rStyle w:val="26"/>
        </w:rPr>
        <w:t>无风区计算分析</w:t>
      </w:r>
      <w:r>
        <w:tab/>
      </w:r>
      <w:r>
        <w:fldChar w:fldCharType="begin"/>
      </w:r>
      <w:r>
        <w:instrText xml:space="preserve"> PAGEREF _Toc64976949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"_Toc64976950" </w:instrText>
      </w:r>
      <w:r>
        <w:fldChar w:fldCharType="separate"/>
      </w:r>
      <w:r>
        <w:rPr>
          <w:rStyle w:val="26"/>
          <w:lang w:val="en-GB"/>
        </w:rPr>
        <w:t>5.3.2</w:t>
      </w:r>
      <w:r>
        <w:rPr>
          <w:rFonts w:asciiTheme="minorHAnsi" w:hAnsiTheme="minorHAnsi" w:eastAsiaTheme="minorEastAsia" w:cstheme="minorBidi"/>
          <w:szCs w:val="22"/>
        </w:rPr>
        <w:tab/>
      </w:r>
      <w:r>
        <w:rPr>
          <w:rStyle w:val="26"/>
        </w:rPr>
        <w:t>旋涡区分析</w:t>
      </w:r>
      <w:r>
        <w:tab/>
      </w:r>
      <w:r>
        <w:fldChar w:fldCharType="begin"/>
      </w:r>
      <w:r>
        <w:instrText xml:space="preserve"> PAGEREF _Toc64976950 \h </w:instrText>
      </w:r>
      <w:r>
        <w:fldChar w:fldCharType="separate"/>
      </w:r>
      <w:r>
        <w:t>19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"_Toc64976951" </w:instrText>
      </w:r>
      <w:r>
        <w:fldChar w:fldCharType="separate"/>
      </w:r>
      <w:r>
        <w:rPr>
          <w:rStyle w:val="26"/>
          <w:lang w:val="en-GB"/>
        </w:rPr>
        <w:t>5.3.3</w:t>
      </w:r>
      <w:r>
        <w:rPr>
          <w:rFonts w:asciiTheme="minorHAnsi" w:hAnsiTheme="minorHAnsi" w:eastAsiaTheme="minorEastAsia" w:cstheme="minorBidi"/>
          <w:szCs w:val="22"/>
        </w:rPr>
        <w:tab/>
      </w:r>
      <w:r>
        <w:rPr>
          <w:rStyle w:val="26"/>
        </w:rPr>
        <w:t>人行区域旋涡区/无风区达标判定</w:t>
      </w:r>
      <w:r>
        <w:tab/>
      </w:r>
      <w:r>
        <w:fldChar w:fldCharType="begin"/>
      </w:r>
      <w:r>
        <w:instrText xml:space="preserve"> PAGEREF _Toc64976951 \h </w:instrText>
      </w:r>
      <w:r>
        <w:fldChar w:fldCharType="separate"/>
      </w:r>
      <w:r>
        <w:t>19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"_Toc64976952" </w:instrText>
      </w:r>
      <w:r>
        <w:fldChar w:fldCharType="separate"/>
      </w:r>
      <w:r>
        <w:rPr>
          <w:rStyle w:val="26"/>
          <w:lang w:val="en-GB"/>
        </w:rPr>
        <w:t>5.3.4</w:t>
      </w:r>
      <w:r>
        <w:rPr>
          <w:rFonts w:asciiTheme="minorHAnsi" w:hAnsiTheme="minorHAnsi" w:eastAsiaTheme="minorEastAsia" w:cstheme="minorBidi"/>
          <w:szCs w:val="22"/>
        </w:rPr>
        <w:tab/>
      </w:r>
      <w:r>
        <w:rPr>
          <w:rStyle w:val="26"/>
        </w:rPr>
        <w:t>外窗内外表面风压差达标分析</w:t>
      </w:r>
      <w:r>
        <w:tab/>
      </w:r>
      <w:r>
        <w:fldChar w:fldCharType="begin"/>
      </w:r>
      <w:r>
        <w:instrText xml:space="preserve"> PAGEREF _Toc64976952 \h </w:instrText>
      </w:r>
      <w:r>
        <w:fldChar w:fldCharType="separate"/>
      </w:r>
      <w:r>
        <w:t>19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"_Toc64976953" </w:instrText>
      </w:r>
      <w:r>
        <w:fldChar w:fldCharType="separate"/>
      </w:r>
      <w:r>
        <w:rPr>
          <w:rStyle w:val="26"/>
          <w:lang w:val="en-GB"/>
        </w:rPr>
        <w:t>5.4</w:t>
      </w:r>
      <w:r>
        <w:rPr>
          <w:rFonts w:asciiTheme="minorHAnsi" w:hAnsiTheme="minorHAnsi" w:eastAsiaTheme="minorEastAsia" w:cstheme="minorBidi"/>
          <w:szCs w:val="22"/>
        </w:rPr>
        <w:tab/>
      </w:r>
      <w:r>
        <w:rPr>
          <w:rStyle w:val="26"/>
        </w:rPr>
        <w:t>结论</w:t>
      </w:r>
      <w:r>
        <w:tab/>
      </w:r>
      <w:r>
        <w:fldChar w:fldCharType="begin"/>
      </w:r>
      <w:r>
        <w:instrText xml:space="preserve"> PAGEREF _Toc64976953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"_Toc64976954" </w:instrText>
      </w:r>
      <w:r>
        <w:fldChar w:fldCharType="separate"/>
      </w:r>
      <w:r>
        <w:rPr>
          <w:rStyle w:val="26"/>
          <w:lang w:val="en-GB"/>
        </w:rPr>
        <w:t>5.4.1</w:t>
      </w:r>
      <w:r>
        <w:rPr>
          <w:rFonts w:asciiTheme="minorHAnsi" w:hAnsiTheme="minorHAnsi" w:eastAsiaTheme="minorEastAsia" w:cstheme="minorBidi"/>
          <w:szCs w:val="22"/>
        </w:rPr>
        <w:tab/>
      </w:r>
      <w:r>
        <w:rPr>
          <w:rStyle w:val="26"/>
        </w:rPr>
        <w:t>冬季工况达标判断</w:t>
      </w:r>
      <w:r>
        <w:tab/>
      </w:r>
      <w:r>
        <w:fldChar w:fldCharType="begin"/>
      </w:r>
      <w:r>
        <w:instrText xml:space="preserve"> PAGEREF _Toc64976954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"_Toc64976955" </w:instrText>
      </w:r>
      <w:r>
        <w:fldChar w:fldCharType="separate"/>
      </w:r>
      <w:r>
        <w:rPr>
          <w:rStyle w:val="26"/>
          <w:lang w:val="en-GB"/>
        </w:rPr>
        <w:t>5.4.2</w:t>
      </w:r>
      <w:r>
        <w:rPr>
          <w:rFonts w:asciiTheme="minorHAnsi" w:hAnsiTheme="minorHAnsi" w:eastAsiaTheme="minorEastAsia" w:cstheme="minorBidi"/>
          <w:szCs w:val="22"/>
        </w:rPr>
        <w:tab/>
      </w:r>
      <w:r>
        <w:rPr>
          <w:rStyle w:val="26"/>
        </w:rPr>
        <w:t>过渡季、夏季工况达标判断</w:t>
      </w:r>
      <w:r>
        <w:tab/>
      </w:r>
      <w:r>
        <w:fldChar w:fldCharType="begin"/>
      </w:r>
      <w:r>
        <w:instrText xml:space="preserve"> PAGEREF _Toc64976955 \h </w:instrText>
      </w:r>
      <w:r>
        <w:fldChar w:fldCharType="separate"/>
      </w:r>
      <w:r>
        <w:t>21</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64976925"/>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64976926"/>
      <w:r>
        <w:rPr>
          <w:rFonts w:hint="eastAsia"/>
        </w:rPr>
        <w:t>总</w:t>
      </w:r>
      <w:r>
        <w:t>平面图</w:t>
      </w:r>
      <w:bookmarkEnd w:id="11"/>
      <w:bookmarkEnd w:id="12"/>
    </w:p>
    <w:p>
      <w:pPr>
        <w:pStyle w:val="3"/>
        <w:ind w:firstLine="0" w:firstLineChars="0"/>
        <w:jc w:val="center"/>
        <w:rPr>
          <w:lang w:val="en-US"/>
        </w:rPr>
      </w:pPr>
      <w:r>
        <w:rPr>
          <w:rFonts w:hint="eastAsia"/>
          <w:lang w:val="en-US"/>
        </w:rPr>
        <w:t xml:space="preserve"> </w:t>
      </w:r>
      <w:bookmarkStart w:id="13" w:name="总平面图"/>
      <w:bookmarkEnd w:id="13"/>
      <w:r>
        <w:rPr>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bookmarkStart w:id="15" w:name="_Toc64976927"/>
      <w:r>
        <w:rPr>
          <w:rFonts w:hint="eastAsia"/>
        </w:rPr>
        <w:t>三</w:t>
      </w:r>
      <w:r>
        <w:t>维视图</w:t>
      </w:r>
      <w:bookmarkEnd w:id="14"/>
      <w:bookmarkEnd w:id="15"/>
    </w:p>
    <w:p>
      <w:pPr>
        <w:pStyle w:val="3"/>
        <w:ind w:firstLine="0" w:firstLineChars="0"/>
        <w:jc w:val="center"/>
        <w:rPr>
          <w:lang w:val="en-US"/>
        </w:rPr>
      </w:pPr>
      <w:r>
        <w:rPr>
          <w:rFonts w:hint="eastAsia"/>
          <w:lang w:val="en-US"/>
        </w:rPr>
        <w:t xml:space="preserve"> </w:t>
      </w:r>
      <w:bookmarkStart w:id="16" w:name="三维视图"/>
      <w:bookmarkEnd w:id="16"/>
      <w:r>
        <w:rPr>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452108762"/>
      <w:bookmarkStart w:id="18" w:name="TitleFormat"/>
      <w:bookmarkStart w:id="19" w:name="_Toc64976928"/>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bookmarkStart w:id="21" w:name="_Toc64976929"/>
      <w:r>
        <w:rPr>
          <w:rFonts w:hint="eastAsia"/>
        </w:rPr>
        <w:t>参考</w:t>
      </w:r>
      <w:r>
        <w:t>标准</w:t>
      </w:r>
      <w:bookmarkEnd w:id="20"/>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2" w:name="_Toc452108764"/>
      <w:bookmarkStart w:id="23" w:name="_Toc451698935"/>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5" w:name="_Toc64976930"/>
      <w:r>
        <w:rPr>
          <w:rFonts w:hint="eastAsia"/>
        </w:rPr>
        <w:t>计算原理</w:t>
      </w:r>
      <w:bookmarkEnd w:id="22"/>
      <w:bookmarkEnd w:id="23"/>
      <w:bookmarkEnd w:id="25"/>
    </w:p>
    <w:p>
      <w:pPr>
        <w:pStyle w:val="4"/>
        <w:numPr>
          <w:ilvl w:val="1"/>
          <w:numId w:val="3"/>
        </w:numPr>
      </w:pPr>
      <w:bookmarkStart w:id="26" w:name="_Toc64976931"/>
      <w:bookmarkStart w:id="27" w:name="_Toc509844740"/>
      <w:bookmarkStart w:id="28" w:name="_Toc451698937"/>
      <w:bookmarkStart w:id="29" w:name="_Toc452108765"/>
      <w:r>
        <w:rPr>
          <w:rFonts w:hint="eastAsia"/>
        </w:rPr>
        <w:t>风场计算域</w:t>
      </w:r>
      <w:bookmarkEnd w:id="26"/>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0" w:name="_Toc64976932"/>
      <w:r>
        <w:rPr>
          <w:rFonts w:hint="eastAsia"/>
        </w:rPr>
        <w:t>冬季工况风场计算域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153</w:t>
            </w:r>
          </w:p>
        </w:tc>
      </w:tr>
    </w:tbl>
    <w:p>
      <w:pPr>
        <w:pStyle w:val="3"/>
        <w:ind w:firstLine="0" w:firstLineChars="0"/>
        <w:jc w:val="center"/>
        <w:rPr>
          <w:lang w:val="en-US"/>
        </w:rPr>
      </w:pPr>
      <w:r>
        <w:rPr>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1" w:name="_Toc64976933"/>
      <w:r>
        <w:rPr>
          <w:rFonts w:hint="eastAsia"/>
        </w:rPr>
        <w:t>夏季工况风场计算域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X尺寸"/>
            <w:r>
              <w:t>355</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Y尺寸"/>
            <w:r>
              <w:t>306</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Z尺寸"/>
            <w:r>
              <w:t>153</w:t>
            </w:r>
            <w:bookmarkEnd w:id="34"/>
          </w:p>
        </w:tc>
      </w:tr>
    </w:tbl>
    <w:p>
      <w:pPr>
        <w:pStyle w:val="3"/>
        <w:ind w:firstLine="0" w:firstLineChars="0"/>
        <w:jc w:val="center"/>
        <w:rPr>
          <w:lang w:val="en-US"/>
        </w:rPr>
      </w:pPr>
      <w:bookmarkStart w:id="35" w:name="冬季工况风场计算域图示"/>
      <w:bookmarkEnd w:id="35"/>
      <w:r>
        <w:rPr>
          <w:lang w:val="en-US"/>
        </w:rP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6" w:name="计算域"/>
      <w:bookmarkEnd w:id="36"/>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7" w:name="_Toc509844741"/>
      <w:bookmarkStart w:id="38" w:name="_Toc64976934"/>
      <w:r>
        <w:rPr>
          <w:rFonts w:hint="eastAsia"/>
        </w:rPr>
        <w:t>网格划分</w:t>
      </w:r>
      <w:bookmarkEnd w:id="37"/>
      <w:bookmarkEnd w:id="3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9" w:name="OLE_LINK276"/>
      <w:bookmarkStart w:id="40" w:name="OLE_LINK277"/>
      <w:r>
        <w:rPr>
          <w:rFonts w:hint="eastAsia"/>
        </w:rPr>
        <w:t>1）普通网格：指除靠近地面和建筑以外的网格，通常不需要特别加密处理</w:t>
      </w:r>
    </w:p>
    <w:p>
      <w:pPr>
        <w:pStyle w:val="12"/>
        <w:numPr>
          <w:ilvl w:val="0"/>
          <w:numId w:val="4"/>
        </w:numPr>
        <w:spacing w:before="156"/>
      </w:pPr>
      <w:bookmarkStart w:id="41" w:name="OLE_LINK15"/>
      <w:r>
        <w:rPr>
          <w:rFonts w:hint="eastAsia"/>
        </w:rPr>
        <w:t>分弧精度：对于有圆弧特征的建筑局部，把圆弧分解为线段时，弦到弧的最大距离；</w:t>
      </w:r>
    </w:p>
    <w:bookmarkEnd w:id="4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9"/>
      <w:bookmarkEnd w:id="4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2495485</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0.18</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bl>
    <w:p>
      <w:pPr>
        <w:rPr>
          <w:szCs w:val="21"/>
          <w:lang w:val="en-US"/>
        </w:rPr>
      </w:pP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2" w:name="冬季网格总数"/>
            <w:r>
              <w:t>2346849</w:t>
            </w:r>
            <w:bookmarkEnd w:id="4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3" w:name="冬季分弧精度"/>
            <w:r>
              <w:t>0.18</w:t>
            </w:r>
            <w:bookmarkEnd w:id="4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4" w:name="冬季初始网格"/>
            <w:r>
              <w:t>8.0</w:t>
            </w:r>
            <w:bookmarkEnd w:id="4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最小细分级数"/>
            <w:r>
              <w:t>2</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最大细分级数"/>
            <w:r>
              <w:t>3</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远场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近场细分级数"/>
            <w:r>
              <w:t>3</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地面附面层数"/>
            <w:r>
              <w:t>4</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建筑附面层数"/>
            <w:r>
              <w:t>1</w:t>
            </w:r>
            <w:bookmarkEnd w:id="50"/>
          </w:p>
        </w:tc>
      </w:tr>
    </w:tbl>
    <w:p>
      <w:pPr>
        <w:rPr>
          <w:szCs w:val="21"/>
          <w:lang w:val="en-US"/>
        </w:rPr>
      </w:pPr>
    </w:p>
    <w:p>
      <w:pPr>
        <w:pStyle w:val="3"/>
        <w:ind w:firstLine="630" w:firstLineChars="300"/>
        <w:rPr>
          <w:rFonts w:ascii="黑体" w:hAnsi="黑体" w:eastAsia="黑体"/>
          <w:szCs w:val="20"/>
        </w:rPr>
      </w:pPr>
      <w:bookmarkStart w:id="51" w:name="网格划分信息"/>
      <w:bookmarkEnd w:id="51"/>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2" w:name="_Toc509844742"/>
      <w:bookmarkStart w:id="53" w:name="_Toc64976935"/>
      <w:r>
        <w:rPr>
          <w:rFonts w:hint="eastAsia"/>
        </w:rPr>
        <w:t>边界条件</w:t>
      </w:r>
      <w:bookmarkEnd w:id="52"/>
      <w:bookmarkEnd w:id="5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4" w:name="_Toc64976936"/>
      <w:bookmarkStart w:id="55" w:name="_Toc509844743"/>
      <w:r>
        <w:rPr>
          <w:rFonts w:hint="eastAsia"/>
        </w:rPr>
        <w:t>入口与出口边界条件</w:t>
      </w:r>
      <w:bookmarkEnd w:id="54"/>
      <w:bookmarkEnd w:id="5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6" w:name="地面粗糙度指数2"/>
      <w:r>
        <w:rPr>
          <w:rFonts w:hint="eastAsia"/>
          <w:lang w:val="en-US"/>
        </w:rPr>
        <w:t>0.28</w:t>
      </w:r>
      <w:bookmarkEnd w:id="5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7" w:name="_Toc509844744"/>
      <w:bookmarkStart w:id="58" w:name="_Toc64976937"/>
      <w:r>
        <w:rPr>
          <w:rFonts w:hint="eastAsia"/>
        </w:rPr>
        <w:t>壁面边界条件</w:t>
      </w:r>
      <w:bookmarkEnd w:id="57"/>
      <w:bookmarkEnd w:id="5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9" w:name="_Toc64976938"/>
      <w:r>
        <w:rPr>
          <w:rFonts w:hint="eastAsia"/>
        </w:rPr>
        <w:t>湍流模型</w:t>
      </w:r>
      <w:bookmarkEnd w:id="28"/>
      <w:bookmarkEnd w:id="29"/>
      <w:bookmarkEnd w:id="5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0" w:name="_Toc451698939"/>
      <w:bookmarkStart w:id="61" w:name="_Toc452108767"/>
      <w:bookmarkStart w:id="62" w:name="_Toc64976939"/>
      <w:r>
        <w:rPr>
          <w:rFonts w:hint="eastAsia"/>
        </w:rPr>
        <w:t>求解计算</w:t>
      </w:r>
      <w:bookmarkEnd w:id="60"/>
      <w:bookmarkEnd w:id="61"/>
      <w:bookmarkEnd w:id="6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3"/>
      <w:r>
        <w:rPr>
          <w:rFonts w:hint="eastAsia" w:ascii="黑体" w:hAnsi="黑体" w:eastAsia="黑体"/>
          <w:sz w:val="20"/>
          <w:szCs w:val="20"/>
        </w:rPr>
        <w:t xml:space="preserve"> </w:t>
      </w:r>
      <w:bookmarkStart w:id="64" w:name="_Ref225175618"/>
      <w:r>
        <w:rPr>
          <w:rFonts w:hint="eastAsia" w:ascii="黑体" w:hAnsi="黑体" w:eastAsia="黑体"/>
          <w:sz w:val="20"/>
          <w:szCs w:val="20"/>
        </w:rPr>
        <w:t>计算流体力学的控制方程</w:t>
      </w:r>
      <w:bookmarkEnd w:id="6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5" w:name="_Toc509844747"/>
      <w:bookmarkStart w:id="66" w:name="_Toc64976940"/>
      <w:r>
        <w:rPr>
          <w:rFonts w:hint="eastAsia"/>
        </w:rPr>
        <w:t>风速放大系数计算</w:t>
      </w:r>
      <w:bookmarkEnd w:id="65"/>
      <w:bookmarkEnd w:id="6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8" w:name="_Toc452108768"/>
      <w:bookmarkStart w:id="69" w:name="_Toc64976941"/>
      <w:r>
        <w:rPr>
          <w:rFonts w:hint="eastAsia"/>
        </w:rPr>
        <w:t>结果</w:t>
      </w:r>
      <w:r>
        <w:t>分析</w:t>
      </w:r>
      <w:bookmarkEnd w:id="68"/>
      <w:bookmarkEnd w:id="69"/>
    </w:p>
    <w:p>
      <w:pPr>
        <w:pStyle w:val="4"/>
        <w:rPr>
          <w:szCs w:val="21"/>
        </w:rPr>
      </w:pPr>
      <w:bookmarkStart w:id="70" w:name="_Toc64976942"/>
      <w:r>
        <w:rPr>
          <w:rFonts w:hint="eastAsia"/>
          <w:szCs w:val="21"/>
        </w:rPr>
        <w:t>工况</w:t>
      </w:r>
      <w:r>
        <w:rPr>
          <w:szCs w:val="21"/>
        </w:rPr>
        <w:t>表</w:t>
      </w:r>
      <w:bookmarkEnd w:id="7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67.5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2.30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292.5</w:t>
            </w:r>
          </w:p>
        </w:tc>
      </w:tr>
      <w:bookmarkEnd w:id="7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2" w:name="_Toc64976943"/>
      <w:bookmarkStart w:id="73" w:name="_Toc509844750"/>
      <w:r>
        <w:rPr>
          <w:rFonts w:hint="eastAsia"/>
        </w:rPr>
        <w:t>冬季工况</w:t>
      </w:r>
      <w:bookmarkEnd w:id="72"/>
      <w:bookmarkEnd w:id="73"/>
    </w:p>
    <w:p>
      <w:pPr>
        <w:ind w:firstLine="420" w:firstLineChars="200"/>
        <w:jc w:val="both"/>
      </w:pPr>
      <w:r>
        <w:rPr>
          <w:rFonts w:hint="eastAsia"/>
          <w:lang w:val="en-US"/>
        </w:rPr>
        <w:t>本项目冬季工况的入口边界风速为</w:t>
      </w:r>
      <w:bookmarkStart w:id="74" w:name="冬季入口边界风速"/>
      <w:r>
        <w:rPr>
          <w:rFonts w:hint="eastAsia" w:ascii="Calibri" w:hAnsi="Calibri"/>
          <w:szCs w:val="21"/>
        </w:rPr>
        <w:t>2.70</w:t>
      </w:r>
      <w:bookmarkEnd w:id="74"/>
      <w:r>
        <w:rPr>
          <w:rFonts w:ascii="Calibri" w:hAnsi="Calibri"/>
          <w:szCs w:val="21"/>
        </w:rPr>
        <w:t>m/s</w:t>
      </w:r>
      <w:r>
        <w:rPr>
          <w:rFonts w:hint="eastAsia" w:ascii="Calibri" w:hAnsi="Calibri"/>
          <w:szCs w:val="21"/>
        </w:rPr>
        <w:t>，风向为</w:t>
      </w:r>
      <w:bookmarkStart w:id="75" w:name="冬季入口边界风向"/>
      <w:r>
        <w:rPr>
          <w:szCs w:val="21"/>
        </w:rPr>
        <w:t>NNE</w:t>
      </w:r>
      <w:bookmarkEnd w:id="75"/>
      <w:r>
        <w:rPr>
          <w:rFonts w:hint="eastAsia"/>
          <w:szCs w:val="21"/>
        </w:rPr>
        <w:t>。</w:t>
      </w:r>
    </w:p>
    <w:p>
      <w:pPr>
        <w:pStyle w:val="5"/>
      </w:pPr>
      <w:bookmarkStart w:id="76" w:name="_Toc509844751"/>
      <w:bookmarkStart w:id="77" w:name="_Toc64976944"/>
      <w:r>
        <w:rPr>
          <w:rFonts w:hint="eastAsia"/>
        </w:rPr>
        <w:t>风速达标分析</w:t>
      </w:r>
      <w:bookmarkEnd w:id="76"/>
      <w:bookmarkEnd w:id="77"/>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78" w:name="冬季工况风速分析结论"/>
      <w:bookmarkEnd w:id="78"/>
      <w:r>
        <w:rPr>
          <w:lang w:val="en-US"/>
        </w:rPr>
        <w:t>建筑周围</w:t>
      </w:r>
      <w:r>
        <w:rPr>
          <w:color w:val="FF0000"/>
          <w:lang w:val="en-US"/>
        </w:rPr>
        <w:t>出现</w:t>
      </w:r>
      <w:r>
        <w:rPr>
          <w:lang w:val="en-US"/>
        </w:rPr>
        <w:t>风速超限区域，</w:t>
      </w:r>
      <w:r>
        <w:rPr>
          <w:color w:val="FF0000"/>
          <w:lang w:val="en-US"/>
        </w:rPr>
        <w:t>需</w:t>
      </w:r>
      <w:r>
        <w:rPr>
          <w:lang w:val="en-US"/>
        </w:rPr>
        <w:t>酌情调整建筑布局。</w:t>
      </w:r>
    </w:p>
    <w:p>
      <w:pPr>
        <w:pStyle w:val="3"/>
        <w:ind w:hanging="2" w:firstLineChars="0"/>
        <w:jc w:val="center"/>
        <w:rPr>
          <w:rFonts w:ascii="Calibri Light" w:hAnsi="Calibri Light" w:eastAsia="黑体"/>
          <w:sz w:val="20"/>
          <w:szCs w:val="20"/>
        </w:rPr>
      </w:pPr>
      <w:bookmarkStart w:id="79" w:name="冬季工况风速云图"/>
      <w:bookmarkEnd w:id="79"/>
      <w:r>
        <w:rPr>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0" w:name="_Toc509844752"/>
      <w:bookmarkStart w:id="81" w:name="_Toc64976945"/>
      <w:r>
        <w:rPr>
          <w:rFonts w:hint="eastAsia"/>
        </w:rPr>
        <w:t>风速放大系数达标分析</w:t>
      </w:r>
      <w:bookmarkEnd w:id="80"/>
      <w:bookmarkEnd w:id="81"/>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2" w:name="冬季工况风速放大系数分析结论"/>
      <w:bookmarkEnd w:id="82"/>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pPr>
        <w:pStyle w:val="13"/>
        <w:jc w:val="center"/>
        <w:rPr>
          <w:lang w:val="en-US"/>
        </w:rPr>
      </w:pPr>
      <w:bookmarkStart w:id="83" w:name="冬季工况风速放大系数云图"/>
      <w:bookmarkEnd w:id="83"/>
      <w:r>
        <w:rPr>
          <w:lang w:val="en-US"/>
        </w:rPr>
        <w:drawing>
          <wp:inline distT="0" distB="0" distL="0" distR="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84" w:name="_Toc509844753"/>
      <w:bookmarkStart w:id="85" w:name="_Toc64976946"/>
      <w:r>
        <w:rPr>
          <w:rFonts w:hint="eastAsia" w:cs="宋体"/>
          <w:lang w:val="en-GB"/>
        </w:rPr>
        <w:t>人行区域</w:t>
      </w:r>
      <w:r>
        <w:rPr>
          <w:rFonts w:hint="eastAsia"/>
        </w:rPr>
        <w:t>冬季工况风速/风速放大系数达标判定</w:t>
      </w:r>
      <w:bookmarkEnd w:id="84"/>
      <w:bookmarkEnd w:id="8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86" w:name="冬季工况风速要求2019"/>
            <w:r>
              <w:rPr>
                <w:rFonts w:hint="eastAsia" w:ascii="宋体" w:hAnsi="宋体" w:cs="宋体"/>
                <w:szCs w:val="21"/>
              </w:rPr>
              <w:t xml:space="preserve">或 </w:t>
            </w:r>
            <w:r>
              <w:rPr>
                <w:rFonts w:ascii="宋体" w:hAnsi="宋体" w:cs="宋体"/>
                <w:szCs w:val="21"/>
              </w:rPr>
              <w:t>&lt;2m/s</w:t>
            </w:r>
            <w:bookmarkEnd w:id="86"/>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7" w:name="冬季工况风速是否有超限区域"/>
            <w:r>
              <w:rPr>
                <w:rFonts w:hint="eastAsia" w:ascii="宋体" w:hAnsi="宋体" w:cs="宋体"/>
                <w:color w:val="FF0000"/>
                <w:sz w:val="22"/>
                <w:szCs w:val="22"/>
                <w:lang w:val="en-US"/>
              </w:rPr>
              <w:t>是</w:t>
            </w:r>
            <w:bookmarkEnd w:id="8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8" w:name="冬季工况风速达标判断"/>
            <w:r>
              <w:rPr>
                <w:rFonts w:hint="eastAsia" w:ascii="宋体" w:hAnsi="宋体" w:cs="宋体"/>
                <w:color w:val="FF0000"/>
                <w:sz w:val="22"/>
                <w:szCs w:val="22"/>
                <w:lang w:val="en-US"/>
              </w:rPr>
              <w:t>否</w:t>
            </w:r>
            <w:bookmarkEnd w:id="88"/>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9" w:name="冬季工况风速放大系数是否有超限区域"/>
            <w:r>
              <w:rPr>
                <w:rFonts w:hint="eastAsia" w:ascii="宋体" w:hAnsi="宋体" w:cs="宋体"/>
                <w:color w:val="FF0000"/>
                <w:sz w:val="22"/>
                <w:szCs w:val="22"/>
                <w:lang w:val="en-US"/>
              </w:rPr>
              <w:t>是</w:t>
            </w:r>
            <w:bookmarkEnd w:id="8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0" w:name="冬季工况风速放大系数达标判断"/>
            <w:r>
              <w:rPr>
                <w:rFonts w:hint="eastAsia" w:ascii="宋体" w:hAnsi="宋体" w:cs="宋体"/>
                <w:color w:val="FF0000"/>
                <w:sz w:val="22"/>
                <w:szCs w:val="22"/>
                <w:lang w:val="en-US"/>
              </w:rPr>
              <w:t>否</w:t>
            </w:r>
            <w:bookmarkEnd w:id="90"/>
          </w:p>
        </w:tc>
      </w:tr>
    </w:tbl>
    <w:p>
      <w:pPr>
        <w:pStyle w:val="5"/>
      </w:pPr>
      <w:bookmarkStart w:id="91" w:name="_Toc509844756"/>
      <w:bookmarkEnd w:id="91"/>
      <w:bookmarkStart w:id="92" w:name="_Toc509844757"/>
      <w:bookmarkEnd w:id="92"/>
      <w:bookmarkStart w:id="93" w:name="_Toc509844755"/>
      <w:bookmarkEnd w:id="93"/>
      <w:bookmarkStart w:id="94" w:name="_Toc509844754"/>
      <w:bookmarkEnd w:id="94"/>
      <w:bookmarkStart w:id="95" w:name="_Toc64976947"/>
      <w:bookmarkStart w:id="96" w:name="_Toc509844758"/>
      <w:r>
        <w:rPr>
          <w:rFonts w:hint="eastAsia"/>
        </w:rPr>
        <w:t>建筑迎风面和背风面风压分析</w:t>
      </w:r>
      <w:bookmarkEnd w:id="95"/>
      <w:bookmarkEnd w:id="96"/>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noChangeArrowheads="1"/>
                    </pic:cNvPicPr>
                  </pic:nvPicPr>
                  <pic:blipFill>
                    <a:blip r:embed="rId70">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97" w:name="冬季工况建筑迎风面风压云图"/>
      <w:bookmarkEnd w:id="97"/>
      <w:r>
        <w:rPr>
          <w:lang w:val="en-US"/>
        </w:rP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98" w:name="冬季工况建筑背风面风压云图"/>
      <w:bookmarkEnd w:id="98"/>
      <w:r>
        <w:rPr>
          <w:lang w:val="en-US"/>
        </w:rP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2"/>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99"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0" w:name="建筑迎背风面风压差表_建筑名"/>
      <w:r>
        <w:rPr>
          <w:rFonts w:ascii="Cambria" w:hAnsi="Cambria" w:eastAsia="黑体"/>
          <w:sz w:val="20"/>
        </w:rPr>
        <w:t>DT单体(1F平面图)</w:t>
      </w:r>
      <w:bookmarkEnd w:id="100"/>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-0.03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-1.19</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1.16</w:t>
            </w:r>
          </w:p>
        </w:tc>
      </w:tr>
    </w:tbl>
    <w:p>
      <w:bookmarkStart w:id="101" w:name="结论"/>
      <w:bookmarkEnd w:id="101"/>
      <w:r>
        <w:t>标准要求：迎背风面窗平均风压差（绝对值）≤5Pa。结论：该楼</w:t>
      </w:r>
      <w:r>
        <w:rPr>
          <w:b/>
          <w:color w:val="0000FF"/>
        </w:rPr>
        <w:t>达标</w:t>
      </w:r>
      <w:r>
        <w:t>。</w:t>
      </w:r>
    </w:p>
    <w:bookmarkEnd w:id="99"/>
    <w:p>
      <w:pPr>
        <w:jc w:val="center"/>
        <w:rPr>
          <w:rFonts w:ascii="Cambria" w:hAnsi="Cambria" w:eastAsia="黑体"/>
          <w:sz w:val="20"/>
        </w:rPr>
      </w:pPr>
      <w:bookmarkStart w:id="102" w:name="建筑迎背风面风压差表_新增"/>
      <w:bookmarkEnd w:id="102"/>
      <w:bookmarkStart w:id="103" w:name="建筑迎背风面风压差表"/>
    </w:p>
    <w:bookmarkEnd w:id="103"/>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04"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未命名(118EAB)</w:t>
            </w:r>
          </w:p>
        </w:tc>
        <w:tc>
          <w:tcPr>
            <w:tcW w:w="1276" w:type="dxa"/>
            <w:shd w:val="clear" w:color="auto" w:fill="auto"/>
            <w:vAlign w:val="center"/>
          </w:tcPr>
          <w:p>
            <w:pPr>
              <w:jc w:val="center"/>
              <w:rPr>
                <w:lang w:val="en-US"/>
              </w:rPr>
            </w:pPr>
            <w:r>
              <w:rPr>
                <w:lang w:val="en-US"/>
              </w:rPr>
              <w:t>19.42</w:t>
            </w:r>
          </w:p>
        </w:tc>
        <w:tc>
          <w:tcPr>
            <w:tcW w:w="1276" w:type="dxa"/>
            <w:shd w:val="clear" w:color="auto" w:fill="auto"/>
            <w:vAlign w:val="center"/>
          </w:tcPr>
          <w:p>
            <w:pPr>
              <w:jc w:val="center"/>
              <w:rPr>
                <w:lang w:val="en-US"/>
              </w:rPr>
            </w:pPr>
            <w:r>
              <w:rPr>
                <w:lang w:val="en-US"/>
              </w:rPr>
              <w:t>-1.28</w:t>
            </w:r>
          </w:p>
        </w:tc>
        <w:tc>
          <w:tcPr>
            <w:tcW w:w="1701" w:type="dxa"/>
            <w:shd w:val="clear" w:color="auto" w:fill="auto"/>
            <w:vAlign w:val="center"/>
          </w:tcPr>
          <w:p>
            <w:pPr>
              <w:jc w:val="center"/>
              <w:rPr>
                <w:lang w:val="en-US"/>
              </w:rPr>
            </w:pPr>
            <w:r>
              <w:rPr>
                <w:lang w:val="en-US"/>
              </w:rPr>
              <w:t>20.70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DT单体(1F平面图)</w:t>
            </w:r>
          </w:p>
        </w:tc>
        <w:tc>
          <w:tcPr>
            <w:tcW w:w="1276" w:type="dxa"/>
            <w:shd w:val="clear" w:color="auto" w:fill="auto"/>
            <w:vAlign w:val="center"/>
          </w:tcPr>
          <w:p>
            <w:pPr>
              <w:jc w:val="center"/>
              <w:rPr>
                <w:lang w:val="en-US"/>
              </w:rPr>
            </w:pPr>
            <w:r>
              <w:rPr>
                <w:lang w:val="en-US"/>
              </w:rPr>
              <w:t>-0.03</w:t>
            </w:r>
          </w:p>
        </w:tc>
        <w:tc>
          <w:tcPr>
            <w:tcW w:w="1276" w:type="dxa"/>
            <w:shd w:val="clear" w:color="auto" w:fill="auto"/>
            <w:vAlign w:val="center"/>
          </w:tcPr>
          <w:p>
            <w:pPr>
              <w:jc w:val="center"/>
              <w:rPr>
                <w:lang w:val="en-US"/>
              </w:rPr>
            </w:pPr>
            <w:r>
              <w:rPr>
                <w:lang w:val="en-US"/>
              </w:rPr>
              <w:t>-1.19</w:t>
            </w:r>
          </w:p>
        </w:tc>
        <w:tc>
          <w:tcPr>
            <w:tcW w:w="1701" w:type="dxa"/>
            <w:shd w:val="clear" w:color="auto" w:fill="auto"/>
            <w:vAlign w:val="center"/>
          </w:tcPr>
          <w:p>
            <w:pPr>
              <w:jc w:val="center"/>
              <w:rPr>
                <w:lang w:val="en-US"/>
              </w:rPr>
            </w:pPr>
            <w:r>
              <w:rPr>
                <w:lang w:val="en-US"/>
              </w:rPr>
              <w:t>1.16</w:t>
            </w:r>
          </w:p>
        </w:tc>
        <w:tc>
          <w:tcPr>
            <w:tcW w:w="973" w:type="dxa"/>
            <w:shd w:val="clear" w:color="auto" w:fill="auto"/>
            <w:vAlign w:val="center"/>
          </w:tcPr>
          <w:p>
            <w:pPr>
              <w:jc w:val="center"/>
              <w:rPr>
                <w:lang w:val="en-US"/>
              </w:rPr>
            </w:pPr>
            <w:r>
              <w:rPr>
                <w:lang w:val="en-US"/>
              </w:rPr>
              <w:t>是</w:t>
            </w:r>
          </w:p>
        </w:tc>
      </w:tr>
      <w:bookmarkEnd w:id="104"/>
    </w:tbl>
    <w:p>
      <w:pPr>
        <w:rPr>
          <w:lang w:val="en-US"/>
        </w:rPr>
      </w:pPr>
      <w:bookmarkStart w:id="105" w:name="建筑迎风和背风面风压差结论汇总结论"/>
      <w:bookmarkEnd w:id="105"/>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06" w:name="冬季工况"/>
      <w:bookmarkEnd w:id="106"/>
      <w:r>
        <w:rPr>
          <w:rFonts w:hint="eastAsia"/>
          <w:lang w:val="en-US"/>
        </w:rPr>
        <w:t xml:space="preserve"> </w:t>
      </w:r>
    </w:p>
    <w:p>
      <w:pPr>
        <w:pStyle w:val="4"/>
      </w:pPr>
      <w:bookmarkStart w:id="107" w:name="季节1"/>
      <w:bookmarkStart w:id="108" w:name="_Toc64976948"/>
      <w:bookmarkStart w:id="109" w:name="_Toc509844759"/>
      <w:r>
        <w:rPr>
          <w:rFonts w:hint="eastAsia"/>
        </w:rPr>
        <w:t>夏季</w:t>
      </w:r>
      <w:bookmarkEnd w:id="107"/>
      <w:r>
        <w:rPr>
          <w:rFonts w:hint="eastAsia"/>
        </w:rPr>
        <w:t>工况</w:t>
      </w:r>
      <w:bookmarkEnd w:id="108"/>
      <w:bookmarkEnd w:id="109"/>
    </w:p>
    <w:p>
      <w:pPr>
        <w:pStyle w:val="3"/>
        <w:ind w:firstLine="420"/>
      </w:pPr>
      <w:r>
        <w:rPr>
          <w:rFonts w:hint="eastAsia"/>
          <w:lang w:val="en-US"/>
        </w:rPr>
        <w:t>本项目</w:t>
      </w:r>
      <w:bookmarkStart w:id="110" w:name="季节2"/>
      <w:r>
        <w:rPr>
          <w:rFonts w:hint="eastAsia"/>
          <w:lang w:val="en-US"/>
        </w:rPr>
        <w:t>夏季</w:t>
      </w:r>
      <w:bookmarkEnd w:id="110"/>
      <w:r>
        <w:rPr>
          <w:rFonts w:hint="eastAsia"/>
          <w:lang w:val="en-US"/>
        </w:rPr>
        <w:t>工况的入口边界风速为</w:t>
      </w:r>
      <w:bookmarkStart w:id="111" w:name="入口边界风速"/>
      <w:r>
        <w:rPr>
          <w:rFonts w:hint="eastAsia"/>
          <w:lang w:val="en-US"/>
        </w:rPr>
        <w:t>2.30</w:t>
      </w:r>
      <w:bookmarkEnd w:id="111"/>
      <w:r>
        <w:rPr>
          <w:rFonts w:hint="eastAsia"/>
          <w:lang w:val="en-US"/>
        </w:rPr>
        <w:t>m/s，风向为</w:t>
      </w:r>
      <w:bookmarkStart w:id="112" w:name="入口边界风向"/>
      <w:r>
        <w:t>SSE</w:t>
      </w:r>
      <w:bookmarkEnd w:id="112"/>
      <w:r>
        <w:rPr>
          <w:rFonts w:hint="eastAsia"/>
          <w:lang w:val="en-US"/>
        </w:rPr>
        <w:t>。</w:t>
      </w:r>
    </w:p>
    <w:p>
      <w:pPr>
        <w:pStyle w:val="3"/>
        <w:ind w:firstLine="420"/>
      </w:pPr>
      <w:r>
        <w:rPr>
          <w:rFonts w:hint="eastAsia"/>
          <w:lang w:val="en-US"/>
        </w:rPr>
        <w:t>根据前述《绿色建筑评价标准》 对于夏季工况的要求，</w:t>
      </w:r>
      <w:bookmarkStart w:id="113" w:name="季节3"/>
      <w:r>
        <w:rPr>
          <w:rFonts w:hint="eastAsia"/>
          <w:lang w:val="en-US"/>
        </w:rPr>
        <w:t>夏季</w:t>
      </w:r>
      <w:bookmarkEnd w:id="113"/>
      <w:r>
        <w:rPr>
          <w:rFonts w:hint="eastAsia"/>
          <w:lang w:val="en-US"/>
        </w:rPr>
        <w:t>典型风速和风向条件下，场地内人活动区不出现涡旋或无风区。通过该项标准指导设计确保合理的建筑布局，在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16" w:name="_Toc509844760"/>
      <w:bookmarkStart w:id="117" w:name="_Toc64976949"/>
      <w:r>
        <w:rPr>
          <w:rFonts w:hint="eastAsia"/>
        </w:rPr>
        <w:t>无风区计算分析</w:t>
      </w:r>
      <w:bookmarkEnd w:id="116"/>
      <w:bookmarkEnd w:id="117"/>
    </w:p>
    <w:p>
      <w:pPr>
        <w:pStyle w:val="3"/>
        <w:tabs>
          <w:tab w:val="left" w:pos="426"/>
        </w:tabs>
        <w:ind w:firstLine="420"/>
      </w:pPr>
      <w:r>
        <w:rPr>
          <w:rFonts w:hint="eastAsia"/>
        </w:rPr>
        <w:t>下图为整个计算域内风速分布云图，参考图中速度分布可以对项目中建筑布局进行优化。分析下图，</w:t>
      </w:r>
      <w:bookmarkStart w:id="118" w:name="风速分析结论"/>
      <w:bookmarkEnd w:id="118"/>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bookmarkStart w:id="119" w:name="风速云图"/>
      <w:bookmarkEnd w:id="119"/>
      <w:r>
        <w:rPr>
          <w:lang w:val="en-US"/>
        </w:rPr>
        <w:drawing>
          <wp:inline distT="0" distB="0" distL="0" distR="0">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120" w:name="季节7"/>
      <w:r>
        <w:rPr>
          <w:rFonts w:hint="eastAsia" w:ascii="黑体" w:hAnsi="黑体" w:eastAsia="黑体"/>
          <w:sz w:val="20"/>
          <w:szCs w:val="20"/>
        </w:rPr>
        <w:t>夏季</w:t>
      </w:r>
      <w:bookmarkEnd w:id="120"/>
    </w:p>
    <w:p>
      <w:pPr>
        <w:pStyle w:val="5"/>
      </w:pPr>
      <w:bookmarkStart w:id="121" w:name="_Toc509844761"/>
      <w:bookmarkStart w:id="122" w:name="_Toc64976950"/>
      <w:r>
        <w:rPr>
          <w:rFonts w:hint="eastAsia"/>
        </w:rPr>
        <w:t>旋涡区分析</w:t>
      </w:r>
      <w:bookmarkEnd w:id="121"/>
      <w:bookmarkEnd w:id="122"/>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23" w:name="风速矢量图"/>
      <w:bookmarkEnd w:id="123"/>
      <w:r>
        <w:rPr>
          <w:lang w:val="en-US"/>
        </w:rPr>
        <w:drawing>
          <wp:inline distT="0" distB="0" distL="0" distR="0">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4"/>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124" w:name="_Toc509844762"/>
      <w:bookmarkStart w:id="125" w:name="_Toc64976951"/>
      <w:r>
        <w:rPr>
          <w:rFonts w:hint="eastAsia"/>
        </w:rPr>
        <w:t>人行区域旋涡区/无风区达标判定</w:t>
      </w:r>
      <w:bookmarkEnd w:id="124"/>
      <w:bookmarkEnd w:id="12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26" w:name="季节8"/>
      <w:r>
        <w:rPr>
          <w:rFonts w:hint="eastAsia" w:ascii="黑体" w:hAnsi="黑体" w:eastAsia="黑体"/>
          <w:sz w:val="20"/>
          <w:szCs w:val="20"/>
        </w:rPr>
        <w:t>夏季</w:t>
      </w:r>
      <w:bookmarkEnd w:id="12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27" w:name="是否有无风区"/>
            <w:r>
              <w:rPr>
                <w:rFonts w:hint="eastAsia" w:ascii="宋体" w:hAnsi="宋体" w:cs="宋体"/>
                <w:color w:val="FF0000"/>
                <w:sz w:val="22"/>
                <w:szCs w:val="22"/>
                <w:lang w:val="en-US"/>
              </w:rPr>
              <w:t>是</w:t>
            </w:r>
            <w:bookmarkEnd w:id="12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28" w:name="无风区达标判断"/>
            <w:r>
              <w:rPr>
                <w:rFonts w:hint="eastAsia" w:ascii="宋体" w:hAnsi="宋体" w:cs="宋体"/>
                <w:color w:val="FF0000"/>
                <w:sz w:val="22"/>
                <w:szCs w:val="22"/>
                <w:lang w:val="en-US"/>
              </w:rPr>
              <w:t>否</w:t>
            </w:r>
            <w:bookmarkEnd w:id="12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129" w:name="_Toc504501018"/>
      <w:bookmarkStart w:id="130" w:name="_Toc64976952"/>
      <w:bookmarkStart w:id="131" w:name="_Toc509844763"/>
      <w:r>
        <w:rPr>
          <w:rFonts w:hint="eastAsia"/>
        </w:rPr>
        <w:t>外窗内外表面风压</w:t>
      </w:r>
      <w:bookmarkEnd w:id="129"/>
      <w:r>
        <w:rPr>
          <w:rFonts w:hint="eastAsia"/>
        </w:rPr>
        <w:t>差达标分析</w:t>
      </w:r>
      <w:bookmarkEnd w:id="130"/>
      <w:bookmarkEnd w:id="131"/>
    </w:p>
    <w:p>
      <w:pPr>
        <w:pStyle w:val="3"/>
        <w:ind w:firstLine="420"/>
      </w:pPr>
      <w:r>
        <w:rPr>
          <w:rFonts w:hint="eastAsia"/>
          <w:lang w:val="en-US"/>
        </w:rPr>
        <w:t>分析《绿色建筑评价标准》，</w:t>
      </w:r>
      <w:bookmarkStart w:id="132" w:name="季节9"/>
      <w:r>
        <w:rPr>
          <w:rFonts w:hint="eastAsia"/>
          <w:lang w:val="en-US"/>
        </w:rPr>
        <w:t>夏季</w:t>
      </w:r>
      <w:bookmarkEnd w:id="13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33" w:name="迎风面风压云图"/>
      <w:bookmarkEnd w:id="133"/>
      <w:r>
        <w:rPr>
          <w:lang w:val="en-US"/>
        </w:rPr>
        <w:drawing>
          <wp:inline distT="0" distB="0" distL="0" distR="0">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5"/>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34" w:name="季节10"/>
      <w:r>
        <w:rPr>
          <w:rFonts w:hint="eastAsia" w:ascii="黑体" w:hAnsi="黑体" w:eastAsia="黑体"/>
          <w:sz w:val="20"/>
          <w:szCs w:val="20"/>
        </w:rPr>
        <w:t>夏季</w:t>
      </w:r>
      <w:bookmarkEnd w:id="134"/>
    </w:p>
    <w:p>
      <w:pPr>
        <w:pStyle w:val="13"/>
        <w:jc w:val="center"/>
      </w:pPr>
      <w:bookmarkStart w:id="135" w:name="背风面风压云图"/>
      <w:bookmarkEnd w:id="135"/>
      <w:r>
        <w:rPr>
          <w:lang w:val="en-US"/>
        </w:rPr>
        <w:drawing>
          <wp:inline distT="0" distB="0" distL="0" distR="0">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6"/>
                    <a:stretch>
                      <a:fillRect/>
                    </a:stretch>
                  </pic:blipFill>
                  <pic:spPr>
                    <a:xfrm>
                      <a:off x="0" y="0"/>
                      <a:ext cx="5667375" cy="3638550"/>
                    </a:xfrm>
                    <a:prstGeom prst="rect">
                      <a:avLst/>
                    </a:prstGeom>
                  </pic:spPr>
                </pic:pic>
              </a:graphicData>
            </a:graphic>
          </wp:inline>
        </w:drawing>
      </w:r>
      <w:bookmarkStart w:id="165" w:name="_GoBack"/>
      <w:bookmarkEnd w:id="165"/>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36" w:name="季节11"/>
      <w:r>
        <w:rPr>
          <w:rFonts w:hint="eastAsia" w:ascii="黑体" w:hAnsi="黑体" w:eastAsia="黑体"/>
          <w:sz w:val="20"/>
          <w:szCs w:val="20"/>
        </w:rPr>
        <w:t>夏季</w:t>
      </w:r>
      <w:bookmarkEnd w:id="136"/>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DT单体(1F平面图)</w:t>
            </w:r>
          </w:p>
        </w:tc>
        <w:tc>
          <w:tcPr>
            <w:tcW w:w="1134" w:type="dxa"/>
            <w:shd w:val="clear" w:color="auto" w:fill="auto"/>
            <w:vAlign w:val="center"/>
          </w:tcPr>
          <w:p>
            <w:pPr>
              <w:jc w:val="center"/>
              <w:rPr>
                <w:lang w:val="en-US"/>
              </w:rPr>
            </w:pPr>
            <w:r>
              <w:rPr>
                <w:lang w:val="en-US"/>
              </w:rPr>
              <w:t>158</w:t>
            </w:r>
          </w:p>
        </w:tc>
        <w:tc>
          <w:tcPr>
            <w:tcW w:w="1984" w:type="dxa"/>
            <w:shd w:val="clear" w:color="auto" w:fill="auto"/>
            <w:vAlign w:val="center"/>
          </w:tcPr>
          <w:p>
            <w:pPr>
              <w:jc w:val="center"/>
              <w:rPr>
                <w:lang w:val="en-US"/>
              </w:rPr>
            </w:pPr>
            <w:r>
              <w:rPr>
                <w:lang w:val="en-US"/>
              </w:rPr>
              <w:t>90</w:t>
            </w:r>
          </w:p>
        </w:tc>
        <w:tc>
          <w:tcPr>
            <w:tcW w:w="1116" w:type="dxa"/>
            <w:shd w:val="clear" w:color="auto" w:fill="auto"/>
            <w:vAlign w:val="center"/>
          </w:tcPr>
          <w:p>
            <w:pPr>
              <w:jc w:val="center"/>
              <w:rPr>
                <w:lang w:val="en-US"/>
              </w:rPr>
            </w:pPr>
            <w:r>
              <w:rPr>
                <w:lang w:val="en-US"/>
              </w:rPr>
              <w:t>56.96</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37" w:name="建筑外窗室内外风压差达标判定"/>
      <w:bookmarkEnd w:id="137"/>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未命名(118EAB)</w:t>
            </w:r>
          </w:p>
        </w:tc>
        <w:tc>
          <w:tcPr>
            <w:tcW w:w="1417" w:type="dxa"/>
            <w:vAlign w:val="center"/>
          </w:tcPr>
          <w:p>
            <w:pPr>
              <w:spacing w:line="360" w:lineRule="exact"/>
              <w:jc w:val="center"/>
              <w:rPr>
                <w:lang w:val="en-US"/>
              </w:rPr>
            </w:pPr>
            <w:r>
              <w:rPr>
                <w:lang w:val="en-US"/>
              </w:rPr>
              <w:t>34891.30</w:t>
            </w:r>
          </w:p>
        </w:tc>
        <w:tc>
          <w:tcPr>
            <w:tcW w:w="2552" w:type="dxa"/>
            <w:vAlign w:val="center"/>
          </w:tcPr>
          <w:p>
            <w:pPr>
              <w:spacing w:line="360" w:lineRule="exact"/>
              <w:jc w:val="center"/>
              <w:rPr>
                <w:lang w:val="en-US"/>
              </w:rPr>
            </w:pPr>
            <w:r>
              <w:rPr>
                <w:lang w:val="en-US"/>
              </w:rPr>
              <w:t>14566.70</w:t>
            </w:r>
          </w:p>
        </w:tc>
        <w:tc>
          <w:tcPr>
            <w:tcW w:w="1134" w:type="dxa"/>
            <w:vAlign w:val="center"/>
          </w:tcPr>
          <w:p>
            <w:pPr>
              <w:spacing w:line="360" w:lineRule="exact"/>
              <w:jc w:val="center"/>
              <w:rPr>
                <w:lang w:val="en-US"/>
              </w:rPr>
            </w:pPr>
            <w:r>
              <w:rPr>
                <w:lang w:val="en-US"/>
              </w:rPr>
              <w:t>41.75</w:t>
            </w:r>
          </w:p>
        </w:tc>
        <w:tc>
          <w:tcPr>
            <w:tcW w:w="835" w:type="dxa"/>
            <w:vAlign w:val="center"/>
          </w:tcPr>
          <w:p>
            <w:pPr>
              <w:spacing w:line="360" w:lineRule="exact"/>
              <w:jc w:val="center"/>
              <w:rPr>
                <w:lang w:val="en-US"/>
              </w:rPr>
            </w:pPr>
            <w:r>
              <w:rPr>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未命名(118EAE)</w:t>
            </w:r>
          </w:p>
        </w:tc>
        <w:tc>
          <w:tcPr>
            <w:tcW w:w="1417" w:type="dxa"/>
            <w:vAlign w:val="center"/>
          </w:tcPr>
          <w:p>
            <w:pPr>
              <w:spacing w:line="360" w:lineRule="exact"/>
              <w:jc w:val="center"/>
              <w:rPr>
                <w:lang w:val="en-US"/>
              </w:rPr>
            </w:pPr>
            <w:r>
              <w:rPr>
                <w:lang w:val="en-US"/>
              </w:rPr>
              <w:t>6390.33</w:t>
            </w:r>
          </w:p>
        </w:tc>
        <w:tc>
          <w:tcPr>
            <w:tcW w:w="2552" w:type="dxa"/>
            <w:vAlign w:val="center"/>
          </w:tcPr>
          <w:p>
            <w:pPr>
              <w:spacing w:line="360" w:lineRule="exact"/>
              <w:jc w:val="center"/>
              <w:rPr>
                <w:lang w:val="en-US"/>
              </w:rPr>
            </w:pPr>
            <w:r>
              <w:rPr>
                <w:lang w:val="en-US"/>
              </w:rPr>
              <w:t>620.01</w:t>
            </w:r>
          </w:p>
        </w:tc>
        <w:tc>
          <w:tcPr>
            <w:tcW w:w="1134" w:type="dxa"/>
            <w:vAlign w:val="center"/>
          </w:tcPr>
          <w:p>
            <w:pPr>
              <w:spacing w:line="360" w:lineRule="exact"/>
              <w:jc w:val="center"/>
              <w:rPr>
                <w:lang w:val="en-US"/>
              </w:rPr>
            </w:pPr>
            <w:r>
              <w:rPr>
                <w:lang w:val="en-US"/>
              </w:rPr>
              <w:t>9.70</w:t>
            </w:r>
          </w:p>
        </w:tc>
        <w:tc>
          <w:tcPr>
            <w:tcW w:w="835" w:type="dxa"/>
            <w:vAlign w:val="center"/>
          </w:tcPr>
          <w:p>
            <w:pPr>
              <w:spacing w:line="360" w:lineRule="exact"/>
              <w:jc w:val="center"/>
              <w:rPr>
                <w:lang w:val="en-US"/>
              </w:rPr>
            </w:pPr>
            <w:r>
              <w:rPr>
                <w:lang w:val="en-US"/>
              </w:rPr>
              <w:t>否</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bookmarkStart w:id="138" w:name="建筑室内外风压差达标判定"/>
      <w:r>
        <w:rPr>
          <w:rFonts w:hint="eastAsia"/>
        </w:rPr>
        <w:t xml:space="preserve"> </w:t>
      </w:r>
      <w:bookmarkEnd w:id="138"/>
    </w:p>
    <w:p>
      <w:pPr>
        <w:rPr>
          <w:lang w:val="en-US"/>
        </w:rPr>
      </w:pPr>
      <w:bookmarkStart w:id="139" w:name="建筑室内外风压差达标判定结论"/>
      <w:r>
        <w:rPr>
          <w:rFonts w:hint="eastAsia"/>
          <w:lang w:val="en-US"/>
        </w:rPr>
        <w:t>结论：本项目中未命名(118EAB)、未命名(118EAE)建筑未满足“50%以上可开启外窗室内外表面的风压差大于0.5Pa”的要求，该条不得分。</w:t>
      </w:r>
      <w:bookmarkEnd w:id="139"/>
      <w:r>
        <w:rPr>
          <w:rFonts w:hint="eastAsia"/>
          <w:lang w:val="en-US"/>
        </w:rPr>
        <w:t xml:space="preserve"> </w:t>
      </w:r>
    </w:p>
    <w:p>
      <w:pPr>
        <w:rPr>
          <w:lang w:val="en-US"/>
        </w:rPr>
      </w:pPr>
      <w:bookmarkStart w:id="140" w:name="其他工况"/>
      <w:bookmarkEnd w:id="140"/>
      <w:r>
        <w:rPr>
          <w:rFonts w:hint="eastAsia"/>
          <w:lang w:val="en-US"/>
        </w:rPr>
        <w:t xml:space="preserve"> </w:t>
      </w:r>
    </w:p>
    <w:p>
      <w:pPr>
        <w:pStyle w:val="4"/>
      </w:pPr>
      <w:bookmarkStart w:id="141" w:name="_Toc509844764"/>
      <w:bookmarkStart w:id="142" w:name="_Toc64976953"/>
      <w:r>
        <w:rPr>
          <w:rFonts w:hint="eastAsia"/>
        </w:rPr>
        <w:t>结论</w:t>
      </w:r>
      <w:bookmarkEnd w:id="141"/>
      <w:bookmarkEnd w:id="142"/>
    </w:p>
    <w:p>
      <w:pPr>
        <w:pStyle w:val="5"/>
      </w:pPr>
      <w:bookmarkStart w:id="143" w:name="_Toc64976954"/>
      <w:bookmarkStart w:id="144" w:name="_Toc509844765"/>
      <w:r>
        <w:rPr>
          <w:rFonts w:hint="eastAsia"/>
        </w:rPr>
        <w:t>冬季工况达标判断</w:t>
      </w:r>
      <w:bookmarkEnd w:id="143"/>
      <w:bookmarkEnd w:id="144"/>
      <w:bookmarkStart w:id="145" w:name="_Toc509844766"/>
      <w:bookmarkEnd w:id="14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46" w:name="冬季风速结果"/>
            <w:r>
              <w:t>出现</w:t>
            </w:r>
            <w:bookmarkEnd w:id="146"/>
            <w:r>
              <w:rPr>
                <w:rFonts w:hint="eastAsia"/>
                <w:lang w:val="en-US"/>
              </w:rPr>
              <w:t>风速大于</w:t>
            </w:r>
            <w:r>
              <w:rPr>
                <w:lang w:val="en-US"/>
              </w:rPr>
              <w:t>5m/s</w:t>
            </w:r>
            <w:r>
              <w:rPr>
                <w:rFonts w:hint="eastAsia"/>
                <w:lang w:val="en-US"/>
              </w:rPr>
              <w:t>的区域，户外休息区、儿童娱乐区</w:t>
            </w:r>
            <w:bookmarkStart w:id="147" w:name="冬季风速结果2"/>
            <w:r>
              <w:t>没有出现</w:t>
            </w:r>
            <w:bookmarkEnd w:id="147"/>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48" w:name="冬季风速达标判定"/>
            <w:r>
              <w:rPr>
                <w:rFonts w:hint="eastAsia"/>
                <w:b/>
                <w:color w:val="FF0000"/>
                <w:lang w:val="en-US"/>
              </w:rPr>
              <w:t>不达标</w:t>
            </w:r>
            <w:bookmarkEnd w:id="148"/>
          </w:p>
        </w:tc>
        <w:tc>
          <w:tcPr>
            <w:tcW w:w="1416" w:type="dxa"/>
            <w:vMerge w:val="restart"/>
            <w:tcBorders>
              <w:top w:val="single" w:color="auto" w:sz="4" w:space="0"/>
            </w:tcBorders>
            <w:shd w:val="clear" w:color="auto" w:fill="auto"/>
            <w:vAlign w:val="center"/>
          </w:tcPr>
          <w:p>
            <w:pPr>
              <w:jc w:val="center"/>
              <w:rPr>
                <w:lang w:val="en-US"/>
              </w:rPr>
            </w:pPr>
            <w:bookmarkStart w:id="149" w:name="冬季风速得分"/>
            <w:r>
              <w:rPr>
                <w:rFonts w:hint="eastAsia"/>
                <w:lang w:val="en-US"/>
              </w:rPr>
              <w:t>0</w:t>
            </w:r>
            <w:bookmarkEnd w:id="14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50" w:name="冬季风速放大系数结果"/>
            <w:r>
              <w:t>出现</w:t>
            </w:r>
            <w:bookmarkEnd w:id="150"/>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51" w:name="冬季迎背风面结果"/>
            <w:r>
              <w:t>没有出现</w:t>
            </w:r>
            <w:bookmarkEnd w:id="151"/>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52" w:name="冬季迎背风面达标判定"/>
            <w:r>
              <w:rPr>
                <w:rFonts w:hint="eastAsia"/>
                <w:b/>
                <w:lang w:val="en-US"/>
              </w:rPr>
              <w:t>达标</w:t>
            </w:r>
            <w:bookmarkEnd w:id="152"/>
          </w:p>
        </w:tc>
        <w:tc>
          <w:tcPr>
            <w:tcW w:w="1416" w:type="dxa"/>
            <w:shd w:val="clear" w:color="auto" w:fill="auto"/>
            <w:vAlign w:val="center"/>
          </w:tcPr>
          <w:p>
            <w:pPr>
              <w:jc w:val="center"/>
              <w:rPr>
                <w:lang w:val="en-US"/>
              </w:rPr>
            </w:pPr>
            <w:bookmarkStart w:id="153" w:name="冬季迎背风面得分"/>
            <w:r>
              <w:rPr>
                <w:rFonts w:hint="eastAsia"/>
                <w:lang w:val="en-US"/>
              </w:rPr>
              <w:t>2</w:t>
            </w:r>
            <w:bookmarkEnd w:id="153"/>
            <w:r>
              <w:rPr>
                <w:rFonts w:hint="eastAsia"/>
                <w:lang w:val="en-US"/>
              </w:rPr>
              <w:t>分</w:t>
            </w:r>
          </w:p>
        </w:tc>
      </w:tr>
    </w:tbl>
    <w:p>
      <w:pPr>
        <w:rPr>
          <w:szCs w:val="21"/>
          <w:lang w:val="en-US"/>
        </w:rPr>
      </w:pPr>
    </w:p>
    <w:p>
      <w:pPr>
        <w:pStyle w:val="5"/>
      </w:pPr>
      <w:bookmarkStart w:id="154" w:name="_Toc509844767"/>
      <w:bookmarkEnd w:id="154"/>
      <w:bookmarkStart w:id="155" w:name="_Toc509844768"/>
      <w:bookmarkEnd w:id="155"/>
      <w:bookmarkStart w:id="156" w:name="_Toc509844769"/>
      <w:bookmarkStart w:id="157" w:name="_Toc64976955"/>
      <w:r>
        <w:rPr>
          <w:rFonts w:hint="eastAsia"/>
        </w:rPr>
        <w:t>过渡季、夏季工况达标判断</w:t>
      </w:r>
      <w:bookmarkEnd w:id="156"/>
      <w:bookmarkEnd w:id="15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58" w:name="夏季无风区结果"/>
            <w:r>
              <w:rPr>
                <w:rFonts w:hint="eastAsia"/>
                <w:lang w:val="en-US"/>
              </w:rPr>
              <w:t>有</w:t>
            </w:r>
            <w:bookmarkEnd w:id="158"/>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59" w:name="夏季无风区达标判定"/>
            <w:r>
              <w:rPr>
                <w:rFonts w:hint="eastAsia"/>
                <w:b/>
                <w:color w:val="FF0000"/>
                <w:lang w:val="en-US"/>
              </w:rPr>
              <w:t>不达标</w:t>
            </w:r>
            <w:bookmarkEnd w:id="159"/>
          </w:p>
        </w:tc>
        <w:tc>
          <w:tcPr>
            <w:tcW w:w="1416" w:type="dxa"/>
            <w:vMerge w:val="restart"/>
            <w:tcBorders>
              <w:top w:val="single" w:color="auto" w:sz="4" w:space="0"/>
            </w:tcBorders>
            <w:shd w:val="clear" w:color="auto" w:fill="auto"/>
            <w:vAlign w:val="center"/>
          </w:tcPr>
          <w:p>
            <w:pPr>
              <w:jc w:val="center"/>
              <w:rPr>
                <w:lang w:val="en-US"/>
              </w:rPr>
            </w:pPr>
            <w:bookmarkStart w:id="160" w:name="夏季无风区得分"/>
            <w:r>
              <w:rPr>
                <w:rFonts w:hint="eastAsia"/>
                <w:lang w:val="en-US"/>
              </w:rPr>
              <w:t>0</w:t>
            </w:r>
            <w:bookmarkEnd w:id="16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61" w:name="夏季窗内外风压差结果"/>
            <w:r>
              <w:rPr>
                <w:rFonts w:hint="eastAsia"/>
                <w:lang w:val="en-US"/>
              </w:rPr>
              <w:t>不满足</w:t>
            </w:r>
            <w:bookmarkEnd w:id="161"/>
            <w:r>
              <w:rPr>
                <w:rFonts w:hint="eastAsia"/>
                <w:lang w:val="en-US"/>
              </w:rPr>
              <w:t>标准要求</w:t>
            </w:r>
          </w:p>
        </w:tc>
        <w:tc>
          <w:tcPr>
            <w:tcW w:w="1985" w:type="dxa"/>
            <w:shd w:val="clear" w:color="auto" w:fill="auto"/>
            <w:vAlign w:val="center"/>
          </w:tcPr>
          <w:p>
            <w:pPr>
              <w:jc w:val="center"/>
              <w:rPr>
                <w:b/>
                <w:lang w:val="en-US"/>
              </w:rPr>
            </w:pPr>
            <w:bookmarkStart w:id="162" w:name="夏季窗内外风压差达标判定"/>
            <w:r>
              <w:rPr>
                <w:rFonts w:hint="eastAsia"/>
                <w:b/>
                <w:color w:val="FF0000"/>
                <w:lang w:val="en-US"/>
              </w:rPr>
              <w:t>不达标</w:t>
            </w:r>
            <w:bookmarkEnd w:id="162"/>
          </w:p>
        </w:tc>
        <w:tc>
          <w:tcPr>
            <w:tcW w:w="1416" w:type="dxa"/>
            <w:shd w:val="clear" w:color="auto" w:fill="auto"/>
            <w:vAlign w:val="center"/>
          </w:tcPr>
          <w:p>
            <w:pPr>
              <w:jc w:val="center"/>
              <w:rPr>
                <w:lang w:val="en-US"/>
              </w:rPr>
            </w:pPr>
            <w:bookmarkStart w:id="163" w:name="夏季窗内外风压差得分"/>
            <w:r>
              <w:rPr>
                <w:rFonts w:hint="eastAsia"/>
                <w:lang w:val="en-US"/>
              </w:rPr>
              <w:t>0</w:t>
            </w:r>
            <w:bookmarkEnd w:id="163"/>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64" w:name="总得分"/>
      <w:r>
        <w:rPr>
          <w:rFonts w:hint="eastAsia"/>
          <w:lang w:val="en-US"/>
        </w:rPr>
        <w:t>2</w:t>
      </w:r>
      <w:bookmarkEnd w:id="16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A7"/>
    <w:rsid w:val="00005045"/>
    <w:rsid w:val="0000578F"/>
    <w:rsid w:val="0002001E"/>
    <w:rsid w:val="000219DF"/>
    <w:rsid w:val="00037A4C"/>
    <w:rsid w:val="000678A8"/>
    <w:rsid w:val="00067FD6"/>
    <w:rsid w:val="00070047"/>
    <w:rsid w:val="00073958"/>
    <w:rsid w:val="00081A16"/>
    <w:rsid w:val="000A23A8"/>
    <w:rsid w:val="000B26C7"/>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4AA7"/>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14E5"/>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850BF"/>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35E6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0" Type="http://schemas.openxmlformats.org/officeDocument/2006/relationships/fontTable" Target="fontTable.xml"/><Relationship Id="rId8" Type="http://schemas.openxmlformats.org/officeDocument/2006/relationships/image" Target="media/image3.png"/><Relationship Id="rId79" Type="http://schemas.openxmlformats.org/officeDocument/2006/relationships/customXml" Target="../customXml/item2.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image" Target="media/image64.png"/><Relationship Id="rId75" Type="http://schemas.openxmlformats.org/officeDocument/2006/relationships/image" Target="media/image63.png"/><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png"/><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E35DA-829C-4686-9217-D6F6321531F8}">
  <ds:schemaRefs/>
</ds:datastoreItem>
</file>

<file path=docProps/app.xml><?xml version="1.0" encoding="utf-8"?>
<Properties xmlns="http://schemas.openxmlformats.org/officeDocument/2006/extended-properties" xmlns:vt="http://schemas.openxmlformats.org/officeDocument/2006/docPropsVTypes">
  <Template>tmp2</Template>
  <Company>ths</Company>
  <Pages>22</Pages>
  <Words>1745</Words>
  <Characters>9950</Characters>
  <Lines>82</Lines>
  <Paragraphs>23</Paragraphs>
  <TotalTime>47</TotalTime>
  <ScaleCrop>false</ScaleCrop>
  <LinksUpToDate>false</LinksUpToDate>
  <CharactersWithSpaces>11672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2021-02-23T04:48:00Z</dcterms:created>
  <dc:creator>AS</dc:creator>
  <cp:lastModifiedBy>lenovo</cp:lastModifiedBy>
  <cp:lastPrinted>1900-12-31T16:00:00Z</cp:lastPrinted>
  <dcterms:modified xsi:type="dcterms:W3CDTF">2021-02-23T05:37:52Z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