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53FD3">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六安</w:t>
            </w:r>
            <w:bookmarkEnd w:id="1"/>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5b417d9b774650"/>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53FD3">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353FD3">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T17856530805</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B36FB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B36FB1">
          <w:rPr>
            <w:webHidden/>
          </w:rPr>
          <w:t>3</w:t>
        </w:r>
        <w:r w:rsidR="00B36FB1">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7" w:history="1">
        <w:r w:rsidRPr="006C423F">
          <w:rPr>
            <w:rStyle w:val="a6"/>
          </w:rPr>
          <w:t>2</w:t>
        </w:r>
        <w:r>
          <w:rPr>
            <w:rFonts w:asciiTheme="minorHAnsi" w:eastAsiaTheme="minorEastAsia" w:hAnsiTheme="minorHAnsi" w:cstheme="minorBidi"/>
            <w:b w:val="0"/>
            <w:bCs w:val="0"/>
            <w:szCs w:val="22"/>
          </w:rPr>
          <w:tab/>
        </w:r>
        <w:r w:rsidRPr="006C423F">
          <w:rPr>
            <w:rStyle w:val="a6"/>
            <w:rFonts w:hint="eastAsia"/>
          </w:rPr>
          <w:t>设计依据</w:t>
        </w:r>
        <w:r>
          <w:rPr>
            <w:webHidden/>
          </w:rPr>
          <w:tab/>
        </w:r>
        <w:r>
          <w:rPr>
            <w:webHidden/>
          </w:rPr>
          <w:fldChar w:fldCharType="begin"/>
        </w:r>
        <w:r>
          <w:rPr>
            <w:webHidden/>
          </w:rPr>
          <w:instrText xml:space="preserve"> PAGEREF _Toc16494767 \h </w:instrText>
        </w:r>
        <w:r>
          <w:rPr>
            <w:webHidden/>
          </w:rPr>
        </w:r>
        <w:r>
          <w:rPr>
            <w:webHidden/>
          </w:rPr>
          <w:fldChar w:fldCharType="separate"/>
        </w:r>
        <w:r>
          <w:rPr>
            <w:webHidden/>
          </w:rPr>
          <w:t>3</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8" w:history="1">
        <w:r w:rsidRPr="006C423F">
          <w:rPr>
            <w:rStyle w:val="a6"/>
          </w:rPr>
          <w:t>3</w:t>
        </w:r>
        <w:r>
          <w:rPr>
            <w:rFonts w:asciiTheme="minorHAnsi" w:eastAsiaTheme="minorEastAsia" w:hAnsiTheme="minorHAnsi" w:cstheme="minorBidi"/>
            <w:b w:val="0"/>
            <w:bCs w:val="0"/>
            <w:szCs w:val="22"/>
          </w:rPr>
          <w:tab/>
        </w:r>
        <w:r w:rsidRPr="006C423F">
          <w:rPr>
            <w:rStyle w:val="a6"/>
            <w:rFonts w:hint="eastAsia"/>
          </w:rPr>
          <w:t>计算规定</w:t>
        </w:r>
        <w:r>
          <w:rPr>
            <w:webHidden/>
          </w:rPr>
          <w:tab/>
        </w:r>
        <w:r>
          <w:rPr>
            <w:webHidden/>
          </w:rPr>
          <w:fldChar w:fldCharType="begin"/>
        </w:r>
        <w:r>
          <w:rPr>
            <w:webHidden/>
          </w:rPr>
          <w:instrText xml:space="preserve"> PAGEREF _Toc16494768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69" w:history="1">
        <w:r w:rsidRPr="006C423F">
          <w:rPr>
            <w:rStyle w:val="a6"/>
            <w:lang w:val="en-GB"/>
          </w:rPr>
          <w:t>3.1</w:t>
        </w:r>
        <w:r>
          <w:rPr>
            <w:rFonts w:asciiTheme="minorHAnsi" w:eastAsiaTheme="minorEastAsia" w:hAnsiTheme="minorHAnsi" w:cstheme="minorBidi"/>
            <w:szCs w:val="22"/>
          </w:rPr>
          <w:tab/>
        </w:r>
        <w:r w:rsidRPr="006C423F">
          <w:rPr>
            <w:rStyle w:val="a6"/>
            <w:rFonts w:hint="eastAsia"/>
          </w:rPr>
          <w:t>强制条文</w:t>
        </w:r>
        <w:r>
          <w:rPr>
            <w:webHidden/>
          </w:rPr>
          <w:tab/>
        </w:r>
        <w:r>
          <w:rPr>
            <w:webHidden/>
          </w:rPr>
          <w:fldChar w:fldCharType="begin"/>
        </w:r>
        <w:r>
          <w:rPr>
            <w:webHidden/>
          </w:rPr>
          <w:instrText xml:space="preserve"> PAGEREF _Toc16494769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0" w:history="1">
        <w:r w:rsidRPr="006C423F">
          <w:rPr>
            <w:rStyle w:val="a6"/>
            <w:lang w:val="en-GB"/>
          </w:rPr>
          <w:t>3.2</w:t>
        </w:r>
        <w:r>
          <w:rPr>
            <w:rFonts w:asciiTheme="minorHAnsi" w:eastAsiaTheme="minorEastAsia" w:hAnsiTheme="minorHAnsi" w:cstheme="minorBidi"/>
            <w:szCs w:val="22"/>
          </w:rPr>
          <w:tab/>
        </w:r>
        <w:r w:rsidRPr="006C423F">
          <w:rPr>
            <w:rStyle w:val="a6"/>
            <w:rFonts w:hint="eastAsia"/>
          </w:rPr>
          <w:t>规定性设计</w:t>
        </w:r>
        <w:r>
          <w:rPr>
            <w:webHidden/>
          </w:rPr>
          <w:tab/>
        </w:r>
        <w:r>
          <w:rPr>
            <w:webHidden/>
          </w:rPr>
          <w:fldChar w:fldCharType="begin"/>
        </w:r>
        <w:r>
          <w:rPr>
            <w:webHidden/>
          </w:rPr>
          <w:instrText xml:space="preserve"> PAGEREF _Toc16494770 \h </w:instrText>
        </w:r>
        <w:r>
          <w:rPr>
            <w:webHidden/>
          </w:rPr>
        </w:r>
        <w:r>
          <w:rPr>
            <w:webHidden/>
          </w:rPr>
          <w:fldChar w:fldCharType="separate"/>
        </w:r>
        <w:r>
          <w:rPr>
            <w:webHidden/>
          </w:rPr>
          <w:t>4</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1" w:history="1">
        <w:r w:rsidRPr="006C423F">
          <w:rPr>
            <w:rStyle w:val="a6"/>
            <w:lang w:val="en-GB"/>
          </w:rPr>
          <w:t>3.3</w:t>
        </w:r>
        <w:r>
          <w:rPr>
            <w:rFonts w:asciiTheme="minorHAnsi" w:eastAsiaTheme="minorEastAsia" w:hAnsiTheme="minorHAnsi" w:cstheme="minorBidi"/>
            <w:szCs w:val="22"/>
          </w:rPr>
          <w:tab/>
        </w:r>
        <w:r w:rsidRPr="006C423F">
          <w:rPr>
            <w:rStyle w:val="a6"/>
            <w:rFonts w:hint="eastAsia"/>
          </w:rPr>
          <w:t>评价性设计</w:t>
        </w:r>
        <w:r>
          <w:rPr>
            <w:webHidden/>
          </w:rPr>
          <w:tab/>
        </w:r>
        <w:r>
          <w:rPr>
            <w:webHidden/>
          </w:rPr>
          <w:fldChar w:fldCharType="begin"/>
        </w:r>
        <w:r>
          <w:rPr>
            <w:webHidden/>
          </w:rPr>
          <w:instrText xml:space="preserve"> PAGEREF _Toc16494771 \h </w:instrText>
        </w:r>
        <w:r>
          <w:rPr>
            <w:webHidden/>
          </w:rPr>
        </w:r>
        <w:r>
          <w:rPr>
            <w:webHidden/>
          </w:rPr>
          <w:fldChar w:fldCharType="separate"/>
        </w:r>
        <w:r>
          <w:rPr>
            <w:webHidden/>
          </w:rPr>
          <w:t>4</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2" w:history="1">
        <w:r w:rsidRPr="006C423F">
          <w:rPr>
            <w:rStyle w:val="a6"/>
          </w:rPr>
          <w:t>4</w:t>
        </w:r>
        <w:r>
          <w:rPr>
            <w:rFonts w:asciiTheme="minorHAnsi" w:eastAsiaTheme="minorEastAsia" w:hAnsiTheme="minorHAnsi" w:cstheme="minorBidi"/>
            <w:b w:val="0"/>
            <w:bCs w:val="0"/>
            <w:szCs w:val="22"/>
          </w:rPr>
          <w:tab/>
        </w:r>
        <w:r w:rsidRPr="006C423F">
          <w:rPr>
            <w:rStyle w:val="a6"/>
            <w:rFonts w:hint="eastAsia"/>
          </w:rPr>
          <w:t>计算参数</w:t>
        </w:r>
        <w:r>
          <w:rPr>
            <w:webHidden/>
          </w:rPr>
          <w:tab/>
        </w:r>
        <w:r>
          <w:rPr>
            <w:webHidden/>
          </w:rPr>
          <w:fldChar w:fldCharType="begin"/>
        </w:r>
        <w:r>
          <w:rPr>
            <w:webHidden/>
          </w:rPr>
          <w:instrText xml:space="preserve"> PAGEREF _Toc16494772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3" w:history="1">
        <w:r w:rsidRPr="006C423F">
          <w:rPr>
            <w:rStyle w:val="a6"/>
            <w:lang w:val="en-GB"/>
          </w:rPr>
          <w:t>4.1</w:t>
        </w:r>
        <w:r>
          <w:rPr>
            <w:rFonts w:asciiTheme="minorHAnsi" w:eastAsiaTheme="minorEastAsia" w:hAnsiTheme="minorHAnsi" w:cstheme="minorBidi"/>
            <w:szCs w:val="22"/>
          </w:rPr>
          <w:tab/>
        </w:r>
        <w:r w:rsidRPr="006C423F">
          <w:rPr>
            <w:rStyle w:val="a6"/>
            <w:rFonts w:hint="eastAsia"/>
          </w:rPr>
          <w:t>典型气象日气象参数</w:t>
        </w:r>
        <w:r>
          <w:rPr>
            <w:webHidden/>
          </w:rPr>
          <w:tab/>
        </w:r>
        <w:r>
          <w:rPr>
            <w:webHidden/>
          </w:rPr>
          <w:fldChar w:fldCharType="begin"/>
        </w:r>
        <w:r>
          <w:rPr>
            <w:webHidden/>
          </w:rPr>
          <w:instrText xml:space="preserve"> PAGEREF _Toc16494773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4" w:history="1">
        <w:r w:rsidRPr="006C423F">
          <w:rPr>
            <w:rStyle w:val="a6"/>
            <w:lang w:val="en-GB"/>
          </w:rPr>
          <w:t>4.2</w:t>
        </w:r>
        <w:r>
          <w:rPr>
            <w:rFonts w:asciiTheme="minorHAnsi" w:eastAsiaTheme="minorEastAsia" w:hAnsiTheme="minorHAnsi" w:cstheme="minorBidi"/>
            <w:szCs w:val="22"/>
          </w:rPr>
          <w:tab/>
        </w:r>
        <w:r w:rsidRPr="006C423F">
          <w:rPr>
            <w:rStyle w:val="a6"/>
            <w:rFonts w:hint="eastAsia"/>
          </w:rPr>
          <w:t>渗透面夏季逐时蒸发量</w:t>
        </w:r>
        <w:r>
          <w:rPr>
            <w:webHidden/>
          </w:rPr>
          <w:tab/>
        </w:r>
        <w:r>
          <w:rPr>
            <w:webHidden/>
          </w:rPr>
          <w:fldChar w:fldCharType="begin"/>
        </w:r>
        <w:r>
          <w:rPr>
            <w:webHidden/>
          </w:rPr>
          <w:instrText xml:space="preserve"> PAGEREF _Toc16494774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5" w:history="1">
        <w:r w:rsidRPr="006C423F">
          <w:rPr>
            <w:rStyle w:val="a6"/>
          </w:rPr>
          <w:t>5</w:t>
        </w:r>
        <w:r>
          <w:rPr>
            <w:rFonts w:asciiTheme="minorHAnsi" w:eastAsiaTheme="minorEastAsia" w:hAnsiTheme="minorHAnsi" w:cstheme="minorBidi"/>
            <w:b w:val="0"/>
            <w:bCs w:val="0"/>
            <w:szCs w:val="22"/>
          </w:rPr>
          <w:tab/>
        </w:r>
        <w:r w:rsidRPr="006C423F">
          <w:rPr>
            <w:rStyle w:val="a6"/>
            <w:rFonts w:hint="eastAsia"/>
          </w:rPr>
          <w:t>住区指标概览</w:t>
        </w:r>
        <w:r>
          <w:rPr>
            <w:webHidden/>
          </w:rPr>
          <w:tab/>
        </w:r>
        <w:r>
          <w:rPr>
            <w:webHidden/>
          </w:rPr>
          <w:fldChar w:fldCharType="begin"/>
        </w:r>
        <w:r>
          <w:rPr>
            <w:webHidden/>
          </w:rPr>
          <w:instrText xml:space="preserve"> PAGEREF _Toc16494775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6" w:history="1">
        <w:r w:rsidRPr="006C423F">
          <w:rPr>
            <w:rStyle w:val="a6"/>
          </w:rPr>
          <w:t>6</w:t>
        </w:r>
        <w:r>
          <w:rPr>
            <w:rFonts w:asciiTheme="minorHAnsi" w:eastAsiaTheme="minorEastAsia" w:hAnsiTheme="minorHAnsi" w:cstheme="minorBidi"/>
            <w:b w:val="0"/>
            <w:bCs w:val="0"/>
            <w:szCs w:val="22"/>
          </w:rPr>
          <w:tab/>
        </w:r>
        <w:r w:rsidRPr="006C423F">
          <w:rPr>
            <w:rStyle w:val="a6"/>
            <w:rFonts w:hint="eastAsia"/>
          </w:rPr>
          <w:t>规定性设计指标</w:t>
        </w:r>
        <w:r>
          <w:rPr>
            <w:webHidden/>
          </w:rPr>
          <w:tab/>
        </w:r>
        <w:r>
          <w:rPr>
            <w:webHidden/>
          </w:rPr>
          <w:fldChar w:fldCharType="begin"/>
        </w:r>
        <w:r>
          <w:rPr>
            <w:webHidden/>
          </w:rPr>
          <w:instrText xml:space="preserve"> PAGEREF _Toc16494776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7" w:history="1">
        <w:r w:rsidRPr="006C423F">
          <w:rPr>
            <w:rStyle w:val="a6"/>
            <w:lang w:val="en-GB"/>
          </w:rPr>
          <w:t>6.1</w:t>
        </w:r>
        <w:r>
          <w:rPr>
            <w:rFonts w:asciiTheme="minorHAnsi" w:eastAsiaTheme="minorEastAsia" w:hAnsiTheme="minorHAnsi" w:cstheme="minorBidi"/>
            <w:szCs w:val="22"/>
          </w:rPr>
          <w:tab/>
        </w:r>
        <w:r w:rsidRPr="006C423F">
          <w:rPr>
            <w:rStyle w:val="a6"/>
            <w:rFonts w:hint="eastAsia"/>
          </w:rPr>
          <w:t>平均迎风面积比</w:t>
        </w:r>
        <w:r>
          <w:rPr>
            <w:webHidden/>
          </w:rPr>
          <w:tab/>
        </w:r>
        <w:r>
          <w:rPr>
            <w:webHidden/>
          </w:rPr>
          <w:fldChar w:fldCharType="begin"/>
        </w:r>
        <w:r>
          <w:rPr>
            <w:webHidden/>
          </w:rPr>
          <w:instrText xml:space="preserve"> PAGEREF _Toc16494777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8" w:history="1">
        <w:r w:rsidRPr="006C423F">
          <w:rPr>
            <w:rStyle w:val="a6"/>
            <w:lang w:val="en-GB"/>
          </w:rPr>
          <w:t>6.2</w:t>
        </w:r>
        <w:r>
          <w:rPr>
            <w:rFonts w:asciiTheme="minorHAnsi" w:eastAsiaTheme="minorEastAsia" w:hAnsiTheme="minorHAnsi" w:cstheme="minorBidi"/>
            <w:szCs w:val="22"/>
          </w:rPr>
          <w:tab/>
        </w:r>
        <w:r w:rsidRPr="006C423F">
          <w:rPr>
            <w:rStyle w:val="a6"/>
            <w:rFonts w:hint="eastAsia"/>
          </w:rPr>
          <w:t>活动场地遮阳覆盖率</w:t>
        </w:r>
        <w:r>
          <w:rPr>
            <w:webHidden/>
          </w:rPr>
          <w:tab/>
        </w:r>
        <w:r>
          <w:rPr>
            <w:webHidden/>
          </w:rPr>
          <w:fldChar w:fldCharType="begin"/>
        </w:r>
        <w:r>
          <w:rPr>
            <w:webHidden/>
          </w:rPr>
          <w:instrText xml:space="preserve"> PAGEREF _Toc16494778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9" w:history="1">
        <w:r w:rsidRPr="006C423F">
          <w:rPr>
            <w:rStyle w:val="a6"/>
            <w:lang w:val="en-GB"/>
          </w:rPr>
          <w:t>6.3</w:t>
        </w:r>
        <w:r>
          <w:rPr>
            <w:rFonts w:asciiTheme="minorHAnsi" w:eastAsiaTheme="minorEastAsia" w:hAnsiTheme="minorHAnsi" w:cstheme="minorBidi"/>
            <w:szCs w:val="22"/>
          </w:rPr>
          <w:tab/>
        </w:r>
        <w:r w:rsidRPr="006C423F">
          <w:rPr>
            <w:rStyle w:val="a6"/>
            <w:rFonts w:hint="eastAsia"/>
          </w:rPr>
          <w:t>底层通风架空率</w:t>
        </w:r>
        <w:r>
          <w:rPr>
            <w:webHidden/>
          </w:rPr>
          <w:tab/>
        </w:r>
        <w:r>
          <w:rPr>
            <w:webHidden/>
          </w:rPr>
          <w:fldChar w:fldCharType="begin"/>
        </w:r>
        <w:r>
          <w:rPr>
            <w:webHidden/>
          </w:rPr>
          <w:instrText xml:space="preserve"> PAGEREF _Toc16494779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0" w:history="1">
        <w:r w:rsidRPr="006C423F">
          <w:rPr>
            <w:rStyle w:val="a6"/>
            <w:lang w:val="en-GB"/>
          </w:rPr>
          <w:t>6.4</w:t>
        </w:r>
        <w:r>
          <w:rPr>
            <w:rFonts w:asciiTheme="minorHAnsi" w:eastAsiaTheme="minorEastAsia" w:hAnsiTheme="minorHAnsi" w:cstheme="minorBidi"/>
            <w:szCs w:val="22"/>
          </w:rPr>
          <w:tab/>
        </w:r>
        <w:r w:rsidRPr="006C423F">
          <w:rPr>
            <w:rStyle w:val="a6"/>
            <w:rFonts w:hint="eastAsia"/>
          </w:rPr>
          <w:t>绿化遮阳体叶面积指数</w:t>
        </w:r>
        <w:r>
          <w:rPr>
            <w:webHidden/>
          </w:rPr>
          <w:tab/>
        </w:r>
        <w:r>
          <w:rPr>
            <w:webHidden/>
          </w:rPr>
          <w:fldChar w:fldCharType="begin"/>
        </w:r>
        <w:r>
          <w:rPr>
            <w:webHidden/>
          </w:rPr>
          <w:instrText xml:space="preserve"> PAGEREF _Toc16494780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1" w:history="1">
        <w:r w:rsidRPr="006C423F">
          <w:rPr>
            <w:rStyle w:val="a6"/>
            <w:lang w:val="en-GB"/>
          </w:rPr>
          <w:t>6.5</w:t>
        </w:r>
        <w:r>
          <w:rPr>
            <w:rFonts w:asciiTheme="minorHAnsi" w:eastAsiaTheme="minorEastAsia" w:hAnsiTheme="minorHAnsi" w:cstheme="minorBidi"/>
            <w:szCs w:val="22"/>
          </w:rPr>
          <w:tab/>
        </w:r>
        <w:r w:rsidRPr="006C423F">
          <w:rPr>
            <w:rStyle w:val="a6"/>
            <w:rFonts w:hint="eastAsia"/>
          </w:rPr>
          <w:t>渗透蒸发指标</w:t>
        </w:r>
        <w:r>
          <w:rPr>
            <w:webHidden/>
          </w:rPr>
          <w:tab/>
        </w:r>
        <w:r>
          <w:rPr>
            <w:webHidden/>
          </w:rPr>
          <w:fldChar w:fldCharType="begin"/>
        </w:r>
        <w:r>
          <w:rPr>
            <w:webHidden/>
          </w:rPr>
          <w:instrText xml:space="preserve"> PAGEREF _Toc16494781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2" w:history="1">
        <w:r w:rsidRPr="006C423F">
          <w:rPr>
            <w:rStyle w:val="a6"/>
            <w:lang w:val="en-GB"/>
          </w:rPr>
          <w:t>6.6</w:t>
        </w:r>
        <w:r>
          <w:rPr>
            <w:rFonts w:asciiTheme="minorHAnsi" w:eastAsiaTheme="minorEastAsia" w:hAnsiTheme="minorHAnsi" w:cstheme="minorBidi"/>
            <w:szCs w:val="22"/>
          </w:rPr>
          <w:tab/>
        </w:r>
        <w:r w:rsidRPr="006C423F">
          <w:rPr>
            <w:rStyle w:val="a6"/>
            <w:rFonts w:hint="eastAsia"/>
          </w:rPr>
          <w:t>屋面绿化率</w:t>
        </w:r>
        <w:r>
          <w:rPr>
            <w:webHidden/>
          </w:rPr>
          <w:tab/>
        </w:r>
        <w:r>
          <w:rPr>
            <w:webHidden/>
          </w:rPr>
          <w:fldChar w:fldCharType="begin"/>
        </w:r>
        <w:r>
          <w:rPr>
            <w:webHidden/>
          </w:rPr>
          <w:instrText xml:space="preserve"> PAGEREF _Toc16494782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3" w:history="1">
        <w:r w:rsidRPr="006C423F">
          <w:rPr>
            <w:rStyle w:val="a6"/>
          </w:rPr>
          <w:t>7</w:t>
        </w:r>
        <w:r>
          <w:rPr>
            <w:rFonts w:asciiTheme="minorHAnsi" w:eastAsiaTheme="minorEastAsia" w:hAnsiTheme="minorHAnsi" w:cstheme="minorBidi"/>
            <w:b w:val="0"/>
            <w:bCs w:val="0"/>
            <w:szCs w:val="22"/>
          </w:rPr>
          <w:tab/>
        </w:r>
        <w:r w:rsidRPr="006C423F">
          <w:rPr>
            <w:rStyle w:val="a6"/>
            <w:rFonts w:hint="eastAsia"/>
          </w:rPr>
          <w:t>评价性设计</w:t>
        </w:r>
        <w:r>
          <w:rPr>
            <w:webHidden/>
          </w:rPr>
          <w:tab/>
        </w:r>
        <w:r>
          <w:rPr>
            <w:webHidden/>
          </w:rPr>
          <w:fldChar w:fldCharType="begin"/>
        </w:r>
        <w:r>
          <w:rPr>
            <w:webHidden/>
          </w:rPr>
          <w:instrText xml:space="preserve"> PAGEREF _Toc16494783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4" w:history="1">
        <w:r w:rsidRPr="006C423F">
          <w:rPr>
            <w:rStyle w:val="a6"/>
            <w:lang w:val="en-GB"/>
          </w:rPr>
          <w:t>7.1</w:t>
        </w:r>
        <w:r>
          <w:rPr>
            <w:rFonts w:asciiTheme="minorHAnsi" w:eastAsiaTheme="minorEastAsia" w:hAnsiTheme="minorHAnsi" w:cstheme="minorBidi"/>
            <w:szCs w:val="22"/>
          </w:rPr>
          <w:tab/>
        </w:r>
        <w:r w:rsidRPr="006C423F">
          <w:rPr>
            <w:rStyle w:val="a6"/>
            <w:rFonts w:hint="eastAsia"/>
          </w:rPr>
          <w:t>平均热岛强度</w:t>
        </w:r>
        <w:r>
          <w:rPr>
            <w:webHidden/>
          </w:rPr>
          <w:tab/>
        </w:r>
        <w:r>
          <w:rPr>
            <w:webHidden/>
          </w:rPr>
          <w:fldChar w:fldCharType="begin"/>
        </w:r>
        <w:r>
          <w:rPr>
            <w:webHidden/>
          </w:rPr>
          <w:instrText xml:space="preserve"> PAGEREF _Toc16494784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5" w:history="1">
        <w:r w:rsidRPr="006C423F">
          <w:rPr>
            <w:rStyle w:val="a6"/>
            <w:lang w:val="en-GB"/>
          </w:rPr>
          <w:t>7.2</w:t>
        </w:r>
        <w:r>
          <w:rPr>
            <w:rFonts w:asciiTheme="minorHAnsi" w:eastAsiaTheme="minorEastAsia" w:hAnsiTheme="minorHAnsi" w:cstheme="minorBidi"/>
            <w:szCs w:val="22"/>
          </w:rPr>
          <w:tab/>
        </w:r>
        <w:r w:rsidRPr="006C423F">
          <w:rPr>
            <w:rStyle w:val="a6"/>
            <w:rFonts w:hint="eastAsia"/>
          </w:rPr>
          <w:t>湿球黑球温度</w:t>
        </w:r>
        <w:r>
          <w:rPr>
            <w:webHidden/>
          </w:rPr>
          <w:tab/>
        </w:r>
        <w:r>
          <w:rPr>
            <w:webHidden/>
          </w:rPr>
          <w:fldChar w:fldCharType="begin"/>
        </w:r>
        <w:r>
          <w:rPr>
            <w:webHidden/>
          </w:rPr>
          <w:instrText xml:space="preserve"> PAGEREF _Toc16494785 \h </w:instrText>
        </w:r>
        <w:r>
          <w:rPr>
            <w:webHidden/>
          </w:rPr>
        </w:r>
        <w:r>
          <w:rPr>
            <w:webHidden/>
          </w:rPr>
          <w:fldChar w:fldCharType="separate"/>
        </w:r>
        <w:r>
          <w:rPr>
            <w:webHidden/>
          </w:rPr>
          <w:t>6</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6" w:history="1">
        <w:r w:rsidRPr="006C423F">
          <w:rPr>
            <w:rStyle w:val="a6"/>
          </w:rPr>
          <w:t>8</w:t>
        </w:r>
        <w:r>
          <w:rPr>
            <w:rFonts w:asciiTheme="minorHAnsi" w:eastAsiaTheme="minorEastAsia" w:hAnsiTheme="minorHAnsi" w:cstheme="minorBidi"/>
            <w:b w:val="0"/>
            <w:bCs w:val="0"/>
            <w:szCs w:val="22"/>
          </w:rPr>
          <w:tab/>
        </w:r>
        <w:r w:rsidRPr="006C423F">
          <w:rPr>
            <w:rStyle w:val="a6"/>
            <w:rFonts w:hint="eastAsia"/>
          </w:rPr>
          <w:t>结论</w:t>
        </w:r>
        <w:r>
          <w:rPr>
            <w:webHidden/>
          </w:rPr>
          <w:tab/>
        </w:r>
        <w:r>
          <w:rPr>
            <w:webHidden/>
          </w:rPr>
          <w:fldChar w:fldCharType="begin"/>
        </w:r>
        <w:r>
          <w:rPr>
            <w:webHidden/>
          </w:rPr>
          <w:instrText xml:space="preserve"> PAGEREF _Toc16494786 \h </w:instrText>
        </w:r>
        <w:r>
          <w:rPr>
            <w:webHidden/>
          </w:rPr>
        </w:r>
        <w:r>
          <w:rPr>
            <w:webHidden/>
          </w:rPr>
          <w:fldChar w:fldCharType="separate"/>
        </w:r>
        <w:r>
          <w:rPr>
            <w:webHidden/>
          </w:rPr>
          <w:t>6</w:t>
        </w:r>
        <w:r>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6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rsidTr="00DE224D">
        <w:tc>
          <w:tcPr>
            <w:tcW w:w="2767" w:type="dxa"/>
            <w:tcBorders>
              <w:bottom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DE224D" w:rsidRPr="00FF2243" w:rsidRDefault="00DE224D" w:rsidP="00DE224D">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DE224D" w:rsidRPr="00FF2243" w:rsidTr="00DE224D">
        <w:tc>
          <w:tcPr>
            <w:tcW w:w="2767" w:type="dxa"/>
            <w:tcBorders>
              <w:top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DE224D" w:rsidRPr="00FF2243" w:rsidRDefault="00DE224D" w:rsidP="00DE224D">
            <w:pPr>
              <w:pStyle w:val="a0"/>
              <w:ind w:firstLineChars="0" w:firstLine="0"/>
              <w:rPr>
                <w:rFonts w:ascii="宋体" w:hAnsi="宋体"/>
                <w:lang w:val="en-US"/>
              </w:rPr>
            </w:pPr>
            <w:bookmarkStart w:id="14" w:name="工程地点"/>
            <w:r>
              <w:t>六安</w:t>
            </w:r>
            <w:bookmarkEnd w:id="14"/>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5" w:name="纬度"/>
            <w:r>
              <w:t>31.73</w:t>
            </w:r>
            <w:bookmarkEnd w:id="15"/>
            <w:r w:rsidRPr="00FF2243">
              <w:rPr>
                <w:rFonts w:ascii="宋体" w:hAnsi="宋体" w:hint="eastAsia"/>
                <w:lang w:val="en-US"/>
              </w:rPr>
              <w:t>°</w:t>
            </w:r>
          </w:p>
        </w:tc>
        <w:tc>
          <w:tcPr>
            <w:tcW w:w="3033"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6" w:name="经度"/>
            <w:r>
              <w:t>116.47</w:t>
            </w:r>
            <w:bookmarkEnd w:id="16"/>
            <w:r>
              <w:rPr>
                <w:rFonts w:ascii="宋体" w:hAnsi="宋体" w:hint="eastAsia"/>
                <w:lang w:val="en-US"/>
              </w:rPr>
              <w:t>°</w:t>
            </w:r>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DE224D" w:rsidRPr="00FF2243" w:rsidRDefault="00DE224D" w:rsidP="00DE224D">
            <w:pPr>
              <w:pStyle w:val="a0"/>
              <w:ind w:firstLineChars="0" w:firstLine="0"/>
              <w:rPr>
                <w:rFonts w:ascii="宋体" w:hAnsi="宋体"/>
                <w:lang w:val="en-US"/>
              </w:rPr>
            </w:pPr>
            <w:bookmarkStart w:id="17" w:name="气候区"/>
            <w:r>
              <w:t>IIIB</w:t>
            </w:r>
            <w:bookmarkEnd w:id="17"/>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DE224D" w:rsidRPr="00FF2243" w:rsidRDefault="00DE224D" w:rsidP="00DE224D">
            <w:pPr>
              <w:pStyle w:val="a0"/>
              <w:ind w:firstLineChars="0" w:firstLine="0"/>
              <w:rPr>
                <w:rFonts w:ascii="宋体" w:hAnsi="宋体"/>
                <w:lang w:val="en-US"/>
              </w:rPr>
            </w:pPr>
            <w:bookmarkStart w:id="18" w:name="主导风向"/>
            <w:r>
              <w:t>南</w:t>
            </w:r>
            <w:bookmarkEnd w:id="18"/>
          </w:p>
        </w:tc>
      </w:tr>
    </w:tbl>
    <w:p w:rsidR="00DE224D" w:rsidRDefault="00DE224D" w:rsidP="00DE224D">
      <w:pPr>
        <w:pStyle w:val="a0"/>
        <w:ind w:firstLine="420"/>
        <w:rPr>
          <w:lang w:val="en-US"/>
        </w:rPr>
      </w:pPr>
    </w:p>
    <w:p w:rsidR="00DE224D" w:rsidRDefault="00DE224D" w:rsidP="00CE6578">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46f831231f4d13"/>
                    <a:stretch>
                      <a:fillRect/>
                    </a:stretch>
                  </pic:blipFill>
                  <pic:spPr>
                    <a:xfrm>
                      <a:off x="0" y="0"/>
                      <a:ext cx="5667375" cy="3895725"/>
                    </a:xfrm>
                    <a:prstGeom prst="rect">
                      <a:avLst/>
                    </a:prstGeom>
                  </pic:spPr>
                </pic:pic>
              </a:graphicData>
            </a:graphic>
          </wp:inline>
        </drawing>
      </w:r>
    </w:p>
    <w:p w:rsidR="00DE224D" w:rsidRDefault="00DE224D" w:rsidP="00DE224D">
      <w:pPr>
        <w:pStyle w:val="a0"/>
        <w:ind w:firstLine="420"/>
        <w:jc w:val="center"/>
        <w:rPr>
          <w:lang w:val="en-US"/>
        </w:rPr>
      </w:pPr>
      <w:bookmarkStart w:id="20" w:name="OLE_LINK3"/>
      <w:bookmarkStart w:id="21"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20"/>
      <w:bookmarkEnd w:id="21"/>
    </w:p>
    <w:p w:rsidR="00DE224D" w:rsidRDefault="00DE224D" w:rsidP="00DE224D">
      <w:pPr>
        <w:pStyle w:val="a0"/>
        <w:ind w:firstLine="420"/>
        <w:rPr>
          <w:lang w:val="en-US"/>
        </w:rPr>
      </w:pPr>
    </w:p>
    <w:p w:rsidR="001D4B47" w:rsidRPr="00C83ED1" w:rsidRDefault="001D4B47" w:rsidP="00C83ED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4658214" cy="4258122"/>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7a42e5f04b469f"/>
                    <a:stretch>
                      <a:fillRect/>
                    </a:stretch>
                  </pic:blipFill>
                  <pic:spPr>
                    <a:xfrm>
                      <a:off x="0" y="0"/>
                      <a:ext cx="4658214" cy="4258122"/>
                    </a:xfrm>
                    <a:prstGeom prst="rect">
                      <a:avLst/>
                    </a:prstGeom>
                  </pic:spPr>
                </pic:pic>
              </a:graphicData>
            </a:graphic>
          </wp:inline>
        </drawing>
      </w:r>
    </w:p>
    <w:p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D40158" w:rsidP="00D40158">
      <w:pPr>
        <w:pStyle w:val="1"/>
      </w:pPr>
      <w:bookmarkStart w:id="23" w:name="TitleFormat"/>
      <w:bookmarkStart w:id="24" w:name="_Toc16494767"/>
      <w:r>
        <w:rPr>
          <w:rFonts w:hint="eastAsia"/>
        </w:rPr>
        <w:t>设计依据</w:t>
      </w:r>
      <w:bookmarkEnd w:id="24"/>
    </w:p>
    <w:p w:rsidR="000B2FE8" w:rsidRDefault="00EC27FD" w:rsidP="00EC27FD">
      <w:pPr>
        <w:widowControl w:val="0"/>
        <w:jc w:val="both"/>
        <w:rPr>
          <w:kern w:val="2"/>
          <w:szCs w:val="24"/>
          <w:lang w:val="en-US"/>
        </w:rPr>
      </w:pPr>
      <w:bookmarkStart w:id="25" w:name="计算依据"/>
      <w:bookmarkEnd w:id="23"/>
      <w:bookmarkEnd w:id="25"/>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rsidR="001137ED" w:rsidRDefault="001137ED" w:rsidP="001137ED">
      <w:pPr>
        <w:pStyle w:val="1"/>
      </w:pPr>
      <w:bookmarkStart w:id="26" w:name="_Toc16494768"/>
      <w:r w:rsidRPr="009F0094">
        <w:rPr>
          <w:rFonts w:hint="eastAsia"/>
        </w:rPr>
        <w:t>计算规定</w:t>
      </w:r>
      <w:bookmarkEnd w:id="26"/>
    </w:p>
    <w:p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1137ED" w:rsidRDefault="001137ED" w:rsidP="001137ED">
      <w:pPr>
        <w:pStyle w:val="2"/>
      </w:pPr>
      <w:bookmarkStart w:id="27" w:name="_Toc16494769"/>
      <w:r w:rsidRPr="009F0094">
        <w:rPr>
          <w:rFonts w:hint="eastAsia"/>
        </w:rPr>
        <w:t>强制条文</w:t>
      </w:r>
      <w:bookmarkEnd w:id="27"/>
    </w:p>
    <w:p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r>
        <w:rPr>
          <w:rStyle w:val="ab"/>
          <w:rFonts w:ascii="Arial" w:hAnsi="Arial" w:cs="Arial"/>
          <w:color w:val="333333"/>
          <w:sz w:val="21"/>
          <w:szCs w:val="21"/>
        </w:rPr>
        <w:t>ζ</w:t>
      </w:r>
      <w:r>
        <w:rPr>
          <w:rStyle w:val="ab"/>
          <w:rFonts w:ascii="Arial" w:hAnsi="Arial" w:cs="Arial"/>
          <w:color w:val="333333"/>
          <w:sz w:val="21"/>
          <w:szCs w:val="21"/>
          <w:vertAlign w:val="subscript"/>
        </w:rPr>
        <w:t>s</w:t>
      </w:r>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rsidTr="00761242">
        <w:tc>
          <w:tcPr>
            <w:tcW w:w="1569" w:type="dxa"/>
            <w:vMerge w:val="restart"/>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rsidTr="00761242">
        <w:tc>
          <w:tcPr>
            <w:tcW w:w="1569" w:type="dxa"/>
            <w:vMerge/>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广场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1137ED" w:rsidRPr="00400852" w:rsidRDefault="001137ED" w:rsidP="001137ED">
      <w:pPr>
        <w:pStyle w:val="2"/>
      </w:pPr>
      <w:bookmarkStart w:id="28" w:name="_Toc16494770"/>
      <w:r w:rsidRPr="00400852">
        <w:rPr>
          <w:rFonts w:hint="eastAsia"/>
        </w:rPr>
        <w:t>规定性设计</w:t>
      </w:r>
      <w:bookmarkEnd w:id="28"/>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bl>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rsidR="001137ED" w:rsidRDefault="001137ED" w:rsidP="001137ED">
      <w:pPr>
        <w:pStyle w:val="2"/>
      </w:pPr>
      <w:bookmarkStart w:id="29" w:name="_Toc16494771"/>
      <w:r>
        <w:rPr>
          <w:rFonts w:hint="eastAsia"/>
        </w:rPr>
        <w:t>评价性设计</w:t>
      </w:r>
      <w:bookmarkEnd w:id="29"/>
    </w:p>
    <w:p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rsidR="00BB1C06" w:rsidRDefault="005207E3" w:rsidP="002F0C69">
      <w:pPr>
        <w:pStyle w:val="1"/>
      </w:pPr>
      <w:bookmarkStart w:id="30" w:name="_Toc16494772"/>
      <w:r>
        <w:rPr>
          <w:rFonts w:hint="eastAsia"/>
        </w:rPr>
        <w:lastRenderedPageBreak/>
        <w:t>计算参数</w:t>
      </w:r>
      <w:bookmarkEnd w:id="30"/>
    </w:p>
    <w:p w:rsidR="00116794" w:rsidRDefault="00613298" w:rsidP="009C3CAA">
      <w:pPr>
        <w:pStyle w:val="2"/>
      </w:pPr>
      <w:bookmarkStart w:id="31" w:name="_Toc16494773"/>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26.6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26.2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25.9</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25.7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25.6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25.7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26.0</w:t>
            </w:r>
          </w:p>
        </w:tc>
        <w:tc>
          <w:tcPr>
            <w:vAlign w:val="center"/>
          </w:tcPr>
          <w:p>
            <w:pPr>
              <w:jc w:val="center"/>
            </w:pPr>
            <w:r>
              <w:t>86</w:t>
            </w:r>
          </w:p>
        </w:tc>
        <w:tc>
          <w:tcPr>
            <w:vAlign w:val="center"/>
          </w:tcPr>
          <w:p>
            <w:pPr>
              <w:jc w:val="center"/>
            </w:pPr>
            <w:r>
              <w:t>100.00</w:t>
            </w:r>
          </w:p>
        </w:tc>
        <w:tc>
          <w:tcPr>
            <w:vAlign w:val="center"/>
          </w:tcPr>
          <w:p>
            <w:pPr>
              <w:jc w:val="center"/>
            </w:pPr>
            <w:r>
              <w:t>66.67</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26.6</w:t>
            </w:r>
          </w:p>
        </w:tc>
        <w:tc>
          <w:tcPr>
            <w:vAlign w:val="center"/>
          </w:tcPr>
          <w:p>
            <w:pPr>
              <w:jc w:val="center"/>
            </w:pPr>
            <w:r>
              <w:t>83</w:t>
            </w:r>
          </w:p>
        </w:tc>
        <w:tc>
          <w:tcPr>
            <w:vAlign w:val="center"/>
          </w:tcPr>
          <w:p>
            <w:pPr>
              <w:jc w:val="center"/>
            </w:pPr>
            <w:r>
              <w:t>222.22</w:t>
            </w:r>
          </w:p>
        </w:tc>
        <w:tc>
          <w:tcPr>
            <w:vAlign w:val="center"/>
          </w:tcPr>
          <w:p>
            <w:pPr>
              <w:jc w:val="center"/>
            </w:pPr>
            <w:r>
              <w:t>127.78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27.4</w:t>
            </w:r>
          </w:p>
        </w:tc>
        <w:tc>
          <w:tcPr>
            <w:vAlign w:val="center"/>
          </w:tcPr>
          <w:p>
            <w:pPr>
              <w:jc w:val="center"/>
            </w:pPr>
            <w:r>
              <w:t>79</w:t>
            </w:r>
          </w:p>
        </w:tc>
        <w:tc>
          <w:tcPr>
            <w:vAlign w:val="center"/>
          </w:tcPr>
          <w:p>
            <w:pPr>
              <w:jc w:val="center"/>
            </w:pPr>
            <w:r>
              <w:t>352.78</w:t>
            </w:r>
          </w:p>
        </w:tc>
        <w:tc>
          <w:tcPr>
            <w:vAlign w:val="center"/>
          </w:tcPr>
          <w:p>
            <w:pPr>
              <w:jc w:val="center"/>
            </w:pPr>
            <w:r>
              <w:t>183.33</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28.3</w:t>
            </w:r>
          </w:p>
        </w:tc>
        <w:tc>
          <w:tcPr>
            <w:vAlign w:val="center"/>
          </w:tcPr>
          <w:p>
            <w:pPr>
              <w:jc w:val="center"/>
            </w:pPr>
            <w:r>
              <w:t>75</w:t>
            </w:r>
          </w:p>
        </w:tc>
        <w:tc>
          <w:tcPr>
            <w:vAlign w:val="center"/>
          </w:tcPr>
          <w:p>
            <w:pPr>
              <w:jc w:val="center"/>
            </w:pPr>
            <w:r>
              <w:t>477.78</w:t>
            </w:r>
          </w:p>
        </w:tc>
        <w:tc>
          <w:tcPr>
            <w:vAlign w:val="center"/>
          </w:tcPr>
          <w:p>
            <w:pPr>
              <w:jc w:val="center"/>
            </w:pPr>
            <w:r>
              <w:t>230.56</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29.2</w:t>
            </w:r>
          </w:p>
        </w:tc>
        <w:tc>
          <w:tcPr>
            <w:vAlign w:val="center"/>
          </w:tcPr>
          <w:p>
            <w:pPr>
              <w:jc w:val="center"/>
            </w:pPr>
            <w:r>
              <w:t>71</w:t>
            </w:r>
          </w:p>
        </w:tc>
        <w:tc>
          <w:tcPr>
            <w:vAlign w:val="center"/>
          </w:tcPr>
          <w:p>
            <w:pPr>
              <w:jc w:val="center"/>
            </w:pPr>
            <w:r>
              <w:t>580.56</w:t>
            </w:r>
          </w:p>
        </w:tc>
        <w:tc>
          <w:tcPr>
            <w:vAlign w:val="center"/>
          </w:tcPr>
          <w:p>
            <w:pPr>
              <w:jc w:val="center"/>
            </w:pPr>
            <w:r>
              <w:t>266.67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30.1</w:t>
            </w:r>
          </w:p>
        </w:tc>
        <w:tc>
          <w:tcPr>
            <w:vAlign w:val="center"/>
          </w:tcPr>
          <w:p>
            <w:pPr>
              <w:jc w:val="center"/>
            </w:pPr>
            <w:r>
              <w:t>68</w:t>
            </w:r>
          </w:p>
        </w:tc>
        <w:tc>
          <w:tcPr>
            <w:vAlign w:val="center"/>
          </w:tcPr>
          <w:p>
            <w:pPr>
              <w:jc w:val="center"/>
            </w:pPr>
            <w:r>
              <w:t>644.44</w:t>
            </w:r>
          </w:p>
        </w:tc>
        <w:tc>
          <w:tcPr>
            <w:vAlign w:val="center"/>
          </w:tcPr>
          <w:p>
            <w:pPr>
              <w:jc w:val="center"/>
            </w:pPr>
            <w:r>
              <w:t>286.11</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30.8</w:t>
            </w:r>
          </w:p>
        </w:tc>
        <w:tc>
          <w:tcPr>
            <w:vAlign w:val="center"/>
          </w:tcPr>
          <w:p>
            <w:pPr>
              <w:jc w:val="center"/>
            </w:pPr>
            <w:r>
              <w:t>65</w:t>
            </w:r>
          </w:p>
        </w:tc>
        <w:tc>
          <w:tcPr>
            <w:vAlign w:val="center"/>
          </w:tcPr>
          <w:p>
            <w:pPr>
              <w:jc w:val="center"/>
            </w:pPr>
            <w:r>
              <w:t>658.33</w:t>
            </w:r>
          </w:p>
        </w:tc>
        <w:tc>
          <w:tcPr>
            <w:vAlign w:val="center"/>
          </w:tcPr>
          <w:p>
            <w:pPr>
              <w:jc w:val="center"/>
            </w:pPr>
            <w:r>
              <w:t>291.67</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622.22</w:t>
            </w:r>
          </w:p>
        </w:tc>
        <w:tc>
          <w:tcPr>
            <w:vAlign w:val="center"/>
          </w:tcPr>
          <w:p>
            <w:pPr>
              <w:jc w:val="center"/>
            </w:pPr>
            <w:r>
              <w:t>280.56</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31.0</w:t>
            </w:r>
          </w:p>
        </w:tc>
        <w:tc>
          <w:tcPr>
            <w:vAlign w:val="center"/>
          </w:tcPr>
          <w:p>
            <w:pPr>
              <w:jc w:val="center"/>
            </w:pPr>
            <w:r>
              <w:t>64</w:t>
            </w:r>
          </w:p>
        </w:tc>
        <w:tc>
          <w:tcPr>
            <w:vAlign w:val="center"/>
          </w:tcPr>
          <w:p>
            <w:pPr>
              <w:jc w:val="center"/>
            </w:pPr>
            <w:r>
              <w:t>541.67</w:t>
            </w:r>
          </w:p>
        </w:tc>
        <w:tc>
          <w:tcPr>
            <w:vAlign w:val="center"/>
          </w:tcPr>
          <w:p>
            <w:pPr>
              <w:jc w:val="center"/>
            </w:pPr>
            <w:r>
              <w:t>252.78</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427.78</w:t>
            </w:r>
          </w:p>
        </w:tc>
        <w:tc>
          <w:tcPr>
            <w:vAlign w:val="center"/>
          </w:tcPr>
          <w:p>
            <w:pPr>
              <w:jc w:val="center"/>
            </w:pPr>
            <w:r>
              <w:t>211.11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300.00</w:t>
            </w:r>
          </w:p>
        </w:tc>
        <w:tc>
          <w:tcPr>
            <w:vAlign w:val="center"/>
          </w:tcPr>
          <w:p>
            <w:pPr>
              <w:jc w:val="center"/>
            </w:pPr>
            <w:r>
              <w:t>161.11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29.4</w:t>
            </w:r>
          </w:p>
        </w:tc>
        <w:tc>
          <w:tcPr>
            <w:vAlign w:val="center"/>
          </w:tcPr>
          <w:p>
            <w:pPr>
              <w:jc w:val="center"/>
            </w:pPr>
            <w:r>
              <w:t>72</w:t>
            </w:r>
          </w:p>
        </w:tc>
        <w:tc>
          <w:tcPr>
            <w:vAlign w:val="center"/>
          </w:tcPr>
          <w:p>
            <w:pPr>
              <w:jc w:val="center"/>
            </w:pPr>
            <w:r>
              <w:t>169.44</w:t>
            </w:r>
          </w:p>
        </w:tc>
        <w:tc>
          <w:tcPr>
            <w:vAlign w:val="center"/>
          </w:tcPr>
          <w:p>
            <w:pPr>
              <w:jc w:val="center"/>
            </w:pPr>
            <w:r>
              <w:t>100.00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28.7</w:t>
            </w:r>
          </w:p>
        </w:tc>
        <w:tc>
          <w:tcPr>
            <w:vAlign w:val="center"/>
          </w:tcPr>
          <w:p>
            <w:pPr>
              <w:jc w:val="center"/>
            </w:pPr>
            <w:r>
              <w:t>75</w:t>
            </w:r>
          </w:p>
        </w:tc>
        <w:tc>
          <w:tcPr>
            <w:vAlign w:val="center"/>
          </w:tcPr>
          <w:p>
            <w:pPr>
              <w:jc w:val="center"/>
            </w:pPr>
            <w:r>
              <w:t>55.56</w:t>
            </w:r>
          </w:p>
        </w:tc>
        <w:tc>
          <w:tcPr>
            <w:vAlign w:val="center"/>
          </w:tcPr>
          <w:p>
            <w:pPr>
              <w:jc w:val="center"/>
            </w:pPr>
            <w:r>
              <w:t>36.11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27.7</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27.5</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27.4</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28.1</w:t>
            </w:r>
          </w:p>
        </w:tc>
        <w:tc>
          <w:tcPr>
            <w:vAlign w:val="center"/>
          </w:tcPr>
          <w:p>
            <w:pPr>
              <w:jc w:val="center"/>
            </w:pPr>
            <w:r>
              <w:t>79</w:t>
            </w:r>
          </w:p>
        </w:tc>
        <w:tc>
          <w:tcPr>
            <w:vAlign w:val="center"/>
          </w:tcPr>
          <w:p>
            <w:pPr>
              <w:jc w:val="center"/>
            </w:pPr>
            <w:r>
              <w:t>214.70</w:t>
            </w:r>
          </w:p>
        </w:tc>
        <w:tc>
          <w:tcPr>
            <w:vAlign w:val="center"/>
          </w:tcPr>
          <w:p>
            <w:pPr>
              <w:jc w:val="center"/>
            </w:pPr>
            <w:r>
              <w:t>103.94</w:t>
            </w:r>
          </w:p>
        </w:tc>
        <w:tc>
          <w:tcPr>
            <w:vAlign w:val="center"/>
          </w:tcPr>
          <w:p>
            <w:pPr>
              <w:jc w:val="center"/>
            </w:pPr>
            <w:r>
              <w:t>4.3</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74"/>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75"/>
      <w:r>
        <w:rPr>
          <w:rFonts w:hint="eastAsia"/>
        </w:rPr>
        <w:t>住区指标概览</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16627.89</w:t>
            </w:r>
          </w:p>
        </w:tc>
      </w:tr>
      <w:tr>
        <w:tc>
          <w:tcPr>
            <w:vAlign w:val="center"/>
            <w:shd w:val="clear" w:color="auto" w:fill="E6E6E6"/>
          </w:tcPr>
          <w:p>
            <w:pPr/>
            <w:r>
              <w:t>建筑密度</w:t>
            </w:r>
          </w:p>
        </w:tc>
        <w:tc>
          <w:tcPr>
            <w:vAlign w:val="center"/>
          </w:tcPr>
          <w:p>
            <w:pPr/>
            <w:r>
              <w:t>0.08</w:t>
            </w:r>
          </w:p>
        </w:tc>
      </w:tr>
      <w:tr>
        <w:tc>
          <w:tcPr>
            <w:vAlign w:val="center"/>
            <w:shd w:val="clear" w:color="auto" w:fill="E6E6E6"/>
          </w:tcPr>
          <w:p>
            <w:pPr/>
            <w:r>
              <w:t>室外面积(㎡)</w:t>
            </w:r>
          </w:p>
        </w:tc>
        <w:tc>
          <w:tcPr>
            <w:vAlign w:val="center"/>
          </w:tcPr>
          <w:p>
            <w:pPr/>
            <w:r>
              <w:t>15241.46</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2574.55</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19217.41</w:t>
            </w:r>
          </w:p>
        </w:tc>
      </w:tr>
      <w:tr>
        <w:tc>
          <w:tcPr>
            <w:vAlign w:val="center"/>
            <w:shd w:val="clear" w:color="auto" w:fill="E6E6E6"/>
          </w:tcPr>
          <w:p>
            <w:pPr/>
            <w:r>
              <w:t>乔木爬藤面积(㎡)</w:t>
            </w:r>
          </w:p>
        </w:tc>
        <w:tc>
          <w:tcPr>
            <w:vAlign w:val="center"/>
          </w:tcPr>
          <w:p>
            <w:pPr/>
            <w:r>
              <w:t>16074.10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412.55</w:t>
            </w:r>
          </w:p>
        </w:tc>
      </w:tr>
      <w:tr>
        <w:tc>
          <w:tcPr>
            <w:vAlign w:val="center"/>
            <w:shd w:val="clear" w:color="auto" w:fill="E6E6E6"/>
          </w:tcPr>
          <w:p>
            <w:pPr/>
            <w:r>
              <w:t>地表平均太阳辐射吸收系数</w:t>
            </w:r>
          </w:p>
        </w:tc>
        <w:tc>
          <w:tcPr>
            <w:vAlign w:val="center"/>
          </w:tcPr>
          <w:p>
            <w:pPr/>
            <w:r>
              <w:t>0.79</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0.62</w:t>
            </w:r>
          </w:p>
        </w:tc>
      </w:tr>
      <w:tr>
        <w:tc>
          <w:tcPr>
            <w:vAlign w:val="center"/>
            <w:shd w:val="clear" w:color="auto" w:fill="E6E6E6"/>
          </w:tcPr>
          <w:p>
            <w:pPr/>
            <w:r>
              <w:t>CTTC居住区热时间常数(h)</w:t>
            </w:r>
          </w:p>
        </w:tc>
        <w:tc>
          <w:tcPr>
            <w:vAlign w:val="center"/>
          </w:tcPr>
          <w:p>
            <w:pPr/>
            <w:r>
              <w:t>12.37</w:t>
            </w:r>
          </w:p>
        </w:tc>
      </w:tr>
      <w:tr>
        <w:tc>
          <w:tcPr>
            <w:vAlign w:val="center"/>
            <w:shd w:val="clear" w:color="auto" w:fill="E6E6E6"/>
          </w:tcPr>
          <w:p>
            <w:pPr/>
            <w:r>
              <w:t>绿化遮阳覆盖率(%)</w:t>
            </w:r>
          </w:p>
        </w:tc>
        <w:tc>
          <w:tcPr>
            <w:vAlign w:val="center"/>
          </w:tcPr>
          <w:p>
            <w:pPr/>
            <w:r>
              <w:t>105</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0.90</w:t>
            </w:r>
          </w:p>
        </w:tc>
      </w:tr>
      <w:tr>
        <w:tc>
          <w:tcPr>
            <w:vAlign w:val="center"/>
            <w:shd w:val="clear" w:color="auto" w:fill="E6E6E6"/>
          </w:tcPr>
          <w:p>
            <w:pPr/>
            <w:r>
              <w:t>通风架空率(%)</w:t>
            </w:r>
          </w:p>
        </w:tc>
        <w:tc>
          <w:tcPr>
            <w:vAlign w:val="center"/>
          </w:tcPr>
          <w:p>
            <w:pPr/>
            <w:r>
              <w:t>14</w:t>
            </w:r>
          </w:p>
        </w:tc>
      </w:tr>
    </w:tbl>
    <w:p w:rsidR="00C3317F" w:rsidRPr="00C3317F" w:rsidRDefault="00C3317F" w:rsidP="00C3317F">
      <w:pPr>
        <w:pStyle w:val="a0"/>
        <w:ind w:firstLine="420"/>
        <w:rPr>
          <w:lang w:val="en-US"/>
        </w:rPr>
      </w:pPr>
      <w:bookmarkStart w:id="36" w:name="住区指标概览"/>
      <w:bookmarkEnd w:id="36"/>
    </w:p>
    <w:p w:rsidR="000B2FE8" w:rsidRDefault="00AA7C65" w:rsidP="009D580B">
      <w:pPr>
        <w:pStyle w:val="1"/>
      </w:pPr>
      <w:bookmarkStart w:id="37" w:name="_Toc16494776"/>
      <w:r>
        <w:rPr>
          <w:rFonts w:hint="eastAsia"/>
        </w:rPr>
        <w:t>规定性设计指标</w:t>
      </w:r>
      <w:bookmarkEnd w:id="37"/>
    </w:p>
    <w:p w:rsidR="00EA741A" w:rsidRDefault="00EA741A" w:rsidP="00EA741A">
      <w:pPr>
        <w:pStyle w:val="2"/>
      </w:pPr>
      <w:bookmarkStart w:id="38" w:name="_Toc16494777"/>
      <w:r>
        <w:rPr>
          <w:rFonts w:hint="eastAsia"/>
        </w:rPr>
        <w:t>平均迎风面积比</w:t>
      </w:r>
      <w:bookmarkEnd w:id="3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六安市某农业银行</w:t>
            </w:r>
          </w:p>
        </w:tc>
        <w:tc>
          <w:tcPr>
            <w:vAlign w:val="center"/>
          </w:tcPr>
          <w:p>
            <w:pPr/>
            <w:r>
              <w:t>1704.34</w:t>
            </w:r>
          </w:p>
        </w:tc>
        <w:tc>
          <w:tcPr>
            <w:vAlign w:val="center"/>
          </w:tcPr>
          <w:p>
            <w:pPr/>
            <w:r>
              <w:t>2738.84</w:t>
            </w:r>
          </w:p>
        </w:tc>
        <w:tc>
          <w:tcPr>
            <w:vAlign w:val="center"/>
          </w:tcPr>
          <w:p>
            <w:pPr/>
            <w:r>
              <w:t>10.00</w:t>
            </w:r>
          </w:p>
        </w:tc>
        <w:tc>
          <w:tcPr>
            <w:vAlign w:val="center"/>
          </w:tcPr>
          <w:p>
            <w:pPr/>
            <w:r>
              <w:t>0.6223</w:t>
            </w:r>
          </w:p>
        </w:tc>
      </w:tr>
      <w:tr>
        <w:tc>
          <w:tcPr>
            <w:vAlign w:val="center"/>
            <w:shd w:val="clear" w:color="auto" w:fill="E6E6E6"/>
          </w:tcPr>
          <w:p>
            <w:pPr/>
            <w:r>
              <w:t>平均迎风面积比</w:t>
            </w:r>
          </w:p>
        </w:tc>
        <w:tc>
          <w:tcPr>
            <w:vAlign w:val="center"/>
            <w:gridSpan w:val="4"/>
          </w:tcPr>
          <w:p>
            <w:pPr/>
            <w:r>
              <w:rPr>
                <w:b/>
              </w:rPr>
              <w:t>0.622</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107D2" w:rsidRPr="00B107D2" w:rsidRDefault="00B107D2" w:rsidP="00B107D2">
      <w:pPr>
        <w:pStyle w:val="a0"/>
        <w:ind w:firstLine="420"/>
        <w:rPr>
          <w:lang w:val="en-US"/>
        </w:rPr>
      </w:pPr>
      <w:bookmarkStart w:id="39" w:name="平均迎风面积比"/>
      <w:bookmarkEnd w:id="39"/>
    </w:p>
    <w:p w:rsidR="00EA741A" w:rsidRDefault="00EA741A" w:rsidP="00EA741A">
      <w:pPr>
        <w:pStyle w:val="2"/>
      </w:pPr>
      <w:bookmarkStart w:id="40" w:name="_Toc16494778"/>
      <w:r>
        <w:rPr>
          <w:rFonts w:hint="eastAsia"/>
        </w:rPr>
        <w:t>活动场地遮阳覆盖率</w:t>
      </w:r>
      <w:bookmarkEnd w:id="4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游憩场</w:t>
            </w:r>
          </w:p>
        </w:tc>
        <w:tc>
          <w:tcPr>
            <w:vAlign w:val="center"/>
          </w:tcPr>
          <w:p>
            <w:pPr/>
            <w:r>
              <w:t>334.0</w:t>
            </w:r>
          </w:p>
        </w:tc>
        <w:tc>
          <w:tcPr>
            <w:vAlign w:val="center"/>
          </w:tcPr>
          <w:p>
            <w:pPr/>
            <w:r>
              <w:t>412.5</w:t>
            </w:r>
          </w:p>
        </w:tc>
        <w:tc>
          <w:tcPr>
            <w:vAlign w:val="center"/>
          </w:tcPr>
          <w:p>
            <w:pPr/>
            <w:r>
              <w:t>81</w:t>
            </w:r>
          </w:p>
        </w:tc>
        <w:tc>
          <w:tcPr>
            <w:vAlign w:val="center"/>
          </w:tcPr>
          <w:p>
            <w:pPr/>
            <w:r>
              <w:t>30</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2B4464" w:rsidRPr="002B4464" w:rsidRDefault="002B4464" w:rsidP="002B4464">
      <w:pPr>
        <w:pStyle w:val="a0"/>
        <w:ind w:firstLine="420"/>
        <w:rPr>
          <w:lang w:val="en-US"/>
        </w:rPr>
      </w:pPr>
      <w:bookmarkStart w:id="41" w:name="活动场地遮阳覆盖率"/>
      <w:bookmarkEnd w:id="41"/>
    </w:p>
    <w:p w:rsidR="00EA741A" w:rsidRDefault="00EE005A" w:rsidP="00E72EFD">
      <w:pPr>
        <w:pStyle w:val="2"/>
      </w:pPr>
      <w:bookmarkStart w:id="42" w:name="_Toc16494779"/>
      <w:r>
        <w:rPr>
          <w:rFonts w:hint="eastAsia"/>
        </w:rPr>
        <w:t>底层</w:t>
      </w:r>
      <w:r w:rsidR="00E72EFD">
        <w:rPr>
          <w:rFonts w:hint="eastAsia"/>
        </w:rPr>
        <w:t>通风架空率</w:t>
      </w:r>
      <w:bookmarkEnd w:id="42"/>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底层架空面积(㎡)</w:t>
            </w:r>
          </w:p>
        </w:tc>
        <w:tc>
          <w:tcPr>
            <w:vAlign w:val="center"/>
            <w:shd w:val="clear" w:color="auto" w:fill="E6E6E6"/>
          </w:tcPr>
          <w:p>
            <w:pPr>
              <w:jc w:val="center"/>
            </w:pPr>
            <w:r>
              <w:t>基底面积(㎡)</w:t>
            </w:r>
          </w:p>
        </w:tc>
        <w:tc>
          <w:tcPr>
            <w:vAlign w:val="center"/>
            <w:shd w:val="clear" w:color="auto" w:fill="E6E6E6"/>
          </w:tcPr>
          <w:p>
            <w:pPr>
              <w:jc w:val="center"/>
            </w:pPr>
            <w:r>
              <w:t>迎风面宽度(m)</w:t>
            </w:r>
          </w:p>
        </w:tc>
        <w:tc>
          <w:tcPr>
            <w:vAlign w:val="center"/>
            <w:shd w:val="clear" w:color="auto" w:fill="E6E6E6"/>
          </w:tcPr>
          <w:p>
            <w:pPr>
              <w:jc w:val="center"/>
            </w:pPr>
            <w:r>
              <w:t>底层通风架空率(%)</w:t>
            </w:r>
          </w:p>
        </w:tc>
      </w:tr>
      <w:tr>
        <w:tc>
          <w:tcPr>
            <w:vAlign w:val="center"/>
            <w:shd w:val="clear" w:color="auto" w:fill="E6E6E6"/>
          </w:tcPr>
          <w:p>
            <w:pPr/>
            <w:r>
              <w:t>六安市某农业银行</w:t>
            </w:r>
          </w:p>
        </w:tc>
        <w:tc>
          <w:tcPr>
            <w:vAlign w:val="center"/>
          </w:tcPr>
          <w:p>
            <w:pPr/>
            <w:r>
              <w:t>24.1</w:t>
            </w:r>
          </w:p>
        </w:tc>
        <w:tc>
          <w:tcPr>
            <w:vAlign w:val="center"/>
          </w:tcPr>
          <w:p>
            <w:pPr/>
            <w:r>
              <w:t>1386.4</w:t>
            </w:r>
          </w:p>
        </w:tc>
        <w:tc>
          <w:tcPr>
            <w:vAlign w:val="center"/>
          </w:tcPr>
          <w:p>
            <w:pPr/>
            <w:r>
              <w:t>40.8</w:t>
            </w:r>
          </w:p>
        </w:tc>
        <w:tc>
          <w:tcPr>
            <w:vAlign w:val="center"/>
          </w:tcPr>
          <w:p>
            <w:pPr/>
            <w:r>
              <w:t>2</w:t>
            </w:r>
          </w:p>
        </w:tc>
      </w:tr>
      <w:tr>
        <w:tc>
          <w:tcPr>
            <w:vAlign w:val="center"/>
            <w:shd w:val="clear" w:color="auto" w:fill="E6E6E6"/>
          </w:tcPr>
          <w:p>
            <w:pPr/>
            <w:r>
              <w:t>依据</w:t>
            </w:r>
          </w:p>
        </w:tc>
        <w:tc>
          <w:tcPr>
            <w:vAlign w:val="center"/>
            <w:gridSpan w:val="4"/>
          </w:tcPr>
          <w:p>
            <w:pPr/>
            <w:r>
              <w:t>《城市居住区热环境设计标准》4.1.4条</w:t>
            </w:r>
          </w:p>
        </w:tc>
      </w:tr>
      <w:tr>
        <w:tc>
          <w:tcPr>
            <w:vAlign w:val="center"/>
            <w:shd w:val="clear" w:color="auto" w:fill="E6E6E6"/>
          </w:tcPr>
          <w:p>
            <w:pPr/>
            <w:r>
              <w:t>标准要求</w:t>
            </w:r>
          </w:p>
        </w:tc>
        <w:tc>
          <w:tcPr>
            <w:vAlign w:val="center"/>
            <w:gridSpan w:val="4"/>
          </w:tcPr>
          <w:p>
            <w:pPr/>
            <w:r>
              <w:t>III、IV、V气候区，夏季主导风向迎风面积宽度超过80m时，底层通风架空率不应小于10%</w:t>
            </w:r>
          </w:p>
        </w:tc>
      </w:tr>
      <w:tr>
        <w:tc>
          <w:tcPr>
            <w:vAlign w:val="center"/>
            <w:shd w:val="clear" w:color="auto" w:fill="E6E6E6"/>
          </w:tcPr>
          <w:p>
            <w:pPr/>
            <w:r>
              <w:t>结论</w:t>
            </w:r>
          </w:p>
        </w:tc>
        <w:tc>
          <w:tcPr>
            <w:vAlign w:val="center"/>
            <w:gridSpan w:val="4"/>
          </w:tcPr>
          <w:p>
            <w:pPr/>
            <w:r>
              <w:t>满足</w:t>
            </w:r>
          </w:p>
        </w:tc>
      </w:tr>
    </w:tbl>
    <w:p w:rsidR="006C3941" w:rsidRPr="006C3941" w:rsidRDefault="006C3941" w:rsidP="006C3941">
      <w:pPr>
        <w:pStyle w:val="a0"/>
        <w:ind w:firstLine="420"/>
        <w:rPr>
          <w:lang w:val="en-US"/>
        </w:rPr>
      </w:pPr>
      <w:bookmarkStart w:id="43" w:name="底层通风架空率"/>
      <w:bookmarkEnd w:id="43"/>
    </w:p>
    <w:p w:rsidR="00E72EFD" w:rsidRDefault="00E72EFD" w:rsidP="00234F4A">
      <w:pPr>
        <w:pStyle w:val="2"/>
      </w:pPr>
      <w:bookmarkStart w:id="44" w:name="_Toc16494780"/>
      <w:r>
        <w:rPr>
          <w:rFonts w:hint="eastAsia"/>
        </w:rPr>
        <w:t>绿化遮阳体</w:t>
      </w:r>
      <w:r w:rsidR="00613298">
        <w:rPr>
          <w:rFonts w:hint="eastAsia"/>
        </w:rPr>
        <w:t>叶面积指数</w:t>
      </w:r>
      <w:bookmarkEnd w:id="44"/>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遮阳体类型</w:t>
            </w:r>
          </w:p>
        </w:tc>
        <w:tc>
          <w:tcPr>
            <w:vAlign w:val="center"/>
            <w:shd w:val="clear" w:color="auto" w:fill="E6E6E6"/>
          </w:tcPr>
          <w:p>
            <w:pPr>
              <w:jc w:val="center"/>
            </w:pPr>
            <w:r>
              <w:t>叶面积指数</w:t>
            </w:r>
          </w:p>
        </w:tc>
        <w:tc>
          <w:tcPr>
            <w:vAlign w:val="center"/>
            <w:shd w:val="clear" w:color="auto" w:fill="E6E6E6"/>
          </w:tcPr>
          <w:p>
            <w:pPr>
              <w:jc w:val="center"/>
            </w:pPr>
            <w:r>
              <w:t>面积(㎡)</w:t>
            </w:r>
          </w:p>
        </w:tc>
      </w:tr>
      <w:tr>
        <w:tc>
          <w:tcPr>
            <w:vAlign w:val="center"/>
            <w:shd w:val="clear" w:color="auto" w:fill="E6E6E6"/>
            <w:vMerge w:val="restart"/>
          </w:tcPr>
          <w:p>
            <w:pPr/>
            <w:r>
              <w:t>乔木</w:t>
            </w:r>
          </w:p>
        </w:tc>
        <w:tc>
          <w:tcPr>
            <w:vAlign w:val="center"/>
          </w:tcPr>
          <w:p>
            <w:pPr/>
            <w:r>
              <w:t>LAI&gt;3</w:t>
            </w:r>
          </w:p>
        </w:tc>
        <w:tc>
          <w:tcPr>
            <w:vAlign w:val="center"/>
          </w:tcPr>
          <w:p>
            <w:pPr/>
            <w:r>
              <w:t>16257</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vMerge w:val="restart"/>
          </w:tcPr>
          <w:p>
            <w:pPr/>
            <w:r>
              <w:t>爬藤棚架</w:t>
            </w:r>
          </w:p>
        </w:tc>
        <w:tc>
          <w:tcPr>
            <w:vAlign w:val="center"/>
          </w:tcPr>
          <w:p>
            <w:pPr/>
            <w:r>
              <w:t>LAI&gt;3</w:t>
            </w:r>
          </w:p>
        </w:tc>
        <w:tc>
          <w:tcPr>
            <w:vAlign w:val="center"/>
          </w:tcPr>
          <w:p>
            <w:pPr/>
            <w:r>
              <w:t>0</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tcPr>
          <w:p>
            <w:pPr/>
            <w:r>
              <w:t>依据</w:t>
            </w:r>
          </w:p>
        </w:tc>
        <w:tc>
          <w:tcPr>
            <w:vAlign w:val="center"/>
            <w:gridSpan w:val="2"/>
          </w:tcPr>
          <w:p>
            <w:pPr/>
            <w:r>
              <w:t>《城市居住区热环境设计标准》4.2.3条</w:t>
            </w:r>
          </w:p>
        </w:tc>
      </w:tr>
      <w:tr>
        <w:tc>
          <w:tcPr>
            <w:vAlign w:val="center"/>
            <w:shd w:val="clear" w:color="auto" w:fill="E6E6E6"/>
          </w:tcPr>
          <w:p>
            <w:pPr/>
            <w:r>
              <w:t>标准要求</w:t>
            </w:r>
          </w:p>
        </w:tc>
        <w:tc>
          <w:tcPr>
            <w:vAlign w:val="center"/>
            <w:gridSpan w:val="2"/>
          </w:tcPr>
          <w:p>
            <w:pPr/>
            <w:r>
              <w:t>绿化遮阳体叶面积指数不应小于3.0</w:t>
            </w:r>
          </w:p>
        </w:tc>
      </w:tr>
      <w:tr>
        <w:tc>
          <w:tcPr>
            <w:vAlign w:val="center"/>
            <w:shd w:val="clear" w:color="auto" w:fill="E6E6E6"/>
          </w:tcPr>
          <w:p>
            <w:pPr/>
            <w:r>
              <w:t>结论</w:t>
            </w:r>
          </w:p>
        </w:tc>
        <w:tc>
          <w:tcPr>
            <w:vAlign w:val="center"/>
            <w:gridSpan w:val="2"/>
          </w:tcPr>
          <w:p>
            <w:pPr/>
            <w:r>
              <w:t>满足</w:t>
            </w:r>
          </w:p>
        </w:tc>
      </w:tr>
    </w:tbl>
    <w:p w:rsidR="00EC70F3" w:rsidRPr="00EC70F3" w:rsidRDefault="00EC70F3" w:rsidP="00EC70F3">
      <w:pPr>
        <w:pStyle w:val="a0"/>
        <w:ind w:firstLine="420"/>
        <w:rPr>
          <w:lang w:val="en-US"/>
        </w:rPr>
      </w:pPr>
      <w:bookmarkStart w:id="45" w:name="绿化遮阳体叶面积指数"/>
      <w:bookmarkEnd w:id="45"/>
    </w:p>
    <w:p w:rsidR="00E72EFD" w:rsidRDefault="00E72EFD" w:rsidP="00E72EFD">
      <w:pPr>
        <w:pStyle w:val="2"/>
      </w:pPr>
      <w:bookmarkStart w:id="46" w:name="_Toc16494781"/>
      <w:r>
        <w:rPr>
          <w:rFonts w:hint="eastAsia"/>
        </w:rPr>
        <w:t>渗透蒸发</w:t>
      </w:r>
      <w:r w:rsidR="00613298">
        <w:rPr>
          <w:rFonts w:hint="eastAsia"/>
        </w:rPr>
        <w:t>指标</w:t>
      </w:r>
      <w:bookmarkEnd w:id="4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地面</w:t>
            </w:r>
          </w:p>
        </w:tc>
        <w:tc>
          <w:tcPr>
            <w:vAlign w:val="center"/>
            <w:shd w:val="clear" w:color="auto" w:fill="E6E6E6"/>
          </w:tcPr>
          <w:p>
            <w:pPr>
              <w:jc w:val="center"/>
            </w:pPr>
            <w:r>
              <w:t>面积(㎡)</w:t>
            </w:r>
          </w:p>
        </w:tc>
        <w:tc>
          <w:tcPr>
            <w:vAlign w:val="center"/>
            <w:shd w:val="clear" w:color="auto" w:fill="E6E6E6"/>
          </w:tcPr>
          <w:p>
            <w:pPr>
              <w:jc w:val="center"/>
            </w:pPr>
            <w:r>
              <w:t>面积所占比例</w:t>
            </w:r>
          </w:p>
        </w:tc>
        <w:tc>
          <w:tcPr>
            <w:vAlign w:val="center"/>
            <w:shd w:val="clear" w:color="auto" w:fill="E6E6E6"/>
          </w:tcPr>
          <w:p>
            <w:pPr>
              <w:jc w:val="center"/>
            </w:pPr>
            <w:r>
              <w:t>地面透水系数k(mm/s)</w:t>
            </w:r>
          </w:p>
        </w:tc>
        <w:tc>
          <w:tcPr>
            <w:vAlign w:val="center"/>
            <w:shd w:val="clear" w:color="auto" w:fill="E6E6E6"/>
          </w:tcPr>
          <w:p>
            <w:pPr>
              <w:jc w:val="center"/>
            </w:pPr>
            <w:r>
              <w:t>蒸发量m</w:t>
            </w:r>
            <w:r>
              <w:br/>
            </w:r>
            <w:r>
              <w:t>(kg/(㎡·d))</w:t>
            </w:r>
          </w:p>
        </w:tc>
      </w:tr>
      <w:tr>
        <w:tc>
          <w:tcPr>
            <w:vAlign w:val="center"/>
            <w:shd w:val="clear" w:color="auto" w:fill="E6E6E6"/>
          </w:tcPr>
          <w:p>
            <w:pPr/>
            <w:r>
              <w:t>游憩场</w:t>
            </w:r>
          </w:p>
        </w:tc>
        <w:tc>
          <w:tcPr>
            <w:vAlign w:val="center"/>
          </w:tcPr>
          <w:p>
            <w:pPr/>
            <w:r>
              <w:t>413</w:t>
            </w:r>
          </w:p>
        </w:tc>
        <w:tc>
          <w:tcPr>
            <w:vAlign w:val="center"/>
          </w:tcPr>
          <w:p>
            <w:pPr/>
            <w:r>
              <w:t>1.000</w:t>
            </w:r>
          </w:p>
        </w:tc>
        <w:tc>
          <w:tcPr>
            <w:vAlign w:val="center"/>
          </w:tcPr>
          <w:p>
            <w:pPr/>
            <w:r>
              <w:t>11.14</w:t>
            </w:r>
          </w:p>
        </w:tc>
        <w:tc>
          <w:tcPr>
            <w:vAlign w:val="center"/>
          </w:tcPr>
          <w:p>
            <w:pPr/>
            <w:r>
              <w:t>1.32</w:t>
            </w:r>
          </w:p>
        </w:tc>
      </w:tr>
      <w:tr>
        <w:tc>
          <w:tcPr>
            <w:vAlign w:val="center"/>
            <w:shd w:val="clear" w:color="auto" w:fill="E6E6E6"/>
          </w:tcPr>
          <w:p>
            <w:pPr/>
            <w:r>
              <w:t>合计</w:t>
            </w:r>
          </w:p>
        </w:tc>
        <w:tc>
          <w:tcPr>
            <w:vAlign w:val="center"/>
          </w:tcPr>
          <w:p>
            <w:pPr/>
            <w:r>
              <w:t>413</w:t>
            </w:r>
          </w:p>
        </w:tc>
        <w:tc>
          <w:tcPr>
            <w:vAlign w:val="center"/>
          </w:tcPr>
          <w:p>
            <w:pPr/>
            <w:r>
              <w:t>1.0</w:t>
            </w:r>
          </w:p>
        </w:tc>
        <w:tc>
          <w:tcPr>
            <w:vAlign w:val="center"/>
          </w:tcPr>
          <w:p>
            <w:pPr/>
            <w:r>
              <w:t>11.14</w:t>
            </w:r>
          </w:p>
        </w:tc>
        <w:tc>
          <w:tcPr>
            <w:vAlign w:val="center"/>
          </w:tcPr>
          <w:p>
            <w:pPr/>
            <w:r>
              <w:t>1.32</w:t>
            </w:r>
          </w:p>
        </w:tc>
      </w:tr>
    </w:tbl>
    <w:p w:rsidR="00FC0388" w:rsidRDefault="00FC0388" w:rsidP="00FC0388">
      <w:pPr>
        <w:pStyle w:val="a0"/>
        <w:ind w:firstLine="420"/>
        <w:rPr>
          <w:lang w:val="en-US"/>
        </w:rPr>
      </w:pPr>
      <w:bookmarkStart w:id="47" w:name="渗透蒸发指标"/>
      <w:bookmarkEnd w:id="4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地面</w:t>
            </w:r>
          </w:p>
        </w:tc>
        <w:tc>
          <w:tcPr>
            <w:vAlign w:val="center"/>
            <w:shd w:val="clear" w:color="auto" w:fill="E6E6E6"/>
          </w:tcPr>
          <w:p>
            <w:pPr>
              <w:jc w:val="center"/>
            </w:pPr>
            <w:r>
              <w:t>渗透面积比率(%)</w:t>
            </w:r>
          </w:p>
        </w:tc>
        <w:tc>
          <w:tcPr>
            <w:vAlign w:val="center"/>
            <w:shd w:val="clear" w:color="auto" w:fill="E6E6E6"/>
          </w:tcPr>
          <w:p>
            <w:pPr>
              <w:jc w:val="center"/>
            </w:pPr>
            <w:r>
              <w:t>限值(%)</w:t>
            </w:r>
          </w:p>
        </w:tc>
      </w:tr>
      <w:tr>
        <w:tc>
          <w:tcPr>
            <w:vAlign w:val="center"/>
            <w:shd w:val="clear" w:color="auto" w:fill="E6E6E6"/>
          </w:tcPr>
          <w:p>
            <w:pPr/>
            <w:r>
              <w:t>游憩场</w:t>
            </w:r>
          </w:p>
        </w:tc>
        <w:tc>
          <w:tcPr>
            <w:vAlign w:val="center"/>
          </w:tcPr>
          <w:p>
            <w:pPr/>
            <w:r>
              <w:t>100</w:t>
            </w:r>
          </w:p>
        </w:tc>
        <w:tc>
          <w:tcPr>
            <w:vAlign w:val="center"/>
          </w:tcPr>
          <w:p>
            <w:pPr/>
            <w:r>
              <w:t>60</w:t>
            </w:r>
          </w:p>
        </w:tc>
      </w:tr>
      <w:tr>
        <w:tc>
          <w:tcPr>
            <w:vAlign w:val="center"/>
            <w:shd w:val="clear" w:color="auto" w:fill="E6E6E6"/>
            <w:gridSpan w:val="3"/>
          </w:tcPr>
          <w:p>
            <w:pPr>
              <w:jc w:val="center"/>
            </w:pPr>
            <w:r>
              <w:t>渗透与蒸发指标</w:t>
            </w:r>
          </w:p>
        </w:tc>
      </w:tr>
      <w:tr>
        <w:tc>
          <w:tcPr>
            <w:vAlign w:val="center"/>
            <w:shd w:val="clear" w:color="auto" w:fill="E6E6E6"/>
          </w:tcPr>
          <w:p>
            <w:pPr>
              <w:jc w:val="center"/>
            </w:pPr>
            <w:r>
              <w:t>指标</w:t>
            </w:r>
          </w:p>
        </w:tc>
        <w:tc>
          <w:tcPr>
            <w:vAlign w:val="center"/>
            <w:shd w:val="clear" w:color="auto" w:fill="E6E6E6"/>
          </w:tcPr>
          <w:p>
            <w:pPr>
              <w:jc w:val="center"/>
            </w:pPr>
            <w:r>
              <w:t>值</w:t>
            </w:r>
          </w:p>
        </w:tc>
        <w:tc>
          <w:tcPr>
            <w:vAlign w:val="center"/>
            <w:shd w:val="clear" w:color="auto" w:fill="E6E6E6"/>
          </w:tcPr>
          <w:p>
            <w:pPr>
              <w:jc w:val="center"/>
            </w:pPr>
            <w:r>
              <w:t>限值</w:t>
            </w:r>
          </w:p>
        </w:tc>
      </w:tr>
      <w:tr>
        <w:tc>
          <w:tcPr>
            <w:vAlign w:val="center"/>
            <w:shd w:val="clear" w:color="auto" w:fill="E6E6E6"/>
          </w:tcPr>
          <w:p>
            <w:pPr/>
            <w:r>
              <w:t>地面透水系数k(mm/s)</w:t>
            </w:r>
          </w:p>
        </w:tc>
        <w:tc>
          <w:tcPr>
            <w:vAlign w:val="center"/>
          </w:tcPr>
          <w:p>
            <w:pPr/>
            <w:r>
              <w:t>11.14</w:t>
            </w:r>
          </w:p>
        </w:tc>
        <w:tc>
          <w:tcPr>
            <w:vAlign w:val="center"/>
          </w:tcPr>
          <w:p>
            <w:pPr/>
            <w:r>
              <w:t>3</w:t>
            </w:r>
          </w:p>
        </w:tc>
      </w:tr>
      <w:tr>
        <w:tc>
          <w:tcPr>
            <w:vAlign w:val="center"/>
            <w:shd w:val="clear" w:color="auto" w:fill="E6E6E6"/>
          </w:tcPr>
          <w:p>
            <w:pPr/>
            <w:r>
              <w:t>蒸发量m(kg/(㎡·d))</w:t>
            </w:r>
          </w:p>
        </w:tc>
        <w:tc>
          <w:tcPr>
            <w:vAlign w:val="center"/>
          </w:tcPr>
          <w:p>
            <w:pPr/>
            <w:r>
              <w:t>1.32</w:t>
            </w:r>
          </w:p>
        </w:tc>
        <w:tc>
          <w:tcPr>
            <w:vAlign w:val="center"/>
          </w:tcPr>
          <w:p>
            <w:pPr/>
            <w:r>
              <w:t>1.3</w:t>
            </w:r>
          </w:p>
        </w:tc>
      </w:tr>
      <w:tr>
        <w:tc>
          <w:tcPr>
            <w:vAlign w:val="center"/>
            <w:shd w:val="clear" w:color="auto" w:fill="E6E6E6"/>
          </w:tcPr>
          <w:p>
            <w:pPr/>
            <w:r>
              <w:t>依据</w:t>
            </w:r>
          </w:p>
        </w:tc>
        <w:tc>
          <w:tcPr>
            <w:vAlign w:val="center"/>
            <w:gridSpan w:val="2"/>
          </w:tcPr>
          <w:p>
            <w:pPr/>
            <w:r>
              <w:t>《城市居住区热环境设计标准》4.3.1条</w:t>
            </w:r>
          </w:p>
        </w:tc>
      </w:tr>
      <w:tr>
        <w:tc>
          <w:tcPr>
            <w:vAlign w:val="center"/>
            <w:shd w:val="clear" w:color="auto" w:fill="E6E6E6"/>
          </w:tcPr>
          <w:p>
            <w:pPr/>
            <w:r>
              <w:t>标准要求</w:t>
            </w:r>
          </w:p>
        </w:tc>
        <w:tc>
          <w:tcPr>
            <w:vAlign w:val="center"/>
            <w:gridSpan w:val="2"/>
          </w:tcPr>
          <w:p>
            <w:pPr/>
            <w:r>
              <w:t>渗透面积比率、透水系数及蒸发量不应低于标准规定限值</w:t>
            </w:r>
          </w:p>
        </w:tc>
      </w:tr>
      <w:tr>
        <w:tc>
          <w:tcPr>
            <w:vAlign w:val="center"/>
            <w:shd w:val="clear" w:color="auto" w:fill="E6E6E6"/>
          </w:tcPr>
          <w:p>
            <w:pPr/>
            <w:r>
              <w:t>结论</w:t>
            </w:r>
          </w:p>
        </w:tc>
        <w:tc>
          <w:tcPr>
            <w:vAlign w:val="center"/>
            <w:gridSpan w:val="2"/>
          </w:tcPr>
          <w:p>
            <w:pPr/>
            <w:r>
              <w:t>满足</w:t>
            </w:r>
          </w:p>
        </w:tc>
      </w:tr>
    </w:tbl>
    <w:p w:rsidR="006B57E0" w:rsidRPr="00FC0388" w:rsidRDefault="006B57E0" w:rsidP="00FC0388">
      <w:pPr>
        <w:pStyle w:val="a0"/>
        <w:ind w:firstLine="420"/>
        <w:rPr>
          <w:lang w:val="en-US"/>
        </w:rPr>
      </w:pPr>
    </w:p>
    <w:p w:rsidR="000B2FE8" w:rsidRDefault="00E72EFD" w:rsidP="000B2FE8">
      <w:pPr>
        <w:pStyle w:val="2"/>
      </w:pPr>
      <w:bookmarkStart w:id="48" w:name="_Toc16494782"/>
      <w:r>
        <w:rPr>
          <w:rFonts w:hint="eastAsia"/>
        </w:rPr>
        <w:t>屋面绿化</w:t>
      </w:r>
      <w:r w:rsidR="00613298">
        <w:rPr>
          <w:rFonts w:hint="eastAsia"/>
        </w:rPr>
        <w:t>率</w:t>
      </w:r>
      <w:bookmarkEnd w:id="4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屋面轮廓面积(㎡)</w:t>
            </w:r>
          </w:p>
        </w:tc>
        <w:tc>
          <w:tcPr>
            <w:vAlign w:val="center"/>
            <w:shd w:val="clear" w:color="auto" w:fill="E6E6E6"/>
          </w:tcPr>
          <w:p>
            <w:pPr>
              <w:jc w:val="center"/>
            </w:pPr>
            <w:r>
              <w:t>屋顶绿化面积(㎡)</w:t>
            </w:r>
          </w:p>
        </w:tc>
        <w:tc>
          <w:tcPr>
            <w:vAlign w:val="center"/>
            <w:shd w:val="clear" w:color="auto" w:fill="E6E6E6"/>
          </w:tcPr>
          <w:p>
            <w:pPr>
              <w:jc w:val="center"/>
            </w:pPr>
            <w:r>
              <w:t>可绿化屋面</w:t>
            </w:r>
            <w:r>
              <w:br/>
            </w:r>
            <w:r>
              <w:t>面积(㎡)</w:t>
            </w:r>
          </w:p>
        </w:tc>
        <w:tc>
          <w:tcPr>
            <w:vAlign w:val="center"/>
            <w:shd w:val="clear" w:color="auto" w:fill="E6E6E6"/>
          </w:tcPr>
          <w:p>
            <w:pPr>
              <w:jc w:val="center"/>
            </w:pPr>
            <w:r>
              <w:t>屋面绿化率(%)</w:t>
            </w:r>
          </w:p>
        </w:tc>
      </w:tr>
      <w:tr>
        <w:tc>
          <w:tcPr>
            <w:vAlign w:val="center"/>
            <w:shd w:val="clear" w:color="auto" w:fill="E6E6E6"/>
          </w:tcPr>
          <w:p>
            <w:pPr/>
            <w:r>
              <w:t>六安市某农业银行</w:t>
            </w:r>
          </w:p>
        </w:tc>
        <w:tc>
          <w:tcPr>
            <w:vAlign w:val="center"/>
          </w:tcPr>
          <w:p>
            <w:pPr/>
            <w:r>
              <w:t>1386.4</w:t>
            </w:r>
          </w:p>
        </w:tc>
        <w:tc>
          <w:tcPr>
            <w:vAlign w:val="center"/>
          </w:tcPr>
          <w:p>
            <w:pPr/>
            <w:r>
              <w:t>1386.4</w:t>
            </w:r>
          </w:p>
        </w:tc>
        <w:tc>
          <w:tcPr>
            <w:vAlign w:val="center"/>
          </w:tcPr>
          <w:p>
            <w:pPr/>
            <w:r>
              <w:t>1386.4</w:t>
            </w:r>
          </w:p>
        </w:tc>
        <w:tc>
          <w:tcPr>
            <w:vAlign w:val="center"/>
          </w:tcPr>
          <w:p>
            <w:pPr/>
            <w:r>
              <w:t>100</w:t>
            </w:r>
          </w:p>
        </w:tc>
      </w:tr>
      <w:tr>
        <w:tc>
          <w:tcPr>
            <w:vAlign w:val="center"/>
            <w:shd w:val="clear" w:color="auto" w:fill="E6E6E6"/>
          </w:tcPr>
          <w:p>
            <w:pPr/>
            <w:r>
              <w:t>合计</w:t>
            </w:r>
          </w:p>
        </w:tc>
        <w:tc>
          <w:tcPr>
            <w:vAlign w:val="center"/>
          </w:tcPr>
          <w:p>
            <w:pPr/>
            <w:r>
              <w:t>1386.4</w:t>
            </w:r>
          </w:p>
        </w:tc>
        <w:tc>
          <w:tcPr>
            <w:vAlign w:val="center"/>
          </w:tcPr>
          <w:p>
            <w:pPr/>
            <w:r>
              <w:t>1386.4</w:t>
            </w:r>
          </w:p>
        </w:tc>
        <w:tc>
          <w:tcPr>
            <w:vAlign w:val="center"/>
          </w:tcPr>
          <w:p>
            <w:pPr/>
            <w:r>
              <w:t>1386.4</w:t>
            </w:r>
          </w:p>
        </w:tc>
        <w:tc>
          <w:tcPr>
            <w:vAlign w:val="center"/>
          </w:tcPr>
          <w:p>
            <w:pPr/>
            <w:r>
              <w:t>100</w:t>
            </w:r>
          </w:p>
        </w:tc>
      </w:tr>
      <w:tr>
        <w:tc>
          <w:tcPr>
            <w:vAlign w:val="center"/>
            <w:shd w:val="clear" w:color="auto" w:fill="E6E6E6"/>
          </w:tcPr>
          <w:p>
            <w:pPr/>
            <w:r>
              <w:t>依据</w:t>
            </w:r>
          </w:p>
        </w:tc>
        <w:tc>
          <w:tcPr>
            <w:vAlign w:val="center"/>
            <w:gridSpan w:val="4"/>
          </w:tcPr>
          <w:p>
            <w:pPr/>
            <w:r>
              <w:t>《城市居住区热环境设计标准》4.4.2条</w:t>
            </w:r>
          </w:p>
        </w:tc>
      </w:tr>
      <w:tr>
        <w:tc>
          <w:tcPr>
            <w:vAlign w:val="center"/>
            <w:shd w:val="clear" w:color="auto" w:fill="E6E6E6"/>
          </w:tcPr>
          <w:p>
            <w:pPr/>
            <w:r>
              <w:t>标准要求</w:t>
            </w:r>
          </w:p>
        </w:tc>
        <w:tc>
          <w:tcPr>
            <w:vAlign w:val="center"/>
            <w:gridSpan w:val="4"/>
          </w:tcPr>
          <w:p>
            <w:pPr/>
            <w:r>
              <w:t>建筑屋面的绿化面积不应低于可绿化屋面面积的50%</w:t>
            </w:r>
          </w:p>
        </w:tc>
      </w:tr>
      <w:tr>
        <w:tc>
          <w:tcPr>
            <w:vAlign w:val="center"/>
            <w:shd w:val="clear" w:color="auto" w:fill="E6E6E6"/>
          </w:tcPr>
          <w:p>
            <w:pPr/>
            <w:r>
              <w:t>结论</w:t>
            </w:r>
          </w:p>
        </w:tc>
        <w:tc>
          <w:tcPr>
            <w:vAlign w:val="center"/>
            <w:gridSpan w:val="4"/>
          </w:tcPr>
          <w:p>
            <w:pPr/>
            <w:r>
              <w:t>满足</w:t>
            </w:r>
          </w:p>
        </w:tc>
      </w:tr>
    </w:tbl>
    <w:p w:rsidR="00E75AC2" w:rsidRPr="00E75AC2" w:rsidRDefault="00E75AC2" w:rsidP="00E75AC2">
      <w:pPr>
        <w:pStyle w:val="a0"/>
        <w:ind w:firstLine="420"/>
        <w:rPr>
          <w:lang w:val="en-US"/>
        </w:rPr>
      </w:pPr>
      <w:bookmarkStart w:id="49" w:name="屋面绿化率"/>
      <w:bookmarkEnd w:id="49"/>
    </w:p>
    <w:p w:rsidR="000B2FE8" w:rsidRDefault="00285189" w:rsidP="000B2FE8">
      <w:pPr>
        <w:pStyle w:val="1"/>
      </w:pPr>
      <w:bookmarkStart w:id="50" w:name="_Toc16494783"/>
      <w:r>
        <w:rPr>
          <w:rFonts w:hint="eastAsia"/>
        </w:rPr>
        <w:lastRenderedPageBreak/>
        <w:t>评价性设计</w:t>
      </w:r>
      <w:bookmarkEnd w:id="50"/>
    </w:p>
    <w:p w:rsidR="008E3905" w:rsidRDefault="00285189" w:rsidP="00234F4A">
      <w:pPr>
        <w:pStyle w:val="2"/>
      </w:pPr>
      <w:bookmarkStart w:id="51" w:name="_Toc16494784"/>
      <w:r>
        <w:rPr>
          <w:rFonts w:hint="eastAsia"/>
        </w:rPr>
        <w:t>平均热岛强度</w:t>
      </w:r>
      <w:bookmarkEnd w:id="51"/>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28.1</w:t>
            </w:r>
          </w:p>
        </w:tc>
        <w:tc>
          <w:tcPr>
            <w:vAlign w:val="center"/>
          </w:tcPr>
          <w:p>
            <w:pPr/>
            <w:r>
              <w:t>1.5</w:t>
            </w:r>
          </w:p>
        </w:tc>
        <w:tc>
          <w:tcPr>
            <w:vAlign w:val="center"/>
          </w:tcPr>
          <w:p>
            <w:pPr/>
            <w:r>
              <w:t>3.4</w:t>
            </w:r>
          </w:p>
        </w:tc>
        <w:tc>
          <w:tcPr>
            <w:vAlign w:val="center"/>
          </w:tcPr>
          <w:p>
            <w:pPr/>
            <w:r>
              <w:t>2.4</w:t>
            </w:r>
          </w:p>
        </w:tc>
        <w:tc>
          <w:tcPr>
            <w:vAlign w:val="center"/>
          </w:tcPr>
          <w:p>
            <w:pPr/>
            <w:r>
              <w:t>23.8</w:t>
            </w:r>
          </w:p>
        </w:tc>
        <w:tc>
          <w:tcPr>
            <w:vAlign w:val="center"/>
          </w:tcPr>
          <w:p>
            <w:pPr/>
            <w:r>
              <w:t>27.4</w:t>
            </w:r>
          </w:p>
        </w:tc>
        <w:tc>
          <w:tcPr>
            <w:vAlign w:val="center"/>
          </w:tcPr>
          <w:p>
            <w:pPr/>
            <w:r>
              <w:t>-3.644</w:t>
            </w:r>
          </w:p>
        </w:tc>
      </w:tr>
      <w:tr>
        <w:tc>
          <w:tcPr>
            <w:vAlign w:val="center"/>
            <w:shd w:val="clear" w:color="auto" w:fill="E6E6E6"/>
          </w:tcPr>
          <w:p>
            <w:pPr/>
            <w:r>
              <w:t>9:00</w:t>
            </w:r>
          </w:p>
        </w:tc>
        <w:tc>
          <w:tcPr>
            <w:vAlign w:val="center"/>
          </w:tcPr>
          <w:p>
            <w:pPr/>
            <w:r>
              <w:t>28.1</w:t>
            </w:r>
          </w:p>
        </w:tc>
        <w:tc>
          <w:tcPr>
            <w:vAlign w:val="center"/>
          </w:tcPr>
          <w:p>
            <w:pPr/>
            <w:r>
              <w:t>2.5</w:t>
            </w:r>
          </w:p>
        </w:tc>
        <w:tc>
          <w:tcPr>
            <w:vAlign w:val="center"/>
          </w:tcPr>
          <w:p>
            <w:pPr/>
            <w:r>
              <w:t>3.1</w:t>
            </w:r>
          </w:p>
        </w:tc>
        <w:tc>
          <w:tcPr>
            <w:vAlign w:val="center"/>
          </w:tcPr>
          <w:p>
            <w:pPr/>
            <w:r>
              <w:t>2.9</w:t>
            </w:r>
          </w:p>
        </w:tc>
        <w:tc>
          <w:tcPr>
            <w:vAlign w:val="center"/>
          </w:tcPr>
          <w:p>
            <w:pPr/>
            <w:r>
              <w:t>24.6</w:t>
            </w:r>
          </w:p>
        </w:tc>
        <w:tc>
          <w:tcPr>
            <w:vAlign w:val="center"/>
          </w:tcPr>
          <w:p>
            <w:pPr/>
            <w:r>
              <w:t>28.3</w:t>
            </w:r>
          </w:p>
        </w:tc>
        <w:tc>
          <w:tcPr>
            <w:vAlign w:val="center"/>
          </w:tcPr>
          <w:p>
            <w:pPr/>
            <w:r>
              <w:t>-3.745</w:t>
            </w:r>
          </w:p>
        </w:tc>
      </w:tr>
      <w:tr>
        <w:tc>
          <w:tcPr>
            <w:vAlign w:val="center"/>
            <w:shd w:val="clear" w:color="auto" w:fill="E6E6E6"/>
          </w:tcPr>
          <w:p>
            <w:pPr/>
            <w:r>
              <w:t>10:00</w:t>
            </w:r>
          </w:p>
        </w:tc>
        <w:tc>
          <w:tcPr>
            <w:vAlign w:val="center"/>
          </w:tcPr>
          <w:p>
            <w:pPr/>
            <w:r>
              <w:t>28.1</w:t>
            </w:r>
          </w:p>
        </w:tc>
        <w:tc>
          <w:tcPr>
            <w:vAlign w:val="center"/>
          </w:tcPr>
          <w:p>
            <w:pPr/>
            <w:r>
              <w:t>3.7</w:t>
            </w:r>
          </w:p>
        </w:tc>
        <w:tc>
          <w:tcPr>
            <w:vAlign w:val="center"/>
          </w:tcPr>
          <w:p>
            <w:pPr/>
            <w:r>
              <w:t>3.2</w:t>
            </w:r>
          </w:p>
        </w:tc>
        <w:tc>
          <w:tcPr>
            <w:vAlign w:val="center"/>
          </w:tcPr>
          <w:p>
            <w:pPr/>
            <w:r>
              <w:t>3.0</w:t>
            </w:r>
          </w:p>
        </w:tc>
        <w:tc>
          <w:tcPr>
            <w:vAlign w:val="center"/>
          </w:tcPr>
          <w:p>
            <w:pPr/>
            <w:r>
              <w:t>25.5</w:t>
            </w:r>
          </w:p>
        </w:tc>
        <w:tc>
          <w:tcPr>
            <w:vAlign w:val="center"/>
          </w:tcPr>
          <w:p>
            <w:pPr/>
            <w:r>
              <w:t>29.2</w:t>
            </w:r>
          </w:p>
        </w:tc>
        <w:tc>
          <w:tcPr>
            <w:vAlign w:val="center"/>
          </w:tcPr>
          <w:p>
            <w:pPr/>
            <w:r>
              <w:t>-3.672</w:t>
            </w:r>
          </w:p>
        </w:tc>
      </w:tr>
      <w:tr>
        <w:tc>
          <w:tcPr>
            <w:vAlign w:val="center"/>
            <w:shd w:val="clear" w:color="auto" w:fill="E6E6E6"/>
          </w:tcPr>
          <w:p>
            <w:pPr/>
            <w:r>
              <w:t>11:00</w:t>
            </w:r>
          </w:p>
        </w:tc>
        <w:tc>
          <w:tcPr>
            <w:vAlign w:val="center"/>
          </w:tcPr>
          <w:p>
            <w:pPr/>
            <w:r>
              <w:t>28.1</w:t>
            </w:r>
          </w:p>
        </w:tc>
        <w:tc>
          <w:tcPr>
            <w:vAlign w:val="center"/>
          </w:tcPr>
          <w:p>
            <w:pPr/>
            <w:r>
              <w:t>4.9</w:t>
            </w:r>
          </w:p>
        </w:tc>
        <w:tc>
          <w:tcPr>
            <w:vAlign w:val="center"/>
          </w:tcPr>
          <w:p>
            <w:pPr/>
            <w:r>
              <w:t>3.2</w:t>
            </w:r>
          </w:p>
        </w:tc>
        <w:tc>
          <w:tcPr>
            <w:vAlign w:val="center"/>
          </w:tcPr>
          <w:p>
            <w:pPr/>
            <w:r>
              <w:t>3.0</w:t>
            </w:r>
          </w:p>
        </w:tc>
        <w:tc>
          <w:tcPr>
            <w:vAlign w:val="center"/>
          </w:tcPr>
          <w:p>
            <w:pPr/>
            <w:r>
              <w:t>26.8</w:t>
            </w:r>
          </w:p>
        </w:tc>
        <w:tc>
          <w:tcPr>
            <w:vAlign w:val="center"/>
          </w:tcPr>
          <w:p>
            <w:pPr/>
            <w:r>
              <w:t>30.1</w:t>
            </w:r>
          </w:p>
        </w:tc>
        <w:tc>
          <w:tcPr>
            <w:vAlign w:val="center"/>
          </w:tcPr>
          <w:p>
            <w:pPr/>
            <w:r>
              <w:t>-3.279</w:t>
            </w:r>
          </w:p>
        </w:tc>
      </w:tr>
      <w:tr>
        <w:tc>
          <w:tcPr>
            <w:vAlign w:val="center"/>
            <w:shd w:val="clear" w:color="auto" w:fill="E6E6E6"/>
          </w:tcPr>
          <w:p>
            <w:pPr/>
            <w:r>
              <w:t>12:00</w:t>
            </w:r>
          </w:p>
        </w:tc>
        <w:tc>
          <w:tcPr>
            <w:vAlign w:val="center"/>
          </w:tcPr>
          <w:p>
            <w:pPr/>
            <w:r>
              <w:t>28.1</w:t>
            </w:r>
          </w:p>
        </w:tc>
        <w:tc>
          <w:tcPr>
            <w:vAlign w:val="center"/>
          </w:tcPr>
          <w:p>
            <w:pPr/>
            <w:r>
              <w:t>6.1</w:t>
            </w:r>
          </w:p>
        </w:tc>
        <w:tc>
          <w:tcPr>
            <w:vAlign w:val="center"/>
          </w:tcPr>
          <w:p>
            <w:pPr/>
            <w:r>
              <w:t>2.9</w:t>
            </w:r>
          </w:p>
        </w:tc>
        <w:tc>
          <w:tcPr>
            <w:vAlign w:val="center"/>
          </w:tcPr>
          <w:p>
            <w:pPr/>
            <w:r>
              <w:t>2.7</w:t>
            </w:r>
          </w:p>
        </w:tc>
        <w:tc>
          <w:tcPr>
            <w:vAlign w:val="center"/>
          </w:tcPr>
          <w:p>
            <w:pPr/>
            <w:r>
              <w:t>28.5</w:t>
            </w:r>
          </w:p>
        </w:tc>
        <w:tc>
          <w:tcPr>
            <w:vAlign w:val="center"/>
          </w:tcPr>
          <w:p>
            <w:pPr/>
            <w:r>
              <w:t>30.8</w:t>
            </w:r>
          </w:p>
        </w:tc>
        <w:tc>
          <w:tcPr>
            <w:vAlign w:val="center"/>
          </w:tcPr>
          <w:p>
            <w:pPr/>
            <w:r>
              <w:t>-2.282</w:t>
            </w:r>
          </w:p>
        </w:tc>
      </w:tr>
      <w:tr>
        <w:tc>
          <w:tcPr>
            <w:vAlign w:val="center"/>
            <w:shd w:val="clear" w:color="auto" w:fill="E6E6E6"/>
          </w:tcPr>
          <w:p>
            <w:pPr/>
            <w:r>
              <w:t>13:00</w:t>
            </w:r>
          </w:p>
        </w:tc>
        <w:tc>
          <w:tcPr>
            <w:vAlign w:val="center"/>
          </w:tcPr>
          <w:p>
            <w:pPr/>
            <w:r>
              <w:t>28.1</w:t>
            </w:r>
          </w:p>
        </w:tc>
        <w:tc>
          <w:tcPr>
            <w:vAlign w:val="center"/>
          </w:tcPr>
          <w:p>
            <w:pPr/>
            <w:r>
              <w:t>7.1</w:t>
            </w:r>
          </w:p>
        </w:tc>
        <w:tc>
          <w:tcPr>
            <w:vAlign w:val="center"/>
          </w:tcPr>
          <w:p>
            <w:pPr/>
            <w:r>
              <w:t>2.9</w:t>
            </w:r>
          </w:p>
        </w:tc>
        <w:tc>
          <w:tcPr>
            <w:vAlign w:val="center"/>
          </w:tcPr>
          <w:p>
            <w:pPr/>
            <w:r>
              <w:t>2.4</w:t>
            </w:r>
          </w:p>
        </w:tc>
        <w:tc>
          <w:tcPr>
            <w:vAlign w:val="center"/>
          </w:tcPr>
          <w:p>
            <w:pPr/>
            <w:r>
              <w:t>29.9</w:t>
            </w:r>
          </w:p>
        </w:tc>
        <w:tc>
          <w:tcPr>
            <w:vAlign w:val="center"/>
          </w:tcPr>
          <w:p>
            <w:pPr/>
            <w:r>
              <w:t>31.1</w:t>
            </w:r>
          </w:p>
        </w:tc>
        <w:tc>
          <w:tcPr>
            <w:vAlign w:val="center"/>
          </w:tcPr>
          <w:p>
            <w:pPr/>
            <w:r>
              <w:t>-1.223</w:t>
            </w:r>
          </w:p>
        </w:tc>
      </w:tr>
      <w:tr>
        <w:tc>
          <w:tcPr>
            <w:vAlign w:val="center"/>
            <w:shd w:val="clear" w:color="auto" w:fill="E6E6E6"/>
          </w:tcPr>
          <w:p>
            <w:pPr/>
            <w:r>
              <w:t>14:00</w:t>
            </w:r>
          </w:p>
        </w:tc>
        <w:tc>
          <w:tcPr>
            <w:vAlign w:val="center"/>
          </w:tcPr>
          <w:p>
            <w:pPr/>
            <w:r>
              <w:t>28.1</w:t>
            </w:r>
          </w:p>
        </w:tc>
        <w:tc>
          <w:tcPr>
            <w:vAlign w:val="center"/>
          </w:tcPr>
          <w:p>
            <w:pPr/>
            <w:r>
              <w:t>7.9</w:t>
            </w:r>
          </w:p>
        </w:tc>
        <w:tc>
          <w:tcPr>
            <w:vAlign w:val="center"/>
          </w:tcPr>
          <w:p>
            <w:pPr/>
            <w:r>
              <w:t>2.9</w:t>
            </w:r>
          </w:p>
        </w:tc>
        <w:tc>
          <w:tcPr>
            <w:vAlign w:val="center"/>
          </w:tcPr>
          <w:p>
            <w:pPr/>
            <w:r>
              <w:t>1.8</w:t>
            </w:r>
          </w:p>
        </w:tc>
        <w:tc>
          <w:tcPr>
            <w:vAlign w:val="center"/>
          </w:tcPr>
          <w:p>
            <w:pPr/>
            <w:r>
              <w:t>31.2</w:t>
            </w:r>
          </w:p>
        </w:tc>
        <w:tc>
          <w:tcPr>
            <w:vAlign w:val="center"/>
          </w:tcPr>
          <w:p>
            <w:pPr/>
            <w:r>
              <w:t>31.0</w:t>
            </w:r>
          </w:p>
        </w:tc>
        <w:tc>
          <w:tcPr>
            <w:vAlign w:val="center"/>
          </w:tcPr>
          <w:p>
            <w:pPr/>
            <w:r>
              <w:t>0.161</w:t>
            </w:r>
          </w:p>
        </w:tc>
      </w:tr>
      <w:tr>
        <w:tc>
          <w:tcPr>
            <w:vAlign w:val="center"/>
            <w:shd w:val="clear" w:color="auto" w:fill="E6E6E6"/>
          </w:tcPr>
          <w:p>
            <w:pPr/>
            <w:r>
              <w:t>15:00</w:t>
            </w:r>
          </w:p>
        </w:tc>
        <w:tc>
          <w:tcPr>
            <w:vAlign w:val="center"/>
          </w:tcPr>
          <w:p>
            <w:pPr/>
            <w:r>
              <w:t>28.1</w:t>
            </w:r>
          </w:p>
        </w:tc>
        <w:tc>
          <w:tcPr>
            <w:vAlign w:val="center"/>
          </w:tcPr>
          <w:p>
            <w:pPr/>
            <w:r>
              <w:t>8.3</w:t>
            </w:r>
          </w:p>
        </w:tc>
        <w:tc>
          <w:tcPr>
            <w:vAlign w:val="center"/>
          </w:tcPr>
          <w:p>
            <w:pPr/>
            <w:r>
              <w:t>2.9</w:t>
            </w:r>
          </w:p>
        </w:tc>
        <w:tc>
          <w:tcPr>
            <w:vAlign w:val="center"/>
          </w:tcPr>
          <w:p>
            <w:pPr/>
            <w:r>
              <w:t>1.6</w:t>
            </w:r>
          </w:p>
        </w:tc>
        <w:tc>
          <w:tcPr>
            <w:vAlign w:val="center"/>
          </w:tcPr>
          <w:p>
            <w:pPr/>
            <w:r>
              <w:t>31.9</w:t>
            </w:r>
          </w:p>
        </w:tc>
        <w:tc>
          <w:tcPr>
            <w:vAlign w:val="center"/>
          </w:tcPr>
          <w:p>
            <w:pPr/>
            <w:r>
              <w:t>30.7</w:t>
            </w:r>
          </w:p>
        </w:tc>
        <w:tc>
          <w:tcPr>
            <w:vAlign w:val="center"/>
          </w:tcPr>
          <w:p>
            <w:pPr/>
            <w:r>
              <w:t>1.230</w:t>
            </w:r>
          </w:p>
        </w:tc>
      </w:tr>
      <w:tr>
        <w:tc>
          <w:tcPr>
            <w:vAlign w:val="center"/>
            <w:shd w:val="clear" w:color="auto" w:fill="E6E6E6"/>
          </w:tcPr>
          <w:p>
            <w:pPr/>
            <w:r>
              <w:t>16:00</w:t>
            </w:r>
          </w:p>
        </w:tc>
        <w:tc>
          <w:tcPr>
            <w:vAlign w:val="center"/>
          </w:tcPr>
          <w:p>
            <w:pPr/>
            <w:r>
              <w:t>28.1</w:t>
            </w:r>
          </w:p>
        </w:tc>
        <w:tc>
          <w:tcPr>
            <w:vAlign w:val="center"/>
          </w:tcPr>
          <w:p>
            <w:pPr/>
            <w:r>
              <w:t>8.5</w:t>
            </w:r>
          </w:p>
        </w:tc>
        <w:tc>
          <w:tcPr>
            <w:vAlign w:val="center"/>
          </w:tcPr>
          <w:p>
            <w:pPr/>
            <w:r>
              <w:t>2.9</w:t>
            </w:r>
          </w:p>
        </w:tc>
        <w:tc>
          <w:tcPr>
            <w:vAlign w:val="center"/>
          </w:tcPr>
          <w:p>
            <w:pPr/>
            <w:r>
              <w:t>1.2</w:t>
            </w:r>
          </w:p>
        </w:tc>
        <w:tc>
          <w:tcPr>
            <w:vAlign w:val="center"/>
          </w:tcPr>
          <w:p>
            <w:pPr/>
            <w:r>
              <w:t>32.5</w:t>
            </w:r>
          </w:p>
        </w:tc>
        <w:tc>
          <w:tcPr>
            <w:vAlign w:val="center"/>
          </w:tcPr>
          <w:p>
            <w:pPr/>
            <w:r>
              <w:t>30.1</w:t>
            </w:r>
          </w:p>
        </w:tc>
        <w:tc>
          <w:tcPr>
            <w:vAlign w:val="center"/>
          </w:tcPr>
          <w:p>
            <w:pPr/>
            <w:r>
              <w:t>2.388</w:t>
            </w:r>
          </w:p>
        </w:tc>
      </w:tr>
      <w:tr>
        <w:tc>
          <w:tcPr>
            <w:vAlign w:val="center"/>
            <w:shd w:val="clear" w:color="auto" w:fill="E6E6E6"/>
          </w:tcPr>
          <w:p>
            <w:pPr/>
            <w:r>
              <w:t>17:00</w:t>
            </w:r>
          </w:p>
        </w:tc>
        <w:tc>
          <w:tcPr>
            <w:vAlign w:val="center"/>
          </w:tcPr>
          <w:p>
            <w:pPr/>
            <w:r>
              <w:t>28.1</w:t>
            </w:r>
          </w:p>
        </w:tc>
        <w:tc>
          <w:tcPr>
            <w:vAlign w:val="center"/>
          </w:tcPr>
          <w:p>
            <w:pPr/>
            <w:r>
              <w:t>8.4</w:t>
            </w:r>
          </w:p>
        </w:tc>
        <w:tc>
          <w:tcPr>
            <w:vAlign w:val="center"/>
          </w:tcPr>
          <w:p>
            <w:pPr/>
            <w:r>
              <w:t>2.8</w:t>
            </w:r>
          </w:p>
        </w:tc>
        <w:tc>
          <w:tcPr>
            <w:vAlign w:val="center"/>
          </w:tcPr>
          <w:p>
            <w:pPr/>
            <w:r>
              <w:t>0.9</w:t>
            </w:r>
          </w:p>
        </w:tc>
        <w:tc>
          <w:tcPr>
            <w:vAlign w:val="center"/>
          </w:tcPr>
          <w:p>
            <w:pPr/>
            <w:r>
              <w:t>32.7</w:t>
            </w:r>
          </w:p>
        </w:tc>
        <w:tc>
          <w:tcPr>
            <w:vAlign w:val="center"/>
          </w:tcPr>
          <w:p>
            <w:pPr/>
            <w:r>
              <w:t>29.4</w:t>
            </w:r>
          </w:p>
        </w:tc>
        <w:tc>
          <w:tcPr>
            <w:vAlign w:val="center"/>
          </w:tcPr>
          <w:p>
            <w:pPr/>
            <w:r>
              <w:t>3.336</w:t>
            </w:r>
          </w:p>
        </w:tc>
      </w:tr>
      <w:tr>
        <w:tc>
          <w:tcPr>
            <w:vAlign w:val="center"/>
            <w:shd w:val="clear" w:color="auto" w:fill="E6E6E6"/>
          </w:tcPr>
          <w:p>
            <w:pPr/>
            <w:r>
              <w:t>18:00</w:t>
            </w:r>
          </w:p>
        </w:tc>
        <w:tc>
          <w:tcPr>
            <w:vAlign w:val="center"/>
          </w:tcPr>
          <w:p>
            <w:pPr/>
            <w:r>
              <w:t>28.1</w:t>
            </w:r>
          </w:p>
        </w:tc>
        <w:tc>
          <w:tcPr>
            <w:vAlign w:val="center"/>
          </w:tcPr>
          <w:p>
            <w:pPr/>
            <w:r>
              <w:t>8.1</w:t>
            </w:r>
          </w:p>
        </w:tc>
        <w:tc>
          <w:tcPr>
            <w:vAlign w:val="center"/>
          </w:tcPr>
          <w:p>
            <w:pPr/>
            <w:r>
              <w:t>2.8</w:t>
            </w:r>
          </w:p>
        </w:tc>
        <w:tc>
          <w:tcPr>
            <w:vAlign w:val="center"/>
          </w:tcPr>
          <w:p>
            <w:pPr/>
            <w:r>
              <w:t>0.6</w:t>
            </w:r>
          </w:p>
        </w:tc>
        <w:tc>
          <w:tcPr>
            <w:vAlign w:val="center"/>
          </w:tcPr>
          <w:p>
            <w:pPr/>
            <w:r>
              <w:t>32.7</w:t>
            </w:r>
          </w:p>
        </w:tc>
        <w:tc>
          <w:tcPr>
            <w:vAlign w:val="center"/>
          </w:tcPr>
          <w:p>
            <w:pPr/>
            <w:r>
              <w:t>28.7</w:t>
            </w:r>
          </w:p>
        </w:tc>
        <w:tc>
          <w:tcPr>
            <w:vAlign w:val="center"/>
          </w:tcPr>
          <w:p>
            <w:pPr/>
            <w:r>
              <w:t>4.027</w:t>
            </w:r>
          </w:p>
        </w:tc>
      </w:tr>
      <w:tr>
        <w:tc>
          <w:tcPr>
            <w:vAlign w:val="center"/>
            <w:shd w:val="clear" w:color="auto" w:fill="E6E6E6"/>
          </w:tcPr>
          <w:p>
            <w:pPr/>
            <w:r>
              <w:t>平均热岛</w:t>
            </w:r>
            <w:r>
              <w:br/>
            </w:r>
            <w:r>
              <w:t>强度(℃)</w:t>
            </w:r>
          </w:p>
        </w:tc>
        <w:tc>
          <w:tcPr>
            <w:vAlign w:val="center"/>
            <w:gridSpan w:val="7"/>
          </w:tcPr>
          <w:p>
            <w:pPr/>
            <w:r>
              <w:t>-0.61</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52" w:name="平均热岛强度"/>
      <w:bookmarkEnd w:id="52"/>
    </w:p>
    <w:p w:rsidR="000B10AF" w:rsidRPr="001D6C1E" w:rsidRDefault="000B10AF" w:rsidP="005812C2">
      <w:pPr>
        <w:pStyle w:val="a0"/>
        <w:ind w:firstLineChars="0" w:firstLine="0"/>
        <w:rPr>
          <w:lang w:val="en-US"/>
        </w:rPr>
      </w:pPr>
      <w:bookmarkStart w:id="53" w:name="平均热岛强度图片"/>
      <w:bookmarkEnd w:id="53"/>
      <w:r xmlns:w="http://schemas.openxmlformats.org/wordprocessingml/2006/main">
        <drawing xmlns="http://schemas.openxmlformats.org/wordprocessingml/2006/main">
          <wp:inline xmlns:wp="http://schemas.openxmlformats.org/drawingml/2006/wordprocessingDrawing" distT="0" distB="0" distL="0" distR="0">
            <wp:extent cx="5667375" cy="26289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7283aafe244a3c"/>
                    <a:stretch>
                      <a:fillRect/>
                    </a:stretch>
                  </pic:blipFill>
                  <pic:spPr>
                    <a:xfrm>
                      <a:off x="0" y="0"/>
                      <a:ext cx="5667375" cy="2628900"/>
                    </a:xfrm>
                    <a:prstGeom prst="rect">
                      <a:avLst/>
                    </a:prstGeom>
                  </pic:spPr>
                </pic:pic>
              </a:graphicData>
            </a:graphic>
          </wp:inline>
        </drawing>
      </w:r>
    </w:p>
    <w:p w:rsidR="000B2FE8" w:rsidRDefault="00285189" w:rsidP="00234F4A">
      <w:pPr>
        <w:pStyle w:val="2"/>
      </w:pPr>
      <w:bookmarkStart w:id="54" w:name="_Toc16494785"/>
      <w:r>
        <w:rPr>
          <w:rFonts w:hint="eastAsia"/>
        </w:rPr>
        <w:t>湿球黑球温度</w:t>
      </w:r>
      <w:bookmarkEnd w:id="5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8:00</w:t>
            </w:r>
          </w:p>
        </w:tc>
        <w:tc>
          <w:tcPr>
            <w:vAlign w:val="center"/>
          </w:tcPr>
          <w:p>
            <w:pPr/>
            <w:r>
              <w:t>23.8</w:t>
            </w:r>
          </w:p>
        </w:tc>
        <w:tc>
          <w:tcPr>
            <w:vAlign w:val="center"/>
          </w:tcPr>
          <w:p>
            <w:pPr/>
            <w:r>
              <w:t>1.0</w:t>
            </w:r>
          </w:p>
        </w:tc>
        <w:tc>
          <w:tcPr>
            <w:vAlign w:val="center"/>
          </w:tcPr>
          <w:p>
            <w:pPr/>
            <w:r>
              <w:t>223.8</w:t>
            </w:r>
          </w:p>
        </w:tc>
        <w:tc>
          <w:tcPr>
            <w:vAlign w:val="center"/>
          </w:tcPr>
          <w:p>
            <w:pPr/>
            <w:r>
              <w:t>67.0</w:t>
            </w:r>
          </w:p>
        </w:tc>
        <w:tc>
          <w:tcPr>
            <w:vAlign w:val="center"/>
          </w:tcPr>
          <w:p>
            <w:pPr/>
            <w:r>
              <w:t>24.7</w:t>
            </w:r>
          </w:p>
        </w:tc>
      </w:tr>
      <w:tr>
        <w:tc>
          <w:tcPr>
            <w:vAlign w:val="center"/>
            <w:shd w:val="clear" w:color="auto" w:fill="E6E6E6"/>
          </w:tcPr>
          <w:p>
            <w:pPr/>
            <w:r>
              <w:t>9:00</w:t>
            </w:r>
          </w:p>
        </w:tc>
        <w:tc>
          <w:tcPr>
            <w:vAlign w:val="center"/>
          </w:tcPr>
          <w:p>
            <w:pPr/>
            <w:r>
              <w:t>24.6</w:t>
            </w:r>
          </w:p>
        </w:tc>
        <w:tc>
          <w:tcPr>
            <w:vAlign w:val="center"/>
          </w:tcPr>
          <w:p>
            <w:pPr/>
            <w:r>
              <w:t>0.9</w:t>
            </w:r>
          </w:p>
        </w:tc>
        <w:tc>
          <w:tcPr>
            <w:vAlign w:val="center"/>
          </w:tcPr>
          <w:p>
            <w:pPr/>
            <w:r>
              <w:t>304.1</w:t>
            </w:r>
          </w:p>
        </w:tc>
        <w:tc>
          <w:tcPr>
            <w:vAlign w:val="center"/>
          </w:tcPr>
          <w:p>
            <w:pPr/>
            <w:r>
              <w:t>91.1</w:t>
            </w:r>
          </w:p>
        </w:tc>
        <w:tc>
          <w:tcPr>
            <w:vAlign w:val="center"/>
          </w:tcPr>
          <w:p>
            <w:pPr/>
            <w:r>
              <w:t>25.1</w:t>
            </w:r>
          </w:p>
        </w:tc>
      </w:tr>
      <w:tr>
        <w:tc>
          <w:tcPr>
            <w:vAlign w:val="center"/>
            <w:shd w:val="clear" w:color="auto" w:fill="E6E6E6"/>
          </w:tcPr>
          <w:p>
            <w:pPr/>
            <w:r>
              <w:t>10:00</w:t>
            </w:r>
          </w:p>
        </w:tc>
        <w:tc>
          <w:tcPr>
            <w:vAlign w:val="center"/>
          </w:tcPr>
          <w:p>
            <w:pPr/>
            <w:r>
              <w:t>25.5</w:t>
            </w:r>
          </w:p>
        </w:tc>
        <w:tc>
          <w:tcPr>
            <w:vAlign w:val="center"/>
          </w:tcPr>
          <w:p>
            <w:pPr/>
            <w:r>
              <w:t>0.9</w:t>
            </w:r>
          </w:p>
        </w:tc>
        <w:tc>
          <w:tcPr>
            <w:vAlign w:val="center"/>
          </w:tcPr>
          <w:p>
            <w:pPr/>
            <w:r>
              <w:t>375.1</w:t>
            </w:r>
          </w:p>
        </w:tc>
        <w:tc>
          <w:tcPr>
            <w:vAlign w:val="center"/>
          </w:tcPr>
          <w:p>
            <w:pPr/>
            <w:r>
              <w:t>112.3</w:t>
            </w:r>
          </w:p>
        </w:tc>
        <w:tc>
          <w:tcPr>
            <w:vAlign w:val="center"/>
          </w:tcPr>
          <w:p>
            <w:pPr/>
            <w:r>
              <w:t>25.5</w:t>
            </w:r>
          </w:p>
        </w:tc>
      </w:tr>
      <w:tr>
        <w:tc>
          <w:tcPr>
            <w:vAlign w:val="center"/>
            <w:shd w:val="clear" w:color="auto" w:fill="E6E6E6"/>
          </w:tcPr>
          <w:p>
            <w:pPr/>
            <w:r>
              <w:t>11:00</w:t>
            </w:r>
          </w:p>
        </w:tc>
        <w:tc>
          <w:tcPr>
            <w:vAlign w:val="center"/>
          </w:tcPr>
          <w:p>
            <w:pPr/>
            <w:r>
              <w:t>26.8</w:t>
            </w:r>
          </w:p>
        </w:tc>
        <w:tc>
          <w:tcPr>
            <w:vAlign w:val="center"/>
          </w:tcPr>
          <w:p>
            <w:pPr/>
            <w:r>
              <w:t>0.8</w:t>
            </w:r>
          </w:p>
        </w:tc>
        <w:tc>
          <w:tcPr>
            <w:vAlign w:val="center"/>
          </w:tcPr>
          <w:p>
            <w:pPr/>
            <w:r>
              <w:t>429.4</w:t>
            </w:r>
          </w:p>
        </w:tc>
        <w:tc>
          <w:tcPr>
            <w:vAlign w:val="center"/>
          </w:tcPr>
          <w:p>
            <w:pPr/>
            <w:r>
              <w:t>128.6</w:t>
            </w:r>
          </w:p>
        </w:tc>
        <w:tc>
          <w:tcPr>
            <w:vAlign w:val="center"/>
          </w:tcPr>
          <w:p>
            <w:pPr/>
            <w:r>
              <w:t>26.2</w:t>
            </w:r>
          </w:p>
        </w:tc>
      </w:tr>
      <w:tr>
        <w:tc>
          <w:tcPr>
            <w:vAlign w:val="center"/>
            <w:shd w:val="clear" w:color="auto" w:fill="E6E6E6"/>
          </w:tcPr>
          <w:p>
            <w:pPr/>
            <w:r>
              <w:t>12:00</w:t>
            </w:r>
          </w:p>
        </w:tc>
        <w:tc>
          <w:tcPr>
            <w:vAlign w:val="center"/>
          </w:tcPr>
          <w:p>
            <w:pPr/>
            <w:r>
              <w:t>28.5</w:t>
            </w:r>
          </w:p>
        </w:tc>
        <w:tc>
          <w:tcPr>
            <w:vAlign w:val="center"/>
          </w:tcPr>
          <w:p>
            <w:pPr/>
            <w:r>
              <w:t>0.7</w:t>
            </w:r>
          </w:p>
        </w:tc>
        <w:tc>
          <w:tcPr>
            <w:vAlign w:val="center"/>
          </w:tcPr>
          <w:p>
            <w:pPr/>
            <w:r>
              <w:t>444.7</w:t>
            </w:r>
          </w:p>
        </w:tc>
        <w:tc>
          <w:tcPr>
            <w:vAlign w:val="center"/>
          </w:tcPr>
          <w:p>
            <w:pPr/>
            <w:r>
              <w:t>133.1</w:t>
            </w:r>
          </w:p>
        </w:tc>
        <w:tc>
          <w:tcPr>
            <w:vAlign w:val="center"/>
          </w:tcPr>
          <w:p>
            <w:pPr/>
            <w:r>
              <w:t>26.8</w:t>
            </w:r>
          </w:p>
        </w:tc>
      </w:tr>
      <w:tr>
        <w:tc>
          <w:tcPr>
            <w:vAlign w:val="center"/>
            <w:shd w:val="clear" w:color="auto" w:fill="E6E6E6"/>
          </w:tcPr>
          <w:p>
            <w:pPr/>
            <w:r>
              <w:t>13:00</w:t>
            </w:r>
          </w:p>
        </w:tc>
        <w:tc>
          <w:tcPr>
            <w:vAlign w:val="center"/>
          </w:tcPr>
          <w:p>
            <w:pPr/>
            <w:r>
              <w:t>29.9</w:t>
            </w:r>
          </w:p>
        </w:tc>
        <w:tc>
          <w:tcPr>
            <w:vAlign w:val="center"/>
          </w:tcPr>
          <w:p>
            <w:pPr/>
            <w:r>
              <w:t>0.7</w:t>
            </w:r>
          </w:p>
        </w:tc>
        <w:tc>
          <w:tcPr>
            <w:vAlign w:val="center"/>
          </w:tcPr>
          <w:p>
            <w:pPr/>
            <w:r>
              <w:t>416.6</w:t>
            </w:r>
          </w:p>
        </w:tc>
        <w:tc>
          <w:tcPr>
            <w:vAlign w:val="center"/>
          </w:tcPr>
          <w:p>
            <w:pPr/>
            <w:r>
              <w:t>124.7</w:t>
            </w:r>
          </w:p>
        </w:tc>
        <w:tc>
          <w:tcPr>
            <w:vAlign w:val="center"/>
          </w:tcPr>
          <w:p>
            <w:pPr/>
            <w:r>
              <w:t>27.3</w:t>
            </w:r>
          </w:p>
        </w:tc>
      </w:tr>
      <w:tr>
        <w:tc>
          <w:tcPr>
            <w:vAlign w:val="center"/>
            <w:shd w:val="clear" w:color="auto" w:fill="E6E6E6"/>
          </w:tcPr>
          <w:p>
            <w:pPr/>
            <w:r>
              <w:t>14:00</w:t>
            </w:r>
          </w:p>
        </w:tc>
        <w:tc>
          <w:tcPr>
            <w:vAlign w:val="center"/>
          </w:tcPr>
          <w:p>
            <w:pPr/>
            <w:r>
              <w:t>31.2</w:t>
            </w:r>
          </w:p>
        </w:tc>
        <w:tc>
          <w:tcPr>
            <w:vAlign w:val="center"/>
          </w:tcPr>
          <w:p>
            <w:pPr/>
            <w:r>
              <w:t>0.6</w:t>
            </w:r>
          </w:p>
        </w:tc>
        <w:tc>
          <w:tcPr>
            <w:vAlign w:val="center"/>
          </w:tcPr>
          <w:p>
            <w:pPr/>
            <w:r>
              <w:t>353.9</w:t>
            </w:r>
          </w:p>
        </w:tc>
        <w:tc>
          <w:tcPr>
            <w:vAlign w:val="center"/>
          </w:tcPr>
          <w:p>
            <w:pPr/>
            <w:r>
              <w:t>105.9</w:t>
            </w:r>
          </w:p>
        </w:tc>
        <w:tc>
          <w:tcPr>
            <w:vAlign w:val="center"/>
          </w:tcPr>
          <w:p>
            <w:pPr/>
            <w:r>
              <w:t>27.7</w:t>
            </w:r>
          </w:p>
        </w:tc>
      </w:tr>
      <w:tr>
        <w:tc>
          <w:tcPr>
            <w:vAlign w:val="center"/>
            <w:shd w:val="clear" w:color="auto" w:fill="E6E6E6"/>
          </w:tcPr>
          <w:p>
            <w:pPr/>
            <w:r>
              <w:t>15:00</w:t>
            </w:r>
          </w:p>
        </w:tc>
        <w:tc>
          <w:tcPr>
            <w:vAlign w:val="center"/>
          </w:tcPr>
          <w:p>
            <w:pPr/>
            <w:r>
              <w:t>31.9</w:t>
            </w:r>
          </w:p>
        </w:tc>
        <w:tc>
          <w:tcPr>
            <w:vAlign w:val="center"/>
          </w:tcPr>
          <w:p>
            <w:pPr/>
            <w:r>
              <w:t>0.6</w:t>
            </w:r>
          </w:p>
        </w:tc>
        <w:tc>
          <w:tcPr>
            <w:vAlign w:val="center"/>
          </w:tcPr>
          <w:p>
            <w:pPr/>
            <w:r>
              <w:t>269.5</w:t>
            </w:r>
          </w:p>
        </w:tc>
        <w:tc>
          <w:tcPr>
            <w:vAlign w:val="center"/>
          </w:tcPr>
          <w:p>
            <w:pPr/>
            <w:r>
              <w:t>80.7</w:t>
            </w:r>
          </w:p>
        </w:tc>
        <w:tc>
          <w:tcPr>
            <w:vAlign w:val="center"/>
          </w:tcPr>
          <w:p>
            <w:pPr/>
            <w:r>
              <w:t>28.0</w:t>
            </w:r>
          </w:p>
        </w:tc>
      </w:tr>
      <w:tr>
        <w:tc>
          <w:tcPr>
            <w:vAlign w:val="center"/>
            <w:shd w:val="clear" w:color="auto" w:fill="E6E6E6"/>
          </w:tcPr>
          <w:p>
            <w:pPr/>
            <w:r>
              <w:t>16:00</w:t>
            </w:r>
          </w:p>
        </w:tc>
        <w:tc>
          <w:tcPr>
            <w:vAlign w:val="center"/>
          </w:tcPr>
          <w:p>
            <w:pPr/>
            <w:r>
              <w:t>32.5</w:t>
            </w:r>
          </w:p>
        </w:tc>
        <w:tc>
          <w:tcPr>
            <w:vAlign w:val="center"/>
          </w:tcPr>
          <w:p>
            <w:pPr/>
            <w:r>
              <w:t>0.6</w:t>
            </w:r>
          </w:p>
        </w:tc>
        <w:tc>
          <w:tcPr>
            <w:vAlign w:val="center"/>
          </w:tcPr>
          <w:p>
            <w:pPr/>
            <w:r>
              <w:t>180.2</w:t>
            </w:r>
          </w:p>
        </w:tc>
        <w:tc>
          <w:tcPr>
            <w:vAlign w:val="center"/>
          </w:tcPr>
          <w:p>
            <w:pPr/>
            <w:r>
              <w:t>53.9</w:t>
            </w:r>
          </w:p>
        </w:tc>
        <w:tc>
          <w:tcPr>
            <w:vAlign w:val="center"/>
          </w:tcPr>
          <w:p>
            <w:pPr/>
            <w:r>
              <w:t>27.9</w:t>
            </w:r>
          </w:p>
        </w:tc>
      </w:tr>
      <w:tr>
        <w:tc>
          <w:tcPr>
            <w:vAlign w:val="center"/>
            <w:shd w:val="clear" w:color="auto" w:fill="E6E6E6"/>
          </w:tcPr>
          <w:p>
            <w:pPr/>
            <w:r>
              <w:t>17:00</w:t>
            </w:r>
          </w:p>
        </w:tc>
        <w:tc>
          <w:tcPr>
            <w:vAlign w:val="center"/>
          </w:tcPr>
          <w:p>
            <w:pPr/>
            <w:r>
              <w:t>32.7</w:t>
            </w:r>
          </w:p>
        </w:tc>
        <w:tc>
          <w:tcPr>
            <w:vAlign w:val="center"/>
          </w:tcPr>
          <w:p>
            <w:pPr/>
            <w:r>
              <w:t>0.6</w:t>
            </w:r>
          </w:p>
        </w:tc>
        <w:tc>
          <w:tcPr>
            <w:vAlign w:val="center"/>
          </w:tcPr>
          <w:p>
            <w:pPr/>
            <w:r>
              <w:t>100.0</w:t>
            </w:r>
          </w:p>
        </w:tc>
        <w:tc>
          <w:tcPr>
            <w:vAlign w:val="center"/>
          </w:tcPr>
          <w:p>
            <w:pPr/>
            <w:r>
              <w:t>29.9</w:t>
            </w:r>
          </w:p>
        </w:tc>
        <w:tc>
          <w:tcPr>
            <w:vAlign w:val="center"/>
          </w:tcPr>
          <w:p>
            <w:pPr/>
            <w:r>
              <w:t>28.0</w:t>
            </w:r>
          </w:p>
        </w:tc>
      </w:tr>
      <w:tr>
        <w:tc>
          <w:tcPr>
            <w:vAlign w:val="center"/>
            <w:shd w:val="clear" w:color="auto" w:fill="E6E6E6"/>
          </w:tcPr>
          <w:p>
            <w:pPr/>
            <w:r>
              <w:t>18:00</w:t>
            </w:r>
          </w:p>
        </w:tc>
        <w:tc>
          <w:tcPr>
            <w:vAlign w:val="center"/>
          </w:tcPr>
          <w:p>
            <w:pPr/>
            <w:r>
              <w:t>32.7</w:t>
            </w:r>
          </w:p>
        </w:tc>
        <w:tc>
          <w:tcPr>
            <w:vAlign w:val="center"/>
          </w:tcPr>
          <w:p>
            <w:pPr/>
            <w:r>
              <w:t>0.6</w:t>
            </w:r>
          </w:p>
        </w:tc>
        <w:tc>
          <w:tcPr>
            <w:vAlign w:val="center"/>
          </w:tcPr>
          <w:p>
            <w:pPr/>
            <w:r>
              <w:t>33.0</w:t>
            </w:r>
          </w:p>
        </w:tc>
        <w:tc>
          <w:tcPr>
            <w:vAlign w:val="center"/>
          </w:tcPr>
          <w:p>
            <w:pPr/>
            <w:r>
              <w:t>9.9</w:t>
            </w:r>
          </w:p>
        </w:tc>
        <w:tc>
          <w:tcPr>
            <w:vAlign w:val="center"/>
          </w:tcPr>
          <w:p>
            <w:pPr/>
            <w:r>
              <w:t>27.8</w:t>
            </w:r>
          </w:p>
        </w:tc>
      </w:tr>
      <w:tr>
        <w:tc>
          <w:tcPr>
            <w:vAlign w:val="center"/>
            <w:shd w:val="clear" w:color="auto" w:fill="E6E6E6"/>
          </w:tcPr>
          <w:p>
            <w:pPr/>
            <w:r>
              <w:t>最大湿球</w:t>
            </w:r>
            <w:r>
              <w:br/>
            </w:r>
            <w:r>
              <w:t>黑球强度(℃)</w:t>
            </w:r>
          </w:p>
        </w:tc>
        <w:tc>
          <w:tcPr>
            <w:vAlign w:val="center"/>
            <w:gridSpan w:val="5"/>
          </w:tcPr>
          <w:p>
            <w:pPr/>
            <w:r>
              <w:t>28.01</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22E6B" w:rsidRDefault="00C22E6B" w:rsidP="00C22E6B">
      <w:pPr>
        <w:pStyle w:val="a0"/>
        <w:ind w:firstLine="420"/>
        <w:rPr>
          <w:lang w:val="en-US"/>
        </w:rPr>
      </w:pPr>
      <w:bookmarkStart w:id="55" w:name="湿球黑球温度"/>
      <w:bookmarkEnd w:id="55"/>
    </w:p>
    <w:p w:rsidR="000B10AF" w:rsidRPr="00C22E6B" w:rsidRDefault="000B10AF" w:rsidP="005812C2">
      <w:pPr>
        <w:pStyle w:val="a0"/>
        <w:ind w:firstLineChars="0" w:firstLine="0"/>
        <w:rPr>
          <w:lang w:val="en-US"/>
        </w:rPr>
      </w:pPr>
      <w:bookmarkStart w:id="56" w:name="湿球黑球温度图片"/>
      <w:bookmarkEnd w:id="56"/>
      <w:r xmlns:w="http://schemas.openxmlformats.org/wordprocessingml/2006/main">
        <drawing xmlns="http://schemas.openxmlformats.org/wordprocessingml/2006/main">
          <wp:inline xmlns:wp="http://schemas.openxmlformats.org/drawingml/2006/wordprocessingDrawing" distT="0" distB="0" distL="0" distR="0">
            <wp:extent cx="5667375" cy="2714625"/>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91aa5593d4b15"/>
                    <a:stretch>
                      <a:fillRect/>
                    </a:stretch>
                  </pic:blipFill>
                  <pic:spPr>
                    <a:xfrm>
                      <a:off x="0" y="0"/>
                      <a:ext cx="5667375" cy="2714625"/>
                    </a:xfrm>
                    <a:prstGeom prst="rect">
                      <a:avLst/>
                    </a:prstGeom>
                  </pic:spPr>
                </pic:pic>
              </a:graphicData>
            </a:graphic>
          </wp:inline>
        </drawing>
      </w:r>
    </w:p>
    <w:p w:rsidR="000B2FE8" w:rsidRDefault="000B2FE8" w:rsidP="000B2FE8">
      <w:pPr>
        <w:pStyle w:val="1"/>
      </w:pPr>
      <w:bookmarkStart w:id="57" w:name="_Toc16494786"/>
      <w:r>
        <w:rPr>
          <w:rFonts w:hint="eastAsia"/>
        </w:rPr>
        <w:t>结论</w:t>
      </w:r>
      <w:bookmarkEnd w:id="57"/>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2800.0018310546875"/>
        <w:gridCol w:w="1866.6679382324219"/>
        <w:gridCol w:w="2800.0018310546875"/>
      </w:tblGrid>
      <w:tr>
        <w:tc>
          <w:tcPr>
            <w:vAlign w:val="center"/>
            <w:shd w:val="clear" w:color="auto" w:fill="E6E6E6"/>
          </w:tcPr>
          <w:p>
            <w:pPr>
              <w:jc w:val="center"/>
            </w:pPr>
            <w:r>
              <w:t>类别</w:t>
            </w:r>
          </w:p>
        </w:tc>
        <w:tc>
          <w:tcPr>
            <w:vAlign w:val="center"/>
            <w:shd w:val="clear" w:color="auto" w:fill="E6E6E6"/>
          </w:tcPr>
          <w:p>
            <w:pPr>
              <w:jc w:val="center"/>
            </w:pPr>
            <w:r>
              <w:t>检查项</w:t>
            </w:r>
          </w:p>
        </w:tc>
        <w:tc>
          <w:tcPr>
            <w:vAlign w:val="center"/>
            <w:shd w:val="clear" w:color="auto" w:fill="E6E6E6"/>
          </w:tcPr>
          <w:p>
            <w:pPr>
              <w:jc w:val="center"/>
            </w:pPr>
            <w:r>
              <w:t>结论</w:t>
            </w:r>
          </w:p>
        </w:tc>
        <w:tc>
          <w:tcPr>
            <w:vAlign w:val="center"/>
            <w:shd w:val="clear" w:color="auto" w:fill="E6E6E6"/>
          </w:tcPr>
          <w:p>
            <w:pPr>
              <w:jc w:val="center"/>
            </w:pPr>
            <w:r>
              <w:t>备注</w:t>
            </w:r>
          </w:p>
        </w:tc>
      </w:tr>
      <w:tr>
        <w:tc>
          <w:tcPr>
            <w:vAlign w:val="center"/>
            <w:shd w:val="clear" w:color="auto" w:fill="E6E6E6"/>
            <w:vMerge w:val="restart"/>
          </w:tcPr>
          <w:p>
            <w:pPr/>
            <w:r>
              <w:rPr>
                <w:b/>
              </w:rPr>
              <w:t>强条</w:t>
            </w:r>
          </w:p>
        </w:tc>
        <w:tc>
          <w:tcPr>
            <w:vAlign w:val="center"/>
          </w:tcPr>
          <w:p>
            <w:pPr/>
            <w:r>
              <w:rPr>
                <w:b/>
              </w:rPr>
              <w:t>平均迎风面积比</w:t>
            </w:r>
          </w:p>
        </w:tc>
        <w:tc>
          <w:tcPr>
            <w:vAlign w:val="center"/>
          </w:tcPr>
          <w:p>
            <w:pPr/>
            <w:r>
              <w:rPr>
                <w:b/>
              </w:rPr>
              <w:t>满足</w:t>
            </w:r>
          </w:p>
        </w:tc>
        <w:tc>
          <w:tcPr>
            <w:vAlign w:val="center"/>
            <w:vMerge w:val="restart"/>
          </w:tcPr>
          <w:p>
            <w:pPr/>
            <w:r>
              <w:rPr>
                <w:b/>
              </w:rPr>
              <w:t>强制条文，必须满足</w:t>
            </w:r>
          </w:p>
        </w:tc>
      </w:tr>
      <w:tr>
        <w:tc>
          <w:tcPr>
            <w:vAlign w:val="center"/>
            <w:shd w:val="clear" w:color="auto" w:fill="E6E6E6"/>
            <w:vMerge/>
          </w:tcPr>
          <w:p>
            <w:pPr/>
          </w:p>
        </w:tc>
        <w:tc>
          <w:tcPr>
            <w:vAlign w:val="center"/>
          </w:tcPr>
          <w:p>
            <w:pPr/>
            <w:r>
              <w:rPr>
                <w:b/>
              </w:rPr>
              <w:t>活动场地遮阳覆盖率</w:t>
            </w:r>
          </w:p>
        </w:tc>
        <w:tc>
          <w:tcPr>
            <w:vAlign w:val="center"/>
          </w:tcPr>
          <w:p>
            <w:pPr/>
            <w:r>
              <w:rPr>
                <w:b/>
              </w:rPr>
              <w:t>满足</w:t>
            </w:r>
          </w:p>
        </w:tc>
        <w:tc>
          <w:tcPr>
            <w:vAlign w:val="center"/>
            <w:vMerge/>
          </w:tcPr>
          <w:p>
            <w:pPr/>
          </w:p>
        </w:tc>
      </w:tr>
      <w:tr>
        <w:tc>
          <w:tcPr>
            <w:vAlign w:val="center"/>
            <w:shd w:val="clear" w:color="auto" w:fill="E6E6E6"/>
            <w:vMerge w:val="restart"/>
          </w:tcPr>
          <w:p>
            <w:pPr/>
            <w:r>
              <w:t>规定性设计</w:t>
            </w:r>
          </w:p>
        </w:tc>
        <w:tc>
          <w:tcPr>
            <w:vAlign w:val="center"/>
          </w:tcPr>
          <w:p>
            <w:pPr/>
            <w:r>
              <w:t>底层通风架空率</w:t>
            </w:r>
          </w:p>
        </w:tc>
        <w:tc>
          <w:tcPr>
            <w:vAlign w:val="center"/>
          </w:tcPr>
          <w:p>
            <w:pPr/>
            <w:r>
              <w:t>满足</w:t>
            </w:r>
          </w:p>
        </w:tc>
        <w:tc>
          <w:tcPr>
            <w:vAlign w:val="center"/>
            <w:vMerge w:val="restart"/>
          </w:tcPr>
          <w:p>
            <w:pPr/>
            <w:r>
              <w:t>不满足任意一条时，进行评价性设计</w:t>
            </w:r>
          </w:p>
        </w:tc>
      </w:tr>
      <w:tr>
        <w:tc>
          <w:tcPr>
            <w:vAlign w:val="center"/>
            <w:shd w:val="clear" w:color="auto" w:fill="E6E6E6"/>
            <w:vMerge/>
          </w:tcPr>
          <w:p>
            <w:pPr/>
          </w:p>
        </w:tc>
        <w:tc>
          <w:tcPr>
            <w:vAlign w:val="center"/>
          </w:tcPr>
          <w:p>
            <w:pPr/>
            <w:r>
              <w:t>绿化遮阳体叶面积指数</w:t>
            </w:r>
          </w:p>
        </w:tc>
        <w:tc>
          <w:tcPr>
            <w:vAlign w:val="center"/>
          </w:tcPr>
          <w:p>
            <w:pPr/>
            <w:r>
              <w:t>满足</w:t>
            </w:r>
          </w:p>
        </w:tc>
        <w:tc>
          <w:tcPr>
            <w:vAlign w:val="center"/>
            <w:vMerge/>
          </w:tcPr>
          <w:p>
            <w:pPr/>
          </w:p>
        </w:tc>
      </w:tr>
      <w:tr>
        <w:tc>
          <w:tcPr>
            <w:vAlign w:val="center"/>
            <w:shd w:val="clear" w:color="auto" w:fill="E6E6E6"/>
            <w:vMerge/>
          </w:tcPr>
          <w:p>
            <w:pPr/>
          </w:p>
        </w:tc>
        <w:tc>
          <w:tcPr>
            <w:vAlign w:val="center"/>
          </w:tcPr>
          <w:p>
            <w:pPr/>
            <w:r>
              <w:t>渗透蒸发指标</w:t>
            </w:r>
          </w:p>
        </w:tc>
        <w:tc>
          <w:tcPr>
            <w:vAlign w:val="center"/>
          </w:tcPr>
          <w:p>
            <w:pPr/>
            <w:r>
              <w:t>满足</w:t>
            </w:r>
          </w:p>
        </w:tc>
        <w:tc>
          <w:tcPr>
            <w:vAlign w:val="center"/>
            <w:vMerge/>
          </w:tcPr>
          <w:p>
            <w:pPr/>
          </w:p>
        </w:tc>
      </w:tr>
      <w:tr>
        <w:tc>
          <w:tcPr>
            <w:vAlign w:val="center"/>
            <w:shd w:val="clear" w:color="auto" w:fill="E6E6E6"/>
            <w:vMerge/>
          </w:tcPr>
          <w:p>
            <w:pPr/>
          </w:p>
        </w:tc>
        <w:tc>
          <w:tcPr>
            <w:vAlign w:val="center"/>
          </w:tcPr>
          <w:p>
            <w:pPr/>
            <w:r>
              <w:t>屋面绿化率</w:t>
            </w:r>
          </w:p>
        </w:tc>
        <w:tc>
          <w:tcPr>
            <w:vAlign w:val="center"/>
          </w:tcPr>
          <w:p>
            <w:pPr/>
            <w:r>
              <w:t>满足</w:t>
            </w:r>
          </w:p>
        </w:tc>
        <w:tc>
          <w:tcPr>
            <w:vAlign w:val="center"/>
            <w:vMerge/>
          </w:tcPr>
          <w:p>
            <w:pPr/>
          </w:p>
        </w:tc>
      </w:tr>
      <w:tr>
        <w:tc>
          <w:tcPr>
            <w:vAlign w:val="center"/>
            <w:shd w:val="clear" w:color="auto" w:fill="E6E6E6"/>
            <w:vMerge w:val="restart"/>
          </w:tcPr>
          <w:p>
            <w:pPr/>
            <w:r>
              <w:t>评价性设计</w:t>
            </w:r>
          </w:p>
        </w:tc>
        <w:tc>
          <w:tcPr>
            <w:vAlign w:val="center"/>
          </w:tcPr>
          <w:p>
            <w:pPr/>
            <w:r>
              <w:t>平均热岛强度</w:t>
            </w:r>
          </w:p>
        </w:tc>
        <w:tc>
          <w:tcPr>
            <w:vAlign w:val="center"/>
          </w:tcPr>
          <w:p>
            <w:pPr/>
            <w:r>
              <w:t>满足</w:t>
            </w:r>
          </w:p>
        </w:tc>
        <w:tc>
          <w:tcPr>
            <w:vAlign w:val="center"/>
            <w:vMerge w:val="restart"/>
          </w:tcPr>
          <w:p>
            <w:pPr/>
            <w:r>
              <w:t>需同时满足强制条文</w:t>
            </w:r>
          </w:p>
        </w:tc>
      </w:tr>
      <w:tr>
        <w:tc>
          <w:tcPr>
            <w:vAlign w:val="center"/>
            <w:shd w:val="clear" w:color="auto" w:fill="E6E6E6"/>
            <w:vMerge/>
          </w:tcPr>
          <w:p>
            <w:pPr/>
          </w:p>
        </w:tc>
        <w:tc>
          <w:tcPr>
            <w:vAlign w:val="center"/>
          </w:tcPr>
          <w:p>
            <w:pPr/>
            <w:r>
              <w:t>湿球黑球温度</w:t>
            </w:r>
          </w:p>
        </w:tc>
        <w:tc>
          <w:tcPr>
            <w:vAlign w:val="center"/>
          </w:tcPr>
          <w:p>
            <w:pPr/>
            <w:r>
              <w:t>满足</w:t>
            </w:r>
          </w:p>
        </w:tc>
        <w:tc>
          <w:tcPr>
            <w:vAlign w:val="center"/>
            <w:vMerge/>
          </w:tcPr>
          <w:p>
            <w:pPr/>
          </w:p>
        </w:tc>
      </w:tr>
      <w:tr>
        <w:tc>
          <w:tcPr>
            <w:vAlign w:val="center"/>
            <w:shd w:val="clear" w:color="auto" w:fill="E6E6E6"/>
            <w:gridSpan w:val="2"/>
          </w:tcPr>
          <w:p>
            <w:pPr/>
            <w:r>
              <w:t>结论</w:t>
            </w:r>
          </w:p>
        </w:tc>
        <w:tc>
          <w:tcPr>
            <w:vAlign w:val="center"/>
            <w:gridSpan w:val="2"/>
          </w:tcPr>
          <w:p>
            <w:pPr/>
            <w:r>
              <w:rPr>
                <w:b/>
              </w:rPr>
              <w:t>满足</w:t>
            </w:r>
          </w:p>
        </w:tc>
      </w:tr>
    </w:tbl>
    <w:p w:rsidR="00940A35" w:rsidRPr="00940A35" w:rsidRDefault="00940A35" w:rsidP="00940A35">
      <w:pPr>
        <w:pStyle w:val="a0"/>
        <w:ind w:firstLine="420"/>
        <w:rPr>
          <w:lang w:val="en-US"/>
        </w:rPr>
      </w:pPr>
      <w:bookmarkStart w:id="58" w:name="结论"/>
      <w:bookmarkEnd w:id="58"/>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1D" w:rsidRDefault="004E291D" w:rsidP="00203A7D">
      <w:r>
        <w:separator/>
      </w:r>
    </w:p>
  </w:endnote>
  <w:endnote w:type="continuationSeparator" w:id="0">
    <w:p w:rsidR="004E291D" w:rsidRDefault="004E29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1D" w:rsidRDefault="004E291D" w:rsidP="00203A7D">
      <w:r>
        <w:separator/>
      </w:r>
    </w:p>
  </w:footnote>
  <w:footnote w:type="continuationSeparator" w:id="0">
    <w:p w:rsidR="004E291D" w:rsidRDefault="004E291D"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F9" w:rsidRDefault="00DD50F9" w:rsidP="00DD50F9">
    <w:pPr>
      <w:pStyle w:val="a4"/>
      <w:jc w:val="left"/>
    </w:pPr>
    <w:r w:rsidRPr="00DD50F9">
      <w:rPr>
        <w:noProof/>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word/media/bc699d3d-8779-48ea-a755-4dfa3cd35a8b.png" Id="R865b417d9b774650" /><Relationship Type="http://schemas.openxmlformats.org/officeDocument/2006/relationships/image" Target="/word/media/873c88ef-9509-4294-832e-08b95a3a11b0.png" Id="Rf646f831231f4d13" /><Relationship Type="http://schemas.openxmlformats.org/officeDocument/2006/relationships/image" Target="/word/media/1cf52c52-ff3c-47b7-8a7c-e37b09039a43.png" Id="R977a42e5f04b469f" /><Relationship Type="http://schemas.openxmlformats.org/officeDocument/2006/relationships/image" Target="/word/media/a9184417-4a45-40f8-82af-7c6dd2884b2d.png" Id="Rb07283aafe244a3c" /><Relationship Type="http://schemas.openxmlformats.org/officeDocument/2006/relationships/image" Target="/word/media/0c2ee457-a60e-41b3-8410-9ddc7a929b97.png" Id="Rde691aa5593d4b15"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住区热环境计算书.dotx</Template>
  <TotalTime>8</TotalTime>
  <Pages>6</Pages>
  <Words>427</Words>
  <Characters>2438</Characters>
  <Application>Microsoft Office Word</Application>
  <DocSecurity>0</DocSecurity>
  <Lines>20</Lines>
  <Paragraphs>5</Paragraphs>
  <ScaleCrop>false</ScaleCrop>
  <Company>ths</Company>
  <LinksUpToDate>false</LinksUpToDate>
  <CharactersWithSpaces>2860</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Jiangx</dc:creator>
  <cp:keywords/>
  <cp:lastModifiedBy>y zx</cp:lastModifiedBy>
  <cp:revision>30</cp:revision>
  <cp:lastPrinted>1899-12-31T16:00:00Z</cp:lastPrinted>
  <dcterms:created xsi:type="dcterms:W3CDTF">2018-07-02T02:06:00Z</dcterms:created>
  <dcterms:modified xsi:type="dcterms:W3CDTF">2019-08-12T01:32:00Z</dcterms:modified>
</cp:coreProperties>
</file>