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保定市主城区城中村连片开发AB0项目东马池村项目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保定市国控集团有限责任公司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参与单位名称：中铁建工集团有限公司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2021年2月26日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主要功能房间照明功率密度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不高于现行值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不高于现行值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满足平均值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气密性等级应为7级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气密性等级应为7级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49.0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36.0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69.0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54.0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总得分：Q=（Q0+Q1+Q2+Q3+Q4+Q5+QA）/10=64.3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97246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7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36068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36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外墙保温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地下工程防水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保温一体化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35.0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