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建筑室内</w:t>
      </w:r>
      <w:r>
        <w:rPr>
          <w:rFonts w:ascii="黑体" w:hAnsi="宋体" w:eastAsia="黑体"/>
          <w:b/>
          <w:bCs/>
          <w:sz w:val="72"/>
          <w:szCs w:val="72"/>
        </w:rPr>
        <w:t>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T13246191331</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79" w:name="_GoBack"/>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_Toc25010 </w:instrText>
      </w:r>
      <w:r>
        <w:rPr>
          <w:rFonts w:ascii="宋体" w:hAnsi="宋体"/>
          <w:caps/>
        </w:rPr>
        <w:fldChar w:fldCharType="separate"/>
      </w:r>
      <w:r>
        <w:rPr>
          <w:rFonts w:hint="eastAsia"/>
        </w:rPr>
        <w:t>1 建筑概况</w:t>
      </w:r>
      <w:r>
        <w:tab/>
      </w:r>
      <w:r>
        <w:fldChar w:fldCharType="begin"/>
      </w:r>
      <w:r>
        <w:instrText xml:space="preserve"> PAGEREF _Toc25010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_Toc18290 </w:instrText>
      </w:r>
      <w:r>
        <w:fldChar w:fldCharType="separate"/>
      </w:r>
      <w:r>
        <w:rPr>
          <w:rFonts w:hint="eastAsia"/>
        </w:rPr>
        <w:t>2 标准依据</w:t>
      </w:r>
      <w:r>
        <w:tab/>
      </w:r>
      <w:r>
        <w:fldChar w:fldCharType="begin"/>
      </w:r>
      <w:r>
        <w:instrText xml:space="preserve"> PAGEREF _Toc18290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_Toc13589 </w:instrText>
      </w:r>
      <w:r>
        <w:fldChar w:fldCharType="separate"/>
      </w:r>
      <w:r>
        <w:rPr>
          <w:rFonts w:hint="eastAsia"/>
        </w:rPr>
        <w:t>3 评价</w:t>
      </w:r>
      <w:r>
        <w:t>要求</w:t>
      </w:r>
      <w:r>
        <w:tab/>
      </w:r>
      <w:r>
        <w:fldChar w:fldCharType="begin"/>
      </w:r>
      <w:r>
        <w:instrText xml:space="preserve"> PAGEREF _Toc13589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_Toc12724 </w:instrText>
      </w:r>
      <w:r>
        <w:fldChar w:fldCharType="separate"/>
      </w:r>
      <w:r>
        <w:rPr>
          <w:rFonts w:hint="eastAsia"/>
          <w:kern w:val="2"/>
        </w:rPr>
        <w:t>4 分析</w:t>
      </w:r>
      <w:r>
        <w:rPr>
          <w:kern w:val="2"/>
        </w:rPr>
        <w:t>目的</w:t>
      </w:r>
      <w:r>
        <w:tab/>
      </w:r>
      <w:r>
        <w:fldChar w:fldCharType="begin"/>
      </w:r>
      <w:r>
        <w:instrText xml:space="preserve"> PAGEREF _Toc12724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_Toc17586 </w:instrText>
      </w:r>
      <w:r>
        <w:fldChar w:fldCharType="separate"/>
      </w:r>
      <w:r>
        <w:rPr>
          <w:rFonts w:hint="eastAsia"/>
          <w:kern w:val="2"/>
        </w:rPr>
        <w:t>5 计算原理</w:t>
      </w:r>
      <w:r>
        <w:tab/>
      </w:r>
      <w:r>
        <w:fldChar w:fldCharType="begin"/>
      </w:r>
      <w:r>
        <w:instrText xml:space="preserve"> PAGEREF _Toc17586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_Toc9435 </w:instrText>
      </w:r>
      <w:r>
        <w:fldChar w:fldCharType="separate"/>
      </w:r>
      <w:r>
        <w:rPr>
          <w:rFonts w:hint="eastAsia"/>
          <w:lang w:val="en-GB"/>
        </w:rPr>
        <w:t xml:space="preserve">5.1 </w:t>
      </w:r>
      <w:r>
        <w:rPr>
          <w:rFonts w:hint="eastAsia"/>
        </w:rPr>
        <w:t>最不利</w:t>
      </w:r>
      <w:r>
        <w:t>房间确定</w:t>
      </w:r>
      <w:r>
        <w:tab/>
      </w:r>
      <w:r>
        <w:fldChar w:fldCharType="begin"/>
      </w:r>
      <w:r>
        <w:instrText xml:space="preserve"> PAGEREF _Toc9435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_Toc24036 </w:instrText>
      </w:r>
      <w:r>
        <w:fldChar w:fldCharType="separate"/>
      </w:r>
      <w:r>
        <w:rPr>
          <w:rFonts w:hint="eastAsia"/>
          <w:lang w:val="en-GB"/>
        </w:rPr>
        <w:t xml:space="preserve">5.2 </w:t>
      </w:r>
      <w:r>
        <w:rPr>
          <w:rFonts w:hint="eastAsia"/>
        </w:rPr>
        <w:t>室内</w:t>
      </w:r>
      <w:r>
        <w:t>噪声级</w:t>
      </w:r>
      <w:r>
        <w:rPr>
          <w:rFonts w:hint="eastAsia"/>
        </w:rPr>
        <w:t>计算</w:t>
      </w:r>
      <w:r>
        <w:tab/>
      </w:r>
      <w:r>
        <w:fldChar w:fldCharType="begin"/>
      </w:r>
      <w:r>
        <w:instrText xml:space="preserve"> PAGEREF _Toc24036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_Toc30577 </w:instrText>
      </w:r>
      <w:r>
        <w:fldChar w:fldCharType="separate"/>
      </w:r>
      <w:r>
        <w:rPr>
          <w:rFonts w:hint="eastAsia"/>
          <w:kern w:val="2"/>
        </w:rPr>
        <w:t>6 计算</w:t>
      </w:r>
      <w:r>
        <w:rPr>
          <w:kern w:val="2"/>
        </w:rPr>
        <w:t>条件</w:t>
      </w:r>
      <w:r>
        <w:tab/>
      </w:r>
      <w:r>
        <w:fldChar w:fldCharType="begin"/>
      </w:r>
      <w:r>
        <w:instrText xml:space="preserve"> PAGEREF _Toc30577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_Toc10560 </w:instrText>
      </w:r>
      <w:r>
        <w:fldChar w:fldCharType="separate"/>
      </w:r>
      <w:r>
        <w:rPr>
          <w:rFonts w:hint="eastAsia"/>
          <w:lang w:val="en-GB"/>
        </w:rPr>
        <w:t xml:space="preserve">6.1 </w:t>
      </w:r>
      <w:r>
        <w:rPr>
          <w:rFonts w:hint="eastAsia"/>
        </w:rPr>
        <w:t>参评建筑</w:t>
      </w:r>
      <w:r>
        <w:t>分析</w:t>
      </w:r>
      <w:r>
        <w:tab/>
      </w:r>
      <w:r>
        <w:fldChar w:fldCharType="begin"/>
      </w:r>
      <w:r>
        <w:instrText xml:space="preserve"> PAGEREF _Toc10560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_Toc29471 </w:instrText>
      </w:r>
      <w:r>
        <w:fldChar w:fldCharType="separate"/>
      </w:r>
      <w:r>
        <w:rPr>
          <w:rFonts w:hint="eastAsia"/>
          <w:lang w:val="en-GB"/>
        </w:rPr>
        <w:t xml:space="preserve">6.2 </w:t>
      </w:r>
      <w:r>
        <w:rPr>
          <w:rFonts w:hint="eastAsia"/>
        </w:rPr>
        <w:t>环境</w:t>
      </w:r>
      <w:r>
        <w:t>噪声分析</w:t>
      </w:r>
      <w:r>
        <w:tab/>
      </w:r>
      <w:r>
        <w:fldChar w:fldCharType="begin"/>
      </w:r>
      <w:r>
        <w:instrText xml:space="preserve"> PAGEREF _Toc29471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_Toc10126 </w:instrText>
      </w:r>
      <w:r>
        <w:fldChar w:fldCharType="separate"/>
      </w:r>
      <w:r>
        <w:rPr>
          <w:rFonts w:hint="eastAsia"/>
          <w:lang w:val="en-GB"/>
        </w:rPr>
        <w:t xml:space="preserve">6.3 </w:t>
      </w:r>
      <w:r>
        <w:rPr>
          <w:rFonts w:hint="eastAsia"/>
        </w:rPr>
        <w:t>建筑</w:t>
      </w:r>
      <w:r>
        <w:t>围护结构隔声与吸声性能</w:t>
      </w:r>
      <w:r>
        <w:tab/>
      </w:r>
      <w:r>
        <w:fldChar w:fldCharType="begin"/>
      </w:r>
      <w:r>
        <w:instrText xml:space="preserve"> PAGEREF _Toc10126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_Toc1094 </w:instrText>
      </w:r>
      <w:r>
        <w:fldChar w:fldCharType="separate"/>
      </w:r>
      <w:r>
        <w:rPr>
          <w:rFonts w:hint="eastAsia"/>
          <w:kern w:val="2"/>
        </w:rPr>
        <w:t>7 计算</w:t>
      </w:r>
      <w:r>
        <w:rPr>
          <w:kern w:val="2"/>
        </w:rPr>
        <w:t>过程</w:t>
      </w:r>
      <w:r>
        <w:tab/>
      </w:r>
      <w:r>
        <w:fldChar w:fldCharType="begin"/>
      </w:r>
      <w:r>
        <w:instrText xml:space="preserve"> PAGEREF _Toc1094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_Toc12160 </w:instrText>
      </w:r>
      <w:r>
        <w:fldChar w:fldCharType="separate"/>
      </w:r>
      <w:r>
        <w:rPr>
          <w:rFonts w:hint="eastAsia"/>
          <w:lang w:val="en-GB"/>
        </w:rPr>
        <w:t xml:space="preserve">7.1 </w:t>
      </w:r>
      <w:r>
        <w:rPr>
          <w:rFonts w:hint="eastAsia"/>
        </w:rPr>
        <w:t>室外</w:t>
      </w:r>
      <w:r>
        <w:t>边界噪声值</w:t>
      </w:r>
      <w:r>
        <w:tab/>
      </w:r>
      <w:r>
        <w:fldChar w:fldCharType="begin"/>
      </w:r>
      <w:r>
        <w:instrText xml:space="preserve"> PAGEREF _Toc12160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_Toc7009 </w:instrText>
      </w:r>
      <w:r>
        <w:fldChar w:fldCharType="separate"/>
      </w:r>
      <w:r>
        <w:rPr>
          <w:rFonts w:hint="eastAsia"/>
          <w:lang w:val="en-GB"/>
        </w:rPr>
        <w:t xml:space="preserve">7.2 </w:t>
      </w:r>
      <w:r>
        <w:rPr>
          <w:rFonts w:hint="eastAsia"/>
        </w:rPr>
        <w:t>建筑</w:t>
      </w:r>
      <w:r>
        <w:t>构件空气声隔声</w:t>
      </w:r>
      <w:r>
        <w:tab/>
      </w:r>
      <w:r>
        <w:fldChar w:fldCharType="begin"/>
      </w:r>
      <w:r>
        <w:instrText xml:space="preserve"> PAGEREF _Toc7009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_Toc14852 </w:instrText>
      </w:r>
      <w:r>
        <w:fldChar w:fldCharType="separate"/>
      </w:r>
      <w:r>
        <w:rPr>
          <w:rFonts w:hint="eastAsia"/>
          <w:lang w:val="en-GB"/>
        </w:rPr>
        <w:t xml:space="preserve">7.3 </w:t>
      </w:r>
      <w:r>
        <w:rPr>
          <w:rFonts w:hint="eastAsia"/>
        </w:rPr>
        <w:t>房间</w:t>
      </w:r>
      <w:r>
        <w:t>总吸声量计算</w:t>
      </w:r>
      <w:r>
        <w:tab/>
      </w:r>
      <w:r>
        <w:fldChar w:fldCharType="begin"/>
      </w:r>
      <w:r>
        <w:instrText xml:space="preserve"> PAGEREF _Toc14852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_Toc30328 </w:instrText>
      </w:r>
      <w:r>
        <w:fldChar w:fldCharType="separate"/>
      </w:r>
      <w:r>
        <w:rPr>
          <w:rFonts w:hint="eastAsia"/>
          <w:lang w:val="en-GB"/>
        </w:rPr>
        <w:t xml:space="preserve">7.4 </w:t>
      </w:r>
      <w:r>
        <w:rPr>
          <w:rFonts w:hint="eastAsia"/>
        </w:rPr>
        <w:t>组合墙</w:t>
      </w:r>
      <w:r>
        <w:t>空气声隔声量计算</w:t>
      </w:r>
      <w:r>
        <w:tab/>
      </w:r>
      <w:r>
        <w:fldChar w:fldCharType="begin"/>
      </w:r>
      <w:r>
        <w:instrText xml:space="preserve"> PAGEREF _Toc30328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_Toc31347 </w:instrText>
      </w:r>
      <w:r>
        <w:fldChar w:fldCharType="separate"/>
      </w:r>
      <w:r>
        <w:rPr>
          <w:rFonts w:hint="eastAsia" w:eastAsia="宋体"/>
          <w:szCs w:val="24"/>
          <w:lang w:val="en-GB"/>
        </w:rPr>
        <w:t xml:space="preserve">7.4.1 </w:t>
      </w:r>
      <w:r>
        <w:rPr>
          <w:rFonts w:hint="eastAsia"/>
        </w:rPr>
        <w:t>组合墙</w:t>
      </w:r>
      <w:r>
        <w:t>空气声有效隔声量</w:t>
      </w:r>
      <w:r>
        <w:tab/>
      </w:r>
      <w:r>
        <w:fldChar w:fldCharType="begin"/>
      </w:r>
      <w:r>
        <w:instrText xml:space="preserve"> PAGEREF _Toc31347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_Toc31534 </w:instrText>
      </w:r>
      <w:r>
        <w:fldChar w:fldCharType="separate"/>
      </w:r>
      <w:r>
        <w:rPr>
          <w:rFonts w:hint="eastAsia" w:eastAsia="宋体"/>
          <w:szCs w:val="24"/>
          <w:lang w:val="en-GB"/>
        </w:rPr>
        <w:t xml:space="preserve">7.4.2 </w:t>
      </w:r>
      <w:r>
        <w:rPr>
          <w:rFonts w:hint="eastAsia"/>
        </w:rPr>
        <w:t>组合墙</w:t>
      </w:r>
      <w:r>
        <w:t>空气声隔声</w:t>
      </w:r>
      <w:r>
        <w:rPr>
          <w:rFonts w:hint="eastAsia"/>
        </w:rPr>
        <w:t>计</w:t>
      </w:r>
      <w:r>
        <w:t>权单值评价量</w:t>
      </w:r>
      <w:r>
        <w:tab/>
      </w:r>
      <w:r>
        <w:fldChar w:fldCharType="begin"/>
      </w:r>
      <w:r>
        <w:instrText xml:space="preserve"> PAGEREF _Toc31534 </w:instrText>
      </w:r>
      <w:r>
        <w:fldChar w:fldCharType="separate"/>
      </w:r>
      <w:r>
        <w:t>13</w:t>
      </w:r>
      <w:r>
        <w:fldChar w:fldCharType="end"/>
      </w:r>
      <w:r>
        <w:fldChar w:fldCharType="end"/>
      </w:r>
    </w:p>
    <w:p>
      <w:pPr>
        <w:pStyle w:val="14"/>
        <w:tabs>
          <w:tab w:val="right" w:leader="dot" w:pos="9070"/>
          <w:tab w:val="clear" w:pos="900"/>
          <w:tab w:val="clear" w:pos="9360"/>
        </w:tabs>
      </w:pPr>
      <w:r>
        <w:fldChar w:fldCharType="begin"/>
      </w:r>
      <w:r>
        <w:instrText xml:space="preserve"> HYPERLINK \l _Toc26856 </w:instrText>
      </w:r>
      <w:r>
        <w:fldChar w:fldCharType="separate"/>
      </w:r>
      <w:r>
        <w:rPr>
          <w:rFonts w:hint="eastAsia" w:eastAsia="宋体"/>
          <w:szCs w:val="24"/>
          <w:lang w:val="en-GB"/>
        </w:rPr>
        <w:t xml:space="preserve">7.4.3 </w:t>
      </w:r>
      <w:r>
        <w:rPr>
          <w:rFonts w:hint="eastAsia"/>
        </w:rPr>
        <w:t>组合墙空气声隔声频谱修正量</w:t>
      </w:r>
      <w:r>
        <w:tab/>
      </w:r>
      <w:r>
        <w:fldChar w:fldCharType="begin"/>
      </w:r>
      <w:r>
        <w:instrText xml:space="preserve"> PAGEREF _Toc26856 </w:instrText>
      </w:r>
      <w:r>
        <w:fldChar w:fldCharType="separate"/>
      </w:r>
      <w:r>
        <w:t>15</w:t>
      </w:r>
      <w:r>
        <w:fldChar w:fldCharType="end"/>
      </w:r>
      <w:r>
        <w:fldChar w:fldCharType="end"/>
      </w:r>
    </w:p>
    <w:p>
      <w:pPr>
        <w:pStyle w:val="14"/>
        <w:tabs>
          <w:tab w:val="right" w:leader="dot" w:pos="9070"/>
          <w:tab w:val="clear" w:pos="900"/>
          <w:tab w:val="clear" w:pos="9360"/>
        </w:tabs>
      </w:pPr>
      <w:r>
        <w:fldChar w:fldCharType="begin"/>
      </w:r>
      <w:r>
        <w:instrText xml:space="preserve"> HYPERLINK \l _Toc20012 </w:instrText>
      </w:r>
      <w:r>
        <w:fldChar w:fldCharType="separate"/>
      </w:r>
      <w:r>
        <w:rPr>
          <w:rFonts w:hint="eastAsia" w:eastAsia="宋体"/>
          <w:szCs w:val="24"/>
          <w:lang w:val="en-GB"/>
        </w:rPr>
        <w:t xml:space="preserve">7.4.4 </w:t>
      </w:r>
      <w:r>
        <w:rPr>
          <w:rFonts w:hint="eastAsia"/>
        </w:rPr>
        <w:t>组合墙隔声量</w:t>
      </w:r>
      <w:r>
        <w:tab/>
      </w:r>
      <w:r>
        <w:fldChar w:fldCharType="begin"/>
      </w:r>
      <w:r>
        <w:instrText xml:space="preserve"> PAGEREF _Toc20012 </w:instrText>
      </w:r>
      <w:r>
        <w:fldChar w:fldCharType="separate"/>
      </w:r>
      <w:r>
        <w:t>15</w:t>
      </w:r>
      <w:r>
        <w:fldChar w:fldCharType="end"/>
      </w:r>
      <w:r>
        <w:fldChar w:fldCharType="end"/>
      </w:r>
    </w:p>
    <w:p>
      <w:pPr>
        <w:pStyle w:val="14"/>
        <w:tabs>
          <w:tab w:val="right" w:leader="dot" w:pos="9070"/>
          <w:tab w:val="clear" w:pos="900"/>
          <w:tab w:val="clear" w:pos="9360"/>
        </w:tabs>
      </w:pPr>
      <w:r>
        <w:fldChar w:fldCharType="begin"/>
      </w:r>
      <w:r>
        <w:instrText xml:space="preserve"> HYPERLINK \l _Toc22649 </w:instrText>
      </w:r>
      <w:r>
        <w:fldChar w:fldCharType="separate"/>
      </w:r>
      <w:r>
        <w:rPr>
          <w:rFonts w:hint="eastAsia" w:eastAsia="宋体"/>
          <w:szCs w:val="24"/>
          <w:lang w:val="en-GB"/>
        </w:rPr>
        <w:t xml:space="preserve">7.4.5 </w:t>
      </w:r>
      <w:r>
        <w:rPr>
          <w:rFonts w:hint="eastAsia"/>
        </w:rPr>
        <w:t>门/窗与墙的间隙对组合墙隔声量的影响</w:t>
      </w:r>
      <w:r>
        <w:tab/>
      </w:r>
      <w:r>
        <w:fldChar w:fldCharType="begin"/>
      </w:r>
      <w:r>
        <w:instrText xml:space="preserve"> PAGEREF _Toc22649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_Toc31479 </w:instrText>
      </w:r>
      <w:r>
        <w:fldChar w:fldCharType="separate"/>
      </w:r>
      <w:r>
        <w:rPr>
          <w:rFonts w:hint="eastAsia"/>
          <w:lang w:val="en-GB"/>
        </w:rPr>
        <w:t xml:space="preserve">7.5 </w:t>
      </w:r>
      <w:r>
        <w:rPr>
          <w:rFonts w:hint="eastAsia"/>
        </w:rPr>
        <w:t>室外环境噪声通过单面组合墙传到室内的噪声级计算</w:t>
      </w:r>
      <w:r>
        <w:tab/>
      </w:r>
      <w:r>
        <w:fldChar w:fldCharType="begin"/>
      </w:r>
      <w:r>
        <w:instrText xml:space="preserve"> PAGEREF _Toc31479 </w:instrText>
      </w:r>
      <w:r>
        <w:fldChar w:fldCharType="separate"/>
      </w:r>
      <w:r>
        <w:t>16</w:t>
      </w:r>
      <w:r>
        <w:fldChar w:fldCharType="end"/>
      </w:r>
      <w:r>
        <w:fldChar w:fldCharType="end"/>
      </w:r>
    </w:p>
    <w:p>
      <w:pPr>
        <w:pStyle w:val="19"/>
        <w:tabs>
          <w:tab w:val="right" w:leader="dot" w:pos="9070"/>
          <w:tab w:val="clear" w:pos="540"/>
          <w:tab w:val="clear" w:pos="9360"/>
        </w:tabs>
      </w:pPr>
      <w:r>
        <w:fldChar w:fldCharType="begin"/>
      </w:r>
      <w:r>
        <w:instrText xml:space="preserve"> HYPERLINK \l _Toc16439 </w:instrText>
      </w:r>
      <w:r>
        <w:fldChar w:fldCharType="separate"/>
      </w:r>
      <w:r>
        <w:rPr>
          <w:rFonts w:hint="eastAsia"/>
          <w:lang w:val="en-GB"/>
        </w:rPr>
        <w:t xml:space="preserve">7.6 </w:t>
      </w:r>
      <w:r>
        <w:rPr>
          <w:rFonts w:hint="eastAsia"/>
        </w:rPr>
        <w:t>室外环境噪声通过多面组合墙传到室内的噪声级计算</w:t>
      </w:r>
      <w:r>
        <w:tab/>
      </w:r>
      <w:r>
        <w:fldChar w:fldCharType="begin"/>
      </w:r>
      <w:r>
        <w:instrText xml:space="preserve"> PAGEREF _Toc16439 </w:instrText>
      </w:r>
      <w:r>
        <w:fldChar w:fldCharType="separate"/>
      </w:r>
      <w:r>
        <w:t>16</w:t>
      </w:r>
      <w:r>
        <w:fldChar w:fldCharType="end"/>
      </w:r>
      <w:r>
        <w:fldChar w:fldCharType="end"/>
      </w:r>
    </w:p>
    <w:p>
      <w:pPr>
        <w:pStyle w:val="19"/>
        <w:tabs>
          <w:tab w:val="right" w:leader="dot" w:pos="9070"/>
          <w:tab w:val="clear" w:pos="540"/>
          <w:tab w:val="clear" w:pos="9360"/>
        </w:tabs>
      </w:pPr>
      <w:r>
        <w:fldChar w:fldCharType="begin"/>
      </w:r>
      <w:r>
        <w:instrText xml:space="preserve"> HYPERLINK \l _Toc22395 </w:instrText>
      </w:r>
      <w:r>
        <w:fldChar w:fldCharType="separate"/>
      </w:r>
      <w:r>
        <w:rPr>
          <w:rFonts w:hint="eastAsia"/>
          <w:lang w:val="en-GB"/>
        </w:rPr>
        <w:t xml:space="preserve">7.7 </w:t>
      </w:r>
      <w:r>
        <w:rPr>
          <w:rFonts w:hint="eastAsia"/>
        </w:rPr>
        <w:t>建筑内声源传到室内的噪声级计算</w:t>
      </w:r>
      <w:r>
        <w:tab/>
      </w:r>
      <w:r>
        <w:fldChar w:fldCharType="begin"/>
      </w:r>
      <w:r>
        <w:instrText xml:space="preserve"> PAGEREF _Toc22395 </w:instrText>
      </w:r>
      <w:r>
        <w:fldChar w:fldCharType="separate"/>
      </w:r>
      <w:r>
        <w:t>17</w:t>
      </w:r>
      <w:r>
        <w:fldChar w:fldCharType="end"/>
      </w:r>
      <w:r>
        <w:fldChar w:fldCharType="end"/>
      </w:r>
    </w:p>
    <w:p>
      <w:pPr>
        <w:pStyle w:val="19"/>
        <w:tabs>
          <w:tab w:val="right" w:leader="dot" w:pos="9070"/>
          <w:tab w:val="clear" w:pos="540"/>
          <w:tab w:val="clear" w:pos="9360"/>
        </w:tabs>
      </w:pPr>
      <w:r>
        <w:fldChar w:fldCharType="begin"/>
      </w:r>
      <w:r>
        <w:instrText xml:space="preserve"> HYPERLINK \l _Toc21781 </w:instrText>
      </w:r>
      <w:r>
        <w:fldChar w:fldCharType="separate"/>
      </w:r>
      <w:r>
        <w:rPr>
          <w:rFonts w:hint="eastAsia"/>
          <w:lang w:val="en-GB"/>
        </w:rPr>
        <w:t xml:space="preserve">7.8 </w:t>
      </w:r>
      <w:r>
        <w:rPr>
          <w:rFonts w:hint="eastAsia"/>
        </w:rPr>
        <w:t>室内噪声级计算</w:t>
      </w:r>
      <w:r>
        <w:tab/>
      </w:r>
      <w:r>
        <w:fldChar w:fldCharType="begin"/>
      </w:r>
      <w:r>
        <w:instrText xml:space="preserve"> PAGEREF _Toc21781 </w:instrText>
      </w:r>
      <w:r>
        <w:fldChar w:fldCharType="separate"/>
      </w:r>
      <w:r>
        <w:t>17</w:t>
      </w:r>
      <w:r>
        <w:fldChar w:fldCharType="end"/>
      </w:r>
      <w:r>
        <w:fldChar w:fldCharType="end"/>
      </w:r>
    </w:p>
    <w:p>
      <w:pPr>
        <w:pStyle w:val="18"/>
        <w:tabs>
          <w:tab w:val="right" w:leader="dot" w:pos="9070"/>
          <w:tab w:val="clear" w:pos="180"/>
          <w:tab w:val="clear" w:pos="9360"/>
        </w:tabs>
      </w:pPr>
      <w:r>
        <w:fldChar w:fldCharType="begin"/>
      </w:r>
      <w:r>
        <w:instrText xml:space="preserve"> HYPERLINK \l _Toc26821 </w:instrText>
      </w:r>
      <w:r>
        <w:fldChar w:fldCharType="separate"/>
      </w:r>
      <w:r>
        <w:rPr>
          <w:rFonts w:hint="eastAsia"/>
          <w:kern w:val="2"/>
        </w:rPr>
        <w:t>8 结论</w:t>
      </w:r>
      <w:r>
        <w:tab/>
      </w:r>
      <w:r>
        <w:fldChar w:fldCharType="begin"/>
      </w:r>
      <w:r>
        <w:instrText xml:space="preserve"> PAGEREF _Toc26821 </w:instrText>
      </w:r>
      <w:r>
        <w:fldChar w:fldCharType="separate"/>
      </w:r>
      <w:r>
        <w:t>18</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9"/>
      <w:bookmarkEnd w:id="10"/>
    </w:p>
    <w:p>
      <w:pPr>
        <w:pStyle w:val="18"/>
      </w:pPr>
    </w:p>
    <w:p>
      <w:pPr>
        <w:pStyle w:val="2"/>
      </w:pPr>
      <w:bookmarkStart w:id="11" w:name="_Toc25010"/>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564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2</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9.0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 (°）</w:t>
            </w:r>
          </w:p>
        </w:tc>
        <w:tc>
          <w:tcPr>
            <w:tcW w:w="6231" w:type="dxa"/>
          </w:tcPr>
          <w:p>
            <w:pPr>
              <w:pStyle w:val="3"/>
              <w:ind w:firstLine="0" w:firstLineChars="0"/>
              <w:rPr>
                <w:rFonts w:ascii="宋体" w:hAnsi="宋体"/>
                <w:lang w:val="en-US"/>
              </w:rPr>
            </w:pPr>
            <w:bookmarkStart w:id="18" w:name="北向角度"/>
            <w:r>
              <w:t>94</w:t>
            </w:r>
            <w:bookmarkEnd w:id="18"/>
          </w:p>
        </w:tc>
      </w:tr>
    </w:tbl>
    <w:p>
      <w:pPr>
        <w:pStyle w:val="3"/>
        <w:ind w:firstLine="0" w:firstLineChars="0"/>
        <w:jc w:val="center"/>
        <w:rPr>
          <w:lang w:val="en-US"/>
        </w:rPr>
      </w:pPr>
      <w:bookmarkStart w:id="19" w:name="围护结构概况"/>
      <w:bookmarkEnd w:id="19"/>
      <w:bookmarkStart w:id="20" w:name="TitleFormat"/>
    </w:p>
    <w:p>
      <w:pPr>
        <w:pStyle w:val="3"/>
        <w:ind w:firstLine="0" w:firstLineChars="0"/>
        <w:jc w:val="center"/>
        <w:rPr>
          <w:rFonts w:hint="eastAsia"/>
          <w:lang w:val="en-US"/>
        </w:rPr>
      </w:pPr>
      <w:bookmarkStart w:id="21" w:name="单体模型观察图"/>
      <w:bookmarkEnd w:id="21"/>
      <w:r>
        <w:rPr>
          <w:rFonts w:hint="eastAsia"/>
          <w:lang w:val="en-US"/>
        </w:rPr>
        <w:t>请先在[模型观察]命令中保存图片！</w:t>
      </w:r>
    </w:p>
    <w:p>
      <w:pPr>
        <w:jc w:val="center"/>
        <w:rPr>
          <w:rFonts w:ascii="黑体" w:hAnsi="黑体" w:eastAsia="黑体"/>
          <w:lang w:val="en-US"/>
        </w:rPr>
      </w:pPr>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bookmarkStart w:id="22" w:name="_Toc18290"/>
      <w:r>
        <w:rPr>
          <w:rFonts w:hint="eastAsia"/>
        </w:rPr>
        <w:t>标准依据</w:t>
      </w:r>
      <w:bookmarkEnd w:id="22"/>
    </w:p>
    <w:bookmarkEnd w:id="20"/>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rFonts w:hint="eastAsia"/>
          <w:kern w:val="2"/>
          <w:szCs w:val="24"/>
          <w:lang w:val="en-US"/>
        </w:rPr>
      </w:pPr>
      <w:r>
        <w:rPr>
          <w:rFonts w:hint="eastAsia"/>
          <w:kern w:val="2"/>
          <w:szCs w:val="24"/>
          <w:lang w:val="en-US"/>
        </w:rPr>
        <w:t xml:space="preserve">《民用建筑绿色性能计算标准》JGJT_449-2018 </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 xml:space="preserve"> 建筑设计图纸相关文件</w:t>
      </w:r>
    </w:p>
    <w:p>
      <w:pPr>
        <w:pStyle w:val="2"/>
      </w:pPr>
      <w:bookmarkStart w:id="24" w:name="_Toc13589"/>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bookmarkStart w:id="25" w:name="_Toc12724"/>
      <w:r>
        <w:rPr>
          <w:rFonts w:hint="eastAsia"/>
          <w:kern w:val="2"/>
        </w:rPr>
        <w:t>分析</w:t>
      </w:r>
      <w:r>
        <w:rPr>
          <w:kern w:val="2"/>
        </w:rPr>
        <w:t>目的</w:t>
      </w:r>
      <w:bookmarkEnd w:id="25"/>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6" w:name="最不利房间编号3"/>
      <w:r>
        <w:rPr>
          <w:rFonts w:hint="eastAsia"/>
          <w:lang w:val="en-US"/>
        </w:rPr>
        <w:t>1007[卧室]</w:t>
      </w:r>
      <w:bookmarkEnd w:id="26"/>
      <w:r>
        <w:rPr>
          <w:rFonts w:hint="eastAsia"/>
          <w:lang w:val="en-US"/>
        </w:rPr>
        <w:t>，最终评估该房间的达标情况。</w:t>
      </w:r>
    </w:p>
    <w:p>
      <w:pPr>
        <w:pStyle w:val="3"/>
        <w:ind w:firstLine="420"/>
        <w:rPr>
          <w:lang w:val="en-US"/>
        </w:rPr>
      </w:pPr>
    </w:p>
    <w:p>
      <w:pPr>
        <w:pStyle w:val="2"/>
        <w:rPr>
          <w:kern w:val="2"/>
        </w:rPr>
      </w:pPr>
      <w:bookmarkStart w:id="27" w:name="_Toc17586"/>
      <w:r>
        <w:rPr>
          <w:rFonts w:hint="eastAsia"/>
          <w:kern w:val="2"/>
        </w:rPr>
        <w:t>计算原理</w:t>
      </w:r>
      <w:bookmarkEnd w:id="27"/>
    </w:p>
    <w:p>
      <w:pPr>
        <w:pStyle w:val="4"/>
      </w:pPr>
      <w:bookmarkStart w:id="28" w:name="_Toc9435"/>
      <w:r>
        <w:rPr>
          <w:rFonts w:hint="eastAsia"/>
        </w:rPr>
        <w:t>最不利</w:t>
      </w:r>
      <w:r>
        <w:t>房间确定</w:t>
      </w:r>
      <w:bookmarkEnd w:id="28"/>
    </w:p>
    <w:p>
      <w:pPr>
        <w:pStyle w:val="3"/>
        <w:numPr>
          <w:ilvl w:val="0"/>
          <w:numId w:val="3"/>
        </w:numPr>
        <w:ind w:firstLineChars="0"/>
        <w:rPr>
          <w:lang w:val="en-US"/>
        </w:rPr>
      </w:pPr>
      <w:bookmarkStart w:id="29" w:name="_Hlk498956250"/>
      <w:bookmarkStart w:id="30" w:name="_Toc438716944"/>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9"/>
    </w:p>
    <w:p>
      <w:pPr>
        <w:pStyle w:val="4"/>
      </w:pPr>
      <w:bookmarkStart w:id="31" w:name="_Toc24036"/>
      <w:r>
        <w:rPr>
          <w:rFonts w:hint="eastAsia"/>
        </w:rPr>
        <w:t>室内</w:t>
      </w:r>
      <w:r>
        <w:t>噪声级</w:t>
      </w:r>
      <w:r>
        <w:rPr>
          <w:rFonts w:hint="eastAsia"/>
        </w:rPr>
        <w:t>计算</w:t>
      </w:r>
      <w:bookmarkEnd w:id="31"/>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w:t>
      </w:r>
      <w:r>
        <w:rPr>
          <w:rFonts w:hint="eastAsia"/>
          <w:kern w:val="2"/>
          <w:lang w:val="en-US"/>
        </w:rPr>
        <w:t>设计</w:t>
      </w:r>
      <w:r>
        <w:rPr>
          <w:kern w:val="2"/>
          <w:lang w:val="en-US"/>
        </w:rPr>
        <w:t>。</w:t>
      </w:r>
    </w:p>
    <w:p>
      <w:pPr>
        <w:spacing w:line="276" w:lineRule="auto"/>
        <w:ind w:left="420"/>
        <w:rPr>
          <w:kern w:val="2"/>
          <w:szCs w:val="21"/>
          <w:lang w:val="en-US"/>
        </w:rPr>
      </w:pPr>
      <w:r>
        <w:rPr>
          <w:rFonts w:hint="eastAsia"/>
          <w:kern w:val="2"/>
          <w:szCs w:val="21"/>
          <w:lang w:val="en-US"/>
        </w:rPr>
        <w:t>2．室内噪声的组成：室外环境噪声经过外围护结构传到室内的噪声、建筑内相邻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设备经过内围护结构传到室内的噪声以及室内噪声源产生噪声。</w:t>
      </w:r>
    </w:p>
    <w:p>
      <w:pPr>
        <w:spacing w:line="276" w:lineRule="auto"/>
        <w:ind w:left="420"/>
        <w:jc w:val="center"/>
        <w:rPr>
          <w:kern w:val="2"/>
          <w:szCs w:val="21"/>
          <w:lang w:val="en-US"/>
        </w:rPr>
      </w:pPr>
      <w:r>
        <w:rPr>
          <w:lang w:val="en-US"/>
        </w:rPr>
        <w:drawing>
          <wp:inline distT="0" distB="0" distL="0" distR="0">
            <wp:extent cx="3333115" cy="263334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46245" cy="2643422"/>
                    </a:xfrm>
                    <a:prstGeom prst="rect">
                      <a:avLst/>
                    </a:prstGeom>
                  </pic:spPr>
                </pic:pic>
              </a:graphicData>
            </a:graphic>
          </wp:inline>
        </w:drawing>
      </w:r>
    </w:p>
    <w:p>
      <w:pPr>
        <w:spacing w:line="276" w:lineRule="auto"/>
        <w:jc w:val="center"/>
        <w:rPr>
          <w:kern w:val="2"/>
          <w:szCs w:val="21"/>
          <w:lang w:val="en-US"/>
        </w:rPr>
      </w:pPr>
      <w:r>
        <w:rPr>
          <w:rFonts w:hint="eastAsia" w:ascii="黑体" w:hAnsi="黑体" w:eastAsia="黑体"/>
          <w:lang w:val="en-US"/>
        </w:rPr>
        <w:t xml:space="preserve"> 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735" w:firstLineChars="35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w:t>
      </w:r>
      <w:r>
        <w:rPr>
          <w:kern w:val="2"/>
          <w:szCs w:val="21"/>
          <w:lang w:val="en-US"/>
        </w:rPr>
        <w:t>的计权隔声量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5pt;width:379.3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jc w:val="center"/>
        <w:rPr>
          <w:lang w:val="en-US"/>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bookmarkStart w:id="32" w:name="_Toc30577"/>
      <w:r>
        <w:rPr>
          <w:rFonts w:hint="eastAsia"/>
          <w:kern w:val="2"/>
        </w:rPr>
        <w:t>计算</w:t>
      </w:r>
      <w:r>
        <w:rPr>
          <w:kern w:val="2"/>
        </w:rPr>
        <w:t>条件</w:t>
      </w:r>
      <w:bookmarkEnd w:id="32"/>
    </w:p>
    <w:p>
      <w:pPr>
        <w:pStyle w:val="4"/>
      </w:pPr>
      <w:bookmarkStart w:id="33" w:name="_Toc10560"/>
      <w:r>
        <w:rPr>
          <w:rFonts w:hint="eastAsia"/>
        </w:rPr>
        <w:t>参评建筑</w:t>
      </w:r>
      <w:r>
        <w:t>分析</w:t>
      </w:r>
      <w:bookmarkEnd w:id="33"/>
    </w:p>
    <w:p>
      <w:pPr>
        <w:pStyle w:val="3"/>
        <w:ind w:firstLine="420"/>
        <w:rPr>
          <w:lang w:val="en-US"/>
        </w:rPr>
      </w:pPr>
      <w:bookmarkStart w:id="34" w:name="参评建筑与场地声环境平面图"/>
      <w:bookmarkEnd w:id="34"/>
      <w:r>
        <w:drawing>
          <wp:inline distT="0" distB="0" distL="0" distR="0">
            <wp:extent cx="5667375" cy="4362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4362450"/>
                    </a:xfrm>
                    <a:prstGeom prst="rect">
                      <a:avLst/>
                    </a:prstGeom>
                  </pic:spPr>
                </pic:pic>
              </a:graphicData>
            </a:graphic>
          </wp:inline>
        </w:drawing>
      </w:r>
    </w:p>
    <w:p>
      <w:pPr>
        <w:ind w:firstLine="2520" w:firstLineChars="1200"/>
        <w:rPr>
          <w:rFonts w:ascii="黑体" w:hAnsi="黑体" w:eastAsia="黑体"/>
          <w:lang w:val="en-US"/>
        </w:rPr>
      </w:pPr>
      <w:r>
        <w:rPr>
          <w:rFonts w:hint="eastAsia" w:ascii="黑体" w:hAnsi="黑体" w:eastAsia="黑体"/>
          <w:lang w:val="en-US"/>
        </w:rPr>
        <w:t>图6.1-1参评建筑与场地声环境平面图</w:t>
      </w:r>
    </w:p>
    <w:p>
      <w:pPr>
        <w:pStyle w:val="4"/>
      </w:pPr>
      <w:bookmarkStart w:id="35" w:name="_Toc29471"/>
      <w:r>
        <w:rPr>
          <w:rFonts w:hint="eastAsia"/>
        </w:rPr>
        <w:t>环境</w:t>
      </w:r>
      <w:r>
        <w:t>噪声分析</w:t>
      </w:r>
      <w:bookmarkEnd w:id="35"/>
    </w:p>
    <w:p>
      <w:pPr>
        <w:pStyle w:val="3"/>
        <w:ind w:firstLine="420"/>
        <w:rPr>
          <w:lang w:val="en-US"/>
        </w:rPr>
      </w:pPr>
      <w:r>
        <w:rPr>
          <w:rFonts w:hint="eastAsia"/>
          <w:lang w:val="en-US"/>
        </w:rPr>
        <w:t>通过室外场地噪声模拟可提取参评建筑边界噪声，进一步可以获得最不利房间周边环境噪声值</w:t>
      </w:r>
    </w:p>
    <w:p>
      <w:pPr>
        <w:pStyle w:val="3"/>
        <w:ind w:firstLine="420"/>
        <w:jc w:val="left"/>
        <w:rPr>
          <w:lang w:val="en-US"/>
        </w:rPr>
      </w:pPr>
      <w:bookmarkStart w:id="36" w:name="参评建筑边界噪声图昼间"/>
      <w:bookmarkEnd w:id="36"/>
    </w:p>
    <w:p>
      <w:pPr>
        <w:ind w:firstLine="2520" w:firstLineChars="1200"/>
        <w:rPr>
          <w:sz w:val="18"/>
          <w:szCs w:val="18"/>
          <w:lang w:val="en-US"/>
        </w:rPr>
      </w:pPr>
      <w:r>
        <w:rPr>
          <w:rFonts w:hint="eastAsia" w:ascii="黑体" w:hAnsi="黑体" w:eastAsia="黑体"/>
          <w:lang w:val="en-US"/>
        </w:rPr>
        <w:t>图6.2-1参评建筑边界噪声图-昼间</w:t>
      </w:r>
    </w:p>
    <w:p>
      <w:pPr>
        <w:pStyle w:val="3"/>
        <w:ind w:firstLine="360"/>
        <w:jc w:val="left"/>
        <w:rPr>
          <w:sz w:val="18"/>
          <w:szCs w:val="18"/>
          <w:lang w:val="en-US"/>
        </w:rPr>
      </w:pPr>
      <w:r>
        <w:rPr>
          <w:rFonts w:hint="eastAsia"/>
          <w:sz w:val="18"/>
          <w:szCs w:val="18"/>
          <w:lang w:val="en-US"/>
        </w:rPr>
        <w:t xml:space="preserve"> </w:t>
      </w:r>
      <w:bookmarkStart w:id="37" w:name="参评建筑边界噪声图夜间"/>
      <w:bookmarkEnd w:id="37"/>
    </w:p>
    <w:p>
      <w:pPr>
        <w:ind w:firstLine="2520" w:firstLineChars="1200"/>
        <w:rPr>
          <w:rFonts w:ascii="黑体" w:hAnsi="黑体" w:eastAsia="黑体"/>
          <w:lang w:val="en-US"/>
        </w:rPr>
      </w:pPr>
      <w:r>
        <w:rPr>
          <w:rFonts w:hint="eastAsia" w:ascii="黑体" w:hAnsi="黑体" w:eastAsia="黑体"/>
          <w:lang w:val="en-US"/>
        </w:rPr>
        <w:t>图6.2-2参评建筑边界噪声图-夜间</w:t>
      </w:r>
    </w:p>
    <w:p>
      <w:pPr>
        <w:pStyle w:val="4"/>
      </w:pPr>
      <w:bookmarkStart w:id="38" w:name="_Toc10126"/>
      <w:r>
        <w:rPr>
          <w:rFonts w:hint="eastAsia"/>
        </w:rPr>
        <w:t>建筑</w:t>
      </w:r>
      <w:r>
        <w:t>围护结构隔声与吸声性能</w:t>
      </w:r>
      <w:bookmarkEnd w:id="38"/>
    </w:p>
    <w:p>
      <w:pPr>
        <w:pStyle w:val="3"/>
        <w:spacing w:before="156" w:beforeLines="50" w:after="156" w:afterLines="50" w:line="276" w:lineRule="auto"/>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6.3.1    </w:t>
      </w:r>
      <w:r>
        <w:rPr>
          <w:rFonts w:hint="eastAsia" w:ascii="黑体" w:hAnsi="黑体" w:eastAsia="黑体"/>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聚苯颗粒保温浆料(ρ=230)</w:t>
            </w:r>
          </w:p>
        </w:tc>
        <w:tc>
          <w:tcPr>
            <w:vAlign w:val="center"/>
          </w:tcPr>
          <w:p>
            <w:r>
              <w:t>30</w:t>
            </w:r>
          </w:p>
        </w:tc>
        <w:tc>
          <w:tcPr>
            <w:vAlign w:val="center"/>
          </w:tcPr>
          <w:p>
            <w:r>
              <w:t>230</w:t>
            </w:r>
          </w:p>
        </w:tc>
        <w:tc>
          <w:tcPr>
            <w:vAlign w:val="center"/>
          </w:tcPr>
          <w:p>
            <w:r>
              <w:t>7</w:t>
            </w:r>
          </w:p>
        </w:tc>
        <w:tc>
          <w:tcPr>
            <w:vMerge w:val="restart"/>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restart"/>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35</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3"/>
        <w:ind w:firstLine="420"/>
        <w:jc w:val="left"/>
        <w:rPr>
          <w:lang w:val="en-US"/>
        </w:rPr>
      </w:pPr>
      <w:bookmarkStart w:id="39" w:name="最不利房间围护结构材料清单"/>
      <w:bookmarkEnd w:id="39"/>
    </w:p>
    <w:p>
      <w:pPr>
        <w:pStyle w:val="3"/>
        <w:spacing w:before="156" w:beforeLines="50" w:after="156" w:afterLines="50"/>
        <w:ind w:firstLine="420"/>
        <w:rPr>
          <w:lang w:val="en-US"/>
        </w:rPr>
      </w:pPr>
      <w:r>
        <w:rPr>
          <w:rFonts w:hint="eastAsia"/>
          <w:lang w:val="en-US"/>
        </w:rPr>
        <w:t>此外SEDU提供墙板和门窗在各频率下的隔声和吸声参数供选择，如下：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6.3.2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bookmarkStart w:id="40" w:name="_Toc1094"/>
      <w:r>
        <w:rPr>
          <w:rFonts w:hint="eastAsia"/>
          <w:kern w:val="2"/>
        </w:rPr>
        <w:t>计算</w:t>
      </w:r>
      <w:r>
        <w:rPr>
          <w:kern w:val="2"/>
        </w:rPr>
        <w:t>过程</w:t>
      </w:r>
      <w:bookmarkEnd w:id="40"/>
    </w:p>
    <w:p>
      <w:pPr>
        <w:pStyle w:val="3"/>
        <w:ind w:firstLine="420"/>
        <w:rPr>
          <w:lang w:val="en-US"/>
        </w:rPr>
      </w:pPr>
      <w:r>
        <w:rPr>
          <w:rFonts w:hint="eastAsia"/>
          <w:lang w:val="en-US"/>
        </w:rPr>
        <w:t>如前所述，本项目通过对整栋建筑室内噪声级的计算，确定了主要功能房间中噪声级最不利的房间为</w:t>
      </w:r>
      <w:bookmarkStart w:id="41" w:name="最不利房间编号2"/>
      <w:r>
        <w:rPr>
          <w:rFonts w:hint="eastAsia"/>
          <w:lang w:val="en-US"/>
        </w:rPr>
        <w:t>1007[卧室]</w:t>
      </w:r>
      <w:bookmarkEnd w:id="41"/>
      <w:r>
        <w:rPr>
          <w:rFonts w:hint="eastAsia"/>
          <w:lang w:val="en-US"/>
        </w:rPr>
        <w:t>，下面将阐述其室内噪声级计算过程。</w:t>
      </w:r>
    </w:p>
    <w:p>
      <w:pPr>
        <w:pStyle w:val="3"/>
        <w:ind w:firstLine="420"/>
        <w:rPr>
          <w:lang w:val="en-US"/>
        </w:rPr>
      </w:pPr>
      <w:bookmarkStart w:id="42" w:name="最不利房间楼层平面图"/>
      <w:bookmarkEnd w:id="42"/>
      <w:r>
        <w:drawing>
          <wp:inline distT="0" distB="0" distL="0" distR="0">
            <wp:extent cx="3686175" cy="8010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3686175" cy="80105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bookmarkStart w:id="43" w:name="_Toc12160"/>
      <w:r>
        <w:rPr>
          <w:rFonts w:hint="eastAsia"/>
        </w:rPr>
        <w:t>室外</w:t>
      </w:r>
      <w:r>
        <w:t>边界噪声值</w:t>
      </w:r>
      <w:bookmarkEnd w:id="43"/>
    </w:p>
    <w:p>
      <w:pPr>
        <w:pStyle w:val="3"/>
        <w:ind w:firstLine="420"/>
        <w:jc w:val="left"/>
        <w:rPr>
          <w:lang w:val="en-US"/>
        </w:rPr>
      </w:pPr>
      <w:r>
        <w:rPr>
          <w:rFonts w:hint="eastAsia"/>
          <w:lang w:val="en-US"/>
        </w:rPr>
        <w:t>通过前述环境噪声分析获得了该房间的室外边界噪声为昼间为</w:t>
      </w:r>
      <w:bookmarkStart w:id="44" w:name="昼间边界噪声2"/>
      <w:r>
        <w:t>55</w:t>
      </w:r>
      <w:bookmarkEnd w:id="44"/>
      <w:r>
        <w:rPr>
          <w:rFonts w:hint="eastAsia"/>
          <w:lang w:val="en-US"/>
        </w:rPr>
        <w:t>dB</w:t>
      </w:r>
      <w:r>
        <w:rPr>
          <w:lang w:val="en-US"/>
        </w:rPr>
        <w:t>(A)</w:t>
      </w:r>
      <w:r>
        <w:rPr>
          <w:rFonts w:hint="eastAsia"/>
          <w:lang w:val="en-US"/>
        </w:rPr>
        <w:t>， 夜间为</w:t>
      </w:r>
      <w:bookmarkStart w:id="45" w:name="夜间边界噪声2"/>
      <w:r>
        <w:t>45</w:t>
      </w:r>
      <w:bookmarkEnd w:id="45"/>
      <w:r>
        <w:rPr>
          <w:lang w:val="en-US"/>
        </w:rPr>
        <w:t>dB(A)</w:t>
      </w:r>
      <w:r>
        <w:rPr>
          <w:rFonts w:hint="eastAsia"/>
          <w:lang w:val="en-US"/>
        </w:rPr>
        <w:t>。</w:t>
      </w:r>
    </w:p>
    <w:p>
      <w:pPr>
        <w:pStyle w:val="4"/>
      </w:pPr>
      <w:bookmarkStart w:id="46" w:name="_Toc7009"/>
      <w:r>
        <w:rPr>
          <w:rFonts w:hint="eastAsia"/>
        </w:rPr>
        <w:t>建筑</w:t>
      </w:r>
      <w:r>
        <w:t>构件空气声隔声</w:t>
      </w:r>
      <w:bookmarkEnd w:id="46"/>
    </w:p>
    <w:p>
      <w:pPr>
        <w:widowControl w:val="0"/>
        <w:ind w:firstLine="420" w:firstLineChars="20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w:rPr>
              <w:rFonts w:ascii="Cambria Math" w:hAnsi="Cambria Math" w:eastAsia="Dotum"/>
              <w:sz w:val="24"/>
              <w:szCs w:val="24"/>
            </w:rPr>
            <m:t>R</m:t>
          </m:r>
          <m:r>
            <m:rPr>
              <m:sty m:val="p"/>
            </m:rPr>
            <w:rPr>
              <w:rFonts w:ascii="Cambria Math" w:hAnsi="Cambria Math" w:eastAsia="Dotum"/>
              <w:sz w:val="24"/>
              <w:szCs w:val="24"/>
            </w:rPr>
            <m:t>=</m:t>
          </m:r>
          <w:bookmarkStart w:id="47" w:name="公式A1"/>
          <m:r>
            <m:rPr>
              <m:sty m:val="p"/>
            </m:rPr>
            <m:t>23</m:t>
          </m:r>
          <w:bookmarkEnd w:id="4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8" w:name="公式B1"/>
          <m:r>
            <m:rPr>
              <m:sty m:val="p"/>
            </m:rPr>
            <m:t>11</m:t>
          </m:r>
          <w:bookmarkEnd w:id="4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9" w:name="公式C1"/>
          <m:r>
            <m:rPr>
              <m:sty m:val="p"/>
            </m:rPr>
            <m:t>-41</m:t>
          </m:r>
          <w:bookmarkEnd w:id="4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ascii="Cambria Math" w:hAnsi="Cambria Math"/>
        </w:rPr>
      </w:pPr>
      <m:oMathPara>
        <m:oMathParaPr>
          <m:jc m:val="center"/>
        </m:oMathParaPr>
        <m:oMath>
          <m:r>
            <w:rPr>
              <w:rFonts w:ascii="Cambria Math" w:hAnsi="Cambria Math" w:eastAsia="Dotum"/>
              <w:sz w:val="24"/>
              <w:szCs w:val="24"/>
            </w:rPr>
            <m:t>R</m:t>
          </m:r>
          <m:r>
            <m:rPr>
              <m:sty m:val="p"/>
            </m:rPr>
            <w:rPr>
              <w:rFonts w:ascii="Cambria Math" w:hAnsi="Cambria Math" w:eastAsia="Dotum"/>
              <w:sz w:val="24"/>
              <w:szCs w:val="24"/>
            </w:rPr>
            <m:t>=</m:t>
          </m:r>
          <w:bookmarkStart w:id="50" w:name="公式A2"/>
          <m:r>
            <m:rPr>
              <m:sty m:val="p"/>
            </m:rPr>
            <m:t>13</m:t>
          </m:r>
          <w:bookmarkEnd w:id="5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1" w:name="公式B2"/>
          <m:r>
            <m:rPr>
              <m:sty m:val="p"/>
            </m:rPr>
            <m:t>11</m:t>
          </m:r>
          <w:bookmarkEnd w:id="5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2" w:name="公式C2"/>
          <m:r>
            <m:rPr>
              <m:sty m:val="p"/>
            </m:rPr>
            <m:t>-18</m:t>
          </m:r>
          <w:bookmarkEnd w:id="5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p>
    <w:p>
      <w:pPr>
        <w:pStyle w:val="3"/>
        <w:ind w:firstLine="619" w:firstLineChars="295"/>
        <w:rPr>
          <w:rFonts w:ascii="Cambria Math" w:hAnsi="Cambria Math"/>
        </w:rPr>
      </w:pPr>
      <w:bookmarkStart w:id="53" w:name="最不利房间平面图"/>
      <w:bookmarkEnd w:id="53"/>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3"/>
                    <a:stretch>
                      <a:fillRect/>
                    </a:stretch>
                  </pic:blipFill>
                  <pic:spPr>
                    <a:xfrm>
                      <a:off x="0" y="0"/>
                      <a:ext cx="5667375" cy="3638550"/>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7.2.1 </w:t>
      </w:r>
      <w:r>
        <w:rPr>
          <w:rFonts w:hint="eastAsia" w:ascii="黑体" w:hAnsi="黑体" w:eastAsia="黑体"/>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聚苯颗粒保温浆料(ρ=230) 30mm＋水泥砂浆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自动计算</w:t>
            </w:r>
          </w:p>
        </w:tc>
      </w:tr>
    </w:tbl>
    <w:p>
      <w:pPr>
        <w:pStyle w:val="3"/>
        <w:ind w:firstLine="619" w:firstLineChars="295"/>
        <w:jc w:val="left"/>
        <w:rPr>
          <w:rFonts w:ascii="Cambria Math" w:hAnsi="Cambria Math"/>
        </w:rPr>
      </w:pPr>
      <w:bookmarkStart w:id="54" w:name="外墙隔声量"/>
      <w:bookmarkEnd w:id="54"/>
    </w:p>
    <w:p>
      <w:pPr>
        <w:pStyle w:val="3"/>
        <w:ind w:firstLine="420"/>
        <w:jc w:val="left"/>
        <w:rPr>
          <w:lang w:val="en-US"/>
        </w:rPr>
      </w:pPr>
      <w:r>
        <w:rPr>
          <w:rFonts w:hint="eastAsia"/>
          <w:lang w:val="en-US"/>
        </w:rPr>
        <w:t>门窗的空气声隔声量直接参考相关声学资料，详见下表：</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7.2.2 </w:t>
      </w:r>
      <w:r>
        <w:rPr>
          <w:rFonts w:hint="eastAsia" w:ascii="黑体" w:hAnsi="黑体" w:eastAsia="黑体"/>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外门(M0821)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34.0</w:t>
            </w:r>
          </w:p>
        </w:tc>
        <w:tc>
          <w:tcPr>
            <w:vAlign w:val="center"/>
          </w:tcPr>
          <w:p>
            <w:r>
              <w:t>36.0</w:t>
            </w:r>
          </w:p>
        </w:tc>
        <w:tc>
          <w:tcPr>
            <w:vAlign w:val="center"/>
          </w:tcPr>
          <w:p>
            <w:r>
              <w:t>39.0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外窗(C1815)</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32.0</w:t>
            </w:r>
          </w:p>
        </w:tc>
        <w:tc>
          <w:tcPr>
            <w:vAlign w:val="center"/>
          </w:tcPr>
          <w:p>
            <w:r>
              <w:t>38.0</w:t>
            </w:r>
          </w:p>
        </w:tc>
        <w:tc>
          <w:tcPr>
            <w:vAlign w:val="center"/>
          </w:tcPr>
          <w:p>
            <w:r>
              <w:t>40.0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6＋12A＋6高透低辐射玻璃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w:t>
            </w:r>
          </w:p>
        </w:tc>
      </w:tr>
    </w:tbl>
    <w:p>
      <w:pPr>
        <w:pStyle w:val="3"/>
        <w:ind w:firstLine="619" w:firstLineChars="295"/>
        <w:jc w:val="left"/>
        <w:rPr>
          <w:rFonts w:ascii="Cambria Math" w:hAnsi="Cambria Math"/>
          <w:lang w:val="en-US"/>
        </w:rPr>
      </w:pPr>
      <w:bookmarkStart w:id="55" w:name="门窗隔声量"/>
      <w:bookmarkEnd w:id="55"/>
    </w:p>
    <w:p>
      <w:pPr>
        <w:pStyle w:val="4"/>
      </w:pPr>
      <w:bookmarkStart w:id="56" w:name="_Toc14852"/>
      <w:r>
        <w:rPr>
          <w:rFonts w:hint="eastAsia"/>
        </w:rPr>
        <w:t>房间</w:t>
      </w:r>
      <w:r>
        <w:t>总吸声量计算</w:t>
      </w:r>
      <w:bookmarkEnd w:id="56"/>
    </w:p>
    <w:p>
      <w:pPr>
        <w:ind w:firstLine="420" w:firstLineChars="20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4.95pt;width:63.9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p>
    <w:p>
      <w:pPr>
        <w:ind w:firstLine="420" w:firstLineChars="20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9.9pt;width:15.0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420" w:firstLineChars="200"/>
        <w:jc w:val="both"/>
        <w:rPr>
          <w:rFonts w:ascii="Calibri" w:hAnsi="Calibri"/>
          <w:kern w:val="2"/>
          <w:szCs w:val="22"/>
          <w:lang w:val="en-US"/>
        </w:rPr>
      </w:pPr>
      <w:r>
        <w:rPr>
          <w:rFonts w:ascii="Calibri" w:hAnsi="Calibri"/>
          <w:kern w:val="2"/>
          <w:position w:val="-14"/>
          <w:szCs w:val="22"/>
          <w:lang w:val="en-US"/>
        </w:rPr>
        <w:object>
          <v:shape id="_x0000_i1028" o:spt="75" type="#_x0000_t75" style="height:19.9pt;width:15.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420" w:firstLineChars="200"/>
        <w:jc w:val="both"/>
        <w:rPr>
          <w:rFonts w:ascii="Calibri" w:hAnsi="Calibri"/>
          <w:kern w:val="2"/>
          <w:szCs w:val="22"/>
          <w:lang w:val="en-US"/>
        </w:rPr>
      </w:pPr>
      <w:r>
        <w:rPr>
          <w:rFonts w:ascii="Calibri" w:hAnsi="Calibri"/>
          <w:kern w:val="2"/>
          <w:position w:val="-12"/>
          <w:szCs w:val="22"/>
          <w:lang w:val="en-US"/>
        </w:rPr>
        <w:object>
          <v:shape id="_x0000_i1029" o:spt="75" type="#_x0000_t75" style="height:18.25pt;width:12.3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7.3 </w:t>
      </w:r>
      <w:r>
        <w:rPr>
          <w:rFonts w:hint="eastAsia" w:ascii="黑体" w:hAnsi="黑体" w:eastAsia="黑体"/>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8.4</w:t>
            </w:r>
          </w:p>
        </w:tc>
        <w:tc>
          <w:tcPr>
            <w:vAlign w:val="center"/>
          </w:tcPr>
          <w:p>
            <w:r>
              <w:t>0.210</w:t>
            </w:r>
          </w:p>
        </w:tc>
        <w:tc>
          <w:tcPr>
            <w:vAlign w:val="center"/>
          </w:tcPr>
          <w:p>
            <w:r>
              <w:t>0.160</w:t>
            </w:r>
          </w:p>
        </w:tc>
        <w:tc>
          <w:tcPr>
            <w:vAlign w:val="center"/>
          </w:tcPr>
          <w:p>
            <w:r>
              <w:t>0.250</w:t>
            </w:r>
          </w:p>
        </w:tc>
        <w:tc>
          <w:tcPr>
            <w:vAlign w:val="center"/>
          </w:tcPr>
          <w:p>
            <w:r>
              <w:t>0.400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32.8</w:t>
            </w:r>
          </w:p>
        </w:tc>
        <w:tc>
          <w:tcPr>
            <w:vAlign w:val="center"/>
          </w:tcPr>
          <w:p>
            <w:r>
              <w:t>0.380</w:t>
            </w:r>
          </w:p>
        </w:tc>
        <w:tc>
          <w:tcPr>
            <w:vAlign w:val="center"/>
          </w:tcPr>
          <w:p>
            <w:r>
              <w:t>0.210</w:t>
            </w:r>
          </w:p>
        </w:tc>
        <w:tc>
          <w:tcPr>
            <w:vAlign w:val="center"/>
          </w:tcPr>
          <w:p>
            <w:r>
              <w:t>0.110</w:t>
            </w:r>
          </w:p>
        </w:tc>
        <w:tc>
          <w:tcPr>
            <w:vAlign w:val="center"/>
          </w:tcPr>
          <w:p>
            <w:r>
              <w:t>0.300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外窗(C1815)</w:t>
            </w:r>
          </w:p>
        </w:tc>
        <w:tc>
          <w:tcPr>
            <w:shd w:val="clear" w:color="auto" w:fill="E6E6E6"/>
            <w:vAlign w:val="center"/>
          </w:tcPr>
          <w:p>
            <w:r>
              <w:t>2.7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外门(M0821)</w:t>
            </w:r>
          </w:p>
        </w:tc>
        <w:tc>
          <w:tcPr>
            <w:shd w:val="clear" w:color="auto" w:fill="E6E6E6"/>
            <w:vAlign w:val="center"/>
          </w:tcPr>
          <w:p>
            <w:r>
              <w:t>1.7</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w:t>
            </w:r>
          </w:p>
        </w:tc>
        <w:tc>
          <w:tcPr>
            <w:shd w:val="clear" w:color="auto" w:fill="E6E6E6"/>
            <w:vAlign w:val="center"/>
          </w:tcPr>
          <w:p>
            <w:r>
              <w:t>14.4</w:t>
            </w:r>
          </w:p>
        </w:tc>
        <w:tc>
          <w:tcPr>
            <w:vAlign w:val="center"/>
          </w:tcPr>
          <w:p>
            <w:r>
              <w:t>0.210</w:t>
            </w:r>
          </w:p>
        </w:tc>
        <w:tc>
          <w:tcPr>
            <w:vAlign w:val="center"/>
          </w:tcPr>
          <w:p>
            <w:r>
              <w:t>0.160</w:t>
            </w:r>
          </w:p>
        </w:tc>
        <w:tc>
          <w:tcPr>
            <w:vAlign w:val="center"/>
          </w:tcPr>
          <w:p>
            <w:r>
              <w:t>0.250</w:t>
            </w:r>
          </w:p>
        </w:tc>
        <w:tc>
          <w:tcPr>
            <w:vAlign w:val="center"/>
          </w:tcPr>
          <w:p>
            <w:r>
              <w:t>0.400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14.4</w:t>
            </w:r>
          </w:p>
        </w:tc>
        <w:tc>
          <w:tcPr>
            <w:vAlign w:val="center"/>
          </w:tcPr>
          <w:p>
            <w:r>
              <w:t>0.210</w:t>
            </w:r>
          </w:p>
        </w:tc>
        <w:tc>
          <w:tcPr>
            <w:vAlign w:val="center"/>
          </w:tcPr>
          <w:p>
            <w:r>
              <w:t>0.160</w:t>
            </w:r>
          </w:p>
        </w:tc>
        <w:tc>
          <w:tcPr>
            <w:vAlign w:val="center"/>
          </w:tcPr>
          <w:p>
            <w:r>
              <w:t>0.250</w:t>
            </w:r>
          </w:p>
        </w:tc>
        <w:tc>
          <w:tcPr>
            <w:vAlign w:val="center"/>
          </w:tcPr>
          <w:p>
            <w:r>
              <w:t>0.400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21.5</w:t>
            </w:r>
          </w:p>
        </w:tc>
        <w:tc>
          <w:tcPr>
            <w:vAlign w:val="center"/>
          </w:tcPr>
          <w:p>
            <w:r>
              <w:t>13.8</w:t>
            </w:r>
          </w:p>
        </w:tc>
        <w:tc>
          <w:tcPr>
            <w:vAlign w:val="center"/>
          </w:tcPr>
          <w:p>
            <w:r>
              <w:t>13.6</w:t>
            </w:r>
          </w:p>
        </w:tc>
        <w:tc>
          <w:tcPr>
            <w:vAlign w:val="center"/>
          </w:tcPr>
          <w:p>
            <w:r>
              <w:t>25.2</w:t>
            </w:r>
          </w:p>
        </w:tc>
        <w:tc>
          <w:tcPr>
            <w:vAlign w:val="center"/>
          </w:tcPr>
          <w:p>
            <w:r>
              <w:t>29.8</w:t>
            </w:r>
          </w:p>
        </w:tc>
        <w:tc>
          <w:tcPr>
            <w:vAlign w:val="center"/>
          </w:tcPr>
          <w:p/>
        </w:tc>
      </w:tr>
    </w:tbl>
    <w:p>
      <w:pPr>
        <w:pStyle w:val="3"/>
        <w:ind w:firstLine="619" w:firstLineChars="295"/>
        <w:jc w:val="left"/>
        <w:rPr>
          <w:rFonts w:ascii="Cambria Math" w:hAnsi="Cambria Math"/>
          <w:lang w:val="en-US"/>
        </w:rPr>
      </w:pPr>
      <w:bookmarkStart w:id="57" w:name="围护结构吸声量"/>
      <w:bookmarkEnd w:id="57"/>
    </w:p>
    <w:p>
      <w:pPr>
        <w:pStyle w:val="4"/>
      </w:pPr>
      <w:bookmarkStart w:id="58" w:name="_Toc30328"/>
      <w:r>
        <w:rPr>
          <w:rFonts w:hint="eastAsia"/>
        </w:rPr>
        <w:t>组合墙</w:t>
      </w:r>
      <w:r>
        <w:t>空气声隔声量计算</w:t>
      </w:r>
      <w:bookmarkEnd w:id="58"/>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283" w:firstLineChars="135"/>
        <w:jc w:val="center"/>
        <w:rPr>
          <w:rFonts w:ascii="黑体" w:hAnsi="黑体" w:eastAsia="黑体"/>
          <w:lang w:val="en-US"/>
        </w:rPr>
      </w:pPr>
      <w:r>
        <w:rPr>
          <w:lang w:val="en-US"/>
        </w:rPr>
        <w:object>
          <v:shape id="_x0000_i1030" o:spt="75" type="#_x0000_t75" style="height:194.5pt;width:466.95pt;" o:ole="t" filled="f" o:preferrelative="t" stroked="f" coordsize="21600,21600">
            <v:path/>
            <v:fill on="f" focussize="0,0"/>
            <v:stroke on="f" joinstyle="miter"/>
            <v:imagedata r:id="rId23" cropleft="13476f" croptop="29113f" o:title=""/>
            <o:lock v:ext="edit" aspectratio="t"/>
            <w10:wrap type="none"/>
            <w10:anchorlock/>
          </v:shape>
          <o:OLEObject Type="Embed" ProgID="Visio.Drawing.11" ShapeID="_x0000_i1030" DrawAspect="Content" ObjectID="_1468075730" r:id="rId22">
            <o:LockedField>false</o:LockedField>
          </o:OLEObject>
        </w:object>
      </w: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bookmarkStart w:id="59" w:name="_Toc31347"/>
      <w:r>
        <w:rPr>
          <w:rFonts w:hint="eastAsia"/>
        </w:rPr>
        <w:t>组合墙</w:t>
      </w:r>
      <w:r>
        <w:t>空气声有效隔声量</w:t>
      </w:r>
      <w:bookmarkEnd w:id="59"/>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28.15pt;margin-top:4.4pt;height:21.4pt;width:60.35pt;z-index:251661312;mso-width-relative:page;mso-height-relative:page;" o:ole="t" filled="f" o:preferrelative="t" stroked="f" coordsize="21600,21600">
            <v:path/>
            <v:fill on="f" focussize="0,0"/>
            <v:stroke on="f" joinstyle="miter"/>
            <v:imagedata r:id="rId25" o:title=""/>
            <o:lock v:ext="edit" aspectratio="t"/>
          </v:shape>
          <o:OLEObject Type="Embed" ProgID="Equation.DSMT4" ShapeID="_x0000_s1169" DrawAspect="Content" ObjectID="_1468075731" r:id="rId24">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3360;mso-width-relative:page;mso-height-relative:page;" o:ole="t" filled="f" o:preferrelative="t" stroked="f" coordsize="21600,21600">
            <v:path/>
            <v:fill on="f" focussize="0,0"/>
            <v:stroke on="f" joinstyle="miter"/>
            <v:imagedata r:id="rId28" o:title=""/>
            <o:lock v:ext="edit" aspectratio="t"/>
          </v:shape>
          <o:OLEObject Type="Embed" ProgID="Equation.DSMT4" ShapeID="_x0000_s1171" DrawAspect="Content" ObjectID="_1468075732" r:id="rId27">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9.9pt;width:14.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3" r:id="rId3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9.9pt;width:16.1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4" r:id="rId32">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9.9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3" DrawAspect="Content" ObjectID="_1468075735" r:id="rId3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7.2pt;width:14.5pt;" o:ole="t" filled="f" o:preferrelative="t" stroked="f" coordsize="21600,21600">
            <v:path/>
            <v:fill on="f" focussize="0,0"/>
            <v:stroke on="f" joinstyle="miter"/>
            <v:imagedata r:id="rId37" o:title=""/>
            <o:lock v:ext="edit" aspectratio="t"/>
            <w10:wrap type="none"/>
            <w10:anchorlock/>
          </v:shape>
          <o:OLEObject Type="Embed" ProgID="Equation.DSMT4" ShapeID="_x0000_i1034" DrawAspect="Content" ObjectID="_1468075736" r:id="rId36">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9.9pt;width:19.9pt;" o:ole="t" filled="f" o:preferrelative="t" stroked="f" coordsize="21600,21600">
            <v:path/>
            <v:fill on="f" focussize="0,0"/>
            <v:stroke on="f" joinstyle="miter"/>
            <v:imagedata r:id="rId39" o:title=""/>
            <o:lock v:ext="edit" aspectratio="t"/>
            <w10:wrap type="none"/>
            <w10:anchorlock/>
          </v:shape>
          <o:OLEObject Type="Embed" ProgID="Equation.DSMT4" ShapeID="_x0000_i1035" DrawAspect="Content" ObjectID="_1468075737" r:id="rId38">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9.9pt;width:19.9pt;" o:ole="t" filled="f" o:preferrelative="t" stroked="f" coordsize="21600,21600">
            <v:path/>
            <v:fill on="f" focussize="0,0"/>
            <v:stroke on="f" joinstyle="miter"/>
            <v:imagedata r:id="rId41" o:title=""/>
            <o:lock v:ext="edit" aspectratio="t"/>
            <w10:wrap type="none"/>
            <w10:anchorlock/>
          </v:shape>
          <o:OLEObject Type="Embed" ProgID="Equation.DSMT4" ShapeID="_x0000_i1036" DrawAspect="Content" ObjectID="_1468075738" r:id="rId4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9.9pt;width:15.05pt;" o:ole="t" filled="f" o:preferrelative="t" stroked="f" coordsize="21600,21600">
            <v:path/>
            <v:fill on="f" focussize="0,0"/>
            <v:stroke on="f" joinstyle="miter"/>
            <v:imagedata r:id="rId17" o:title=""/>
            <o:lock v:ext="edit" aspectratio="t"/>
            <w10:wrap type="none"/>
            <w10:anchorlock/>
          </v:shape>
          <o:OLEObject Type="Embed" ProgID="Equation.DSMT4" ShapeID="_x0000_i1037" DrawAspect="Content" ObjectID="_1468075739" r:id="rId42">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7.4.1 </w:t>
      </w:r>
      <w:r>
        <w:rPr>
          <w:rFonts w:hint="eastAsia" w:ascii="黑体" w:hAnsi="黑体" w:eastAsia="黑体"/>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0.000029</w:t>
            </w:r>
          </w:p>
        </w:tc>
        <w:tc>
          <w:tcPr>
            <w:vAlign w:val="center"/>
          </w:tcPr>
          <w:p>
            <w:r>
              <w:t>0.000014</w:t>
            </w:r>
          </w:p>
        </w:tc>
        <w:tc>
          <w:tcPr>
            <w:vAlign w:val="center"/>
          </w:tcPr>
          <w:p>
            <w:r>
              <w:t>0.000007</w:t>
            </w:r>
          </w:p>
        </w:tc>
        <w:tc>
          <w:tcPr>
            <w:vAlign w:val="center"/>
          </w:tcPr>
          <w:p>
            <w:r>
              <w:t>0.000004</w:t>
            </w:r>
          </w:p>
        </w:tc>
        <w:tc>
          <w:tcPr>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48.2</w:t>
            </w:r>
          </w:p>
        </w:tc>
        <w:tc>
          <w:tcPr>
            <w:vAlign w:val="center"/>
          </w:tcPr>
          <w:p>
            <w:r>
              <w:t>49.6</w:t>
            </w:r>
          </w:p>
        </w:tc>
        <w:tc>
          <w:tcPr>
            <w:vAlign w:val="center"/>
          </w:tcPr>
          <w:p>
            <w:r>
              <w:t>52.8</w:t>
            </w:r>
          </w:p>
        </w:tc>
        <w:tc>
          <w:tcPr>
            <w:vAlign w:val="center"/>
          </w:tcPr>
          <w:p>
            <w:r>
              <w:t>58.8</w:t>
            </w:r>
          </w:p>
        </w:tc>
        <w:tc>
          <w:tcPr>
            <w:vAlign w:val="center"/>
          </w:tcPr>
          <w:p>
            <w:r>
              <w:t>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外窗(C1815)隔声量(dB)</w:t>
            </w:r>
          </w:p>
        </w:tc>
        <w:tc>
          <w:tcPr>
            <w:vAlign w:val="center"/>
          </w:tcPr>
          <w:p>
            <w:r>
              <w:t>32.0</w:t>
            </w:r>
          </w:p>
        </w:tc>
        <w:tc>
          <w:tcPr>
            <w:vAlign w:val="center"/>
          </w:tcPr>
          <w:p>
            <w:r>
              <w:t>38.0</w:t>
            </w:r>
          </w:p>
        </w:tc>
        <w:tc>
          <w:tcPr>
            <w:vAlign w:val="center"/>
          </w:tcPr>
          <w:p>
            <w:r>
              <w:t>40.0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0.000175</w:t>
            </w:r>
          </w:p>
        </w:tc>
        <w:tc>
          <w:tcPr>
            <w:vAlign w:val="center"/>
          </w:tcPr>
          <w:p>
            <w:r>
              <w:t>0.000049</w:t>
            </w:r>
          </w:p>
        </w:tc>
        <w:tc>
          <w:tcPr>
            <w:vAlign w:val="center"/>
          </w:tcPr>
          <w:p>
            <w:r>
              <w:t>0.000030</w:t>
            </w:r>
          </w:p>
        </w:tc>
        <w:tc>
          <w:tcPr>
            <w:vAlign w:val="center"/>
          </w:tcPr>
          <w:p>
            <w:r>
              <w:t>0.000011</w:t>
            </w:r>
          </w:p>
        </w:tc>
        <w:tc>
          <w:tcPr>
            <w:vAlign w:val="center"/>
          </w:tcPr>
          <w:p>
            <w:r>
              <w:t>0.000004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37.6</w:t>
            </w:r>
          </w:p>
        </w:tc>
        <w:tc>
          <w:tcPr>
            <w:vAlign w:val="center"/>
          </w:tcPr>
          <w:p>
            <w:r>
              <w:t>43.2</w:t>
            </w:r>
          </w:p>
        </w:tc>
        <w:tc>
          <w:tcPr>
            <w:vAlign w:val="center"/>
          </w:tcPr>
          <w:p>
            <w:r>
              <w:t>45.4</w:t>
            </w:r>
          </w:p>
        </w:tc>
        <w:tc>
          <w:tcPr>
            <w:vAlign w:val="center"/>
          </w:tcPr>
          <w:p>
            <w:r>
              <w:t>50.1</w:t>
            </w:r>
          </w:p>
        </w:tc>
        <w:tc>
          <w:tcPr>
            <w:vAlign w:val="center"/>
          </w:tcPr>
          <w:p>
            <w:r>
              <w:t>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40.5</w:t>
            </w:r>
          </w:p>
        </w:tc>
        <w:tc>
          <w:tcPr>
            <w:vAlign w:val="center"/>
          </w:tcPr>
          <w:p>
            <w:r>
              <w:t>44.1</w:t>
            </w:r>
          </w:p>
        </w:tc>
        <w:tc>
          <w:tcPr>
            <w:vAlign w:val="center"/>
          </w:tcPr>
          <w:p>
            <w:r>
              <w:t>46.3</w:t>
            </w:r>
          </w:p>
        </w:tc>
        <w:tc>
          <w:tcPr>
            <w:vAlign w:val="center"/>
          </w:tcPr>
          <w:p>
            <w:r>
              <w:t>53.6</w:t>
            </w:r>
          </w:p>
        </w:tc>
        <w:tc>
          <w:tcPr>
            <w:vAlign w:val="center"/>
          </w:tcPr>
          <w:p>
            <w:r>
              <w:t>58.9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0.000029</w:t>
            </w:r>
          </w:p>
        </w:tc>
        <w:tc>
          <w:tcPr>
            <w:vAlign w:val="center"/>
          </w:tcPr>
          <w:p>
            <w:r>
              <w:t>0.000014</w:t>
            </w:r>
          </w:p>
        </w:tc>
        <w:tc>
          <w:tcPr>
            <w:vAlign w:val="center"/>
          </w:tcPr>
          <w:p>
            <w:r>
              <w:t>0.000007</w:t>
            </w:r>
          </w:p>
        </w:tc>
        <w:tc>
          <w:tcPr>
            <w:vAlign w:val="center"/>
          </w:tcPr>
          <w:p>
            <w:r>
              <w:t>0.000004</w:t>
            </w:r>
          </w:p>
        </w:tc>
        <w:tc>
          <w:tcPr>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53.7</w:t>
            </w:r>
          </w:p>
        </w:tc>
        <w:tc>
          <w:tcPr>
            <w:vAlign w:val="center"/>
          </w:tcPr>
          <w:p>
            <w:r>
              <w:t>55.1</w:t>
            </w:r>
          </w:p>
        </w:tc>
        <w:tc>
          <w:tcPr>
            <w:vAlign w:val="center"/>
          </w:tcPr>
          <w:p>
            <w:r>
              <w:t>58.3</w:t>
            </w:r>
          </w:p>
        </w:tc>
        <w:tc>
          <w:tcPr>
            <w:vAlign w:val="center"/>
          </w:tcPr>
          <w:p>
            <w:r>
              <w:t>64.3</w:t>
            </w:r>
          </w:p>
        </w:tc>
        <w:tc>
          <w:tcPr>
            <w:vAlign w:val="center"/>
          </w:tcPr>
          <w:p>
            <w:r>
              <w:t>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外墙4+外门(M0821)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45.6</w:t>
            </w:r>
          </w:p>
        </w:tc>
        <w:tc>
          <w:tcPr>
            <w:vAlign w:val="center"/>
          </w:tcPr>
          <w:p>
            <w:r>
              <w:t>48.9</w:t>
            </w:r>
          </w:p>
        </w:tc>
        <w:tc>
          <w:tcPr>
            <w:vAlign w:val="center"/>
          </w:tcPr>
          <w:p>
            <w:r>
              <w:t>52.2</w:t>
            </w:r>
          </w:p>
        </w:tc>
        <w:tc>
          <w:tcPr>
            <w:vAlign w:val="center"/>
          </w:tcPr>
          <w:p>
            <w:r>
              <w:t>55.5</w:t>
            </w:r>
          </w:p>
        </w:tc>
        <w:tc>
          <w:tcPr>
            <w:vAlign w:val="center"/>
          </w:tcPr>
          <w:p>
            <w:r>
              <w:t>58.8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外门(M0821)隔声量(dB)</w:t>
            </w:r>
          </w:p>
        </w:tc>
        <w:tc>
          <w:tcPr>
            <w:vAlign w:val="center"/>
          </w:tcPr>
          <w:p>
            <w:r>
              <w:t>22.0</w:t>
            </w:r>
          </w:p>
        </w:tc>
        <w:tc>
          <w:tcPr>
            <w:vAlign w:val="center"/>
          </w:tcPr>
          <w:p>
            <w:r>
              <w:t>34.0</w:t>
            </w:r>
          </w:p>
        </w:tc>
        <w:tc>
          <w:tcPr>
            <w:vAlign w:val="center"/>
          </w:tcPr>
          <w:p>
            <w:r>
              <w:t>36.0</w:t>
            </w:r>
          </w:p>
        </w:tc>
        <w:tc>
          <w:tcPr>
            <w:vAlign w:val="center"/>
          </w:tcPr>
          <w:p>
            <w:r>
              <w:t>39.0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0.000979</w:t>
            </w:r>
          </w:p>
        </w:tc>
        <w:tc>
          <w:tcPr>
            <w:vAlign w:val="center"/>
          </w:tcPr>
          <w:p>
            <w:r>
              <w:t>0.000072</w:t>
            </w:r>
          </w:p>
        </w:tc>
        <w:tc>
          <w:tcPr>
            <w:vAlign w:val="center"/>
          </w:tcPr>
          <w:p>
            <w:r>
              <w:t>0.000044</w:t>
            </w:r>
          </w:p>
        </w:tc>
        <w:tc>
          <w:tcPr>
            <w:vAlign w:val="center"/>
          </w:tcPr>
          <w:p>
            <w:r>
              <w:t>0.000022</w:t>
            </w:r>
          </w:p>
        </w:tc>
        <w:tc>
          <w:tcPr>
            <w:vAlign w:val="center"/>
          </w:tcPr>
          <w:p>
            <w:r>
              <w:t>0.000012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30.1</w:t>
            </w:r>
          </w:p>
        </w:tc>
        <w:tc>
          <w:tcPr>
            <w:vAlign w:val="center"/>
          </w:tcPr>
          <w:p>
            <w:r>
              <w:t>41.5</w:t>
            </w:r>
          </w:p>
        </w:tc>
        <w:tc>
          <w:tcPr>
            <w:vAlign w:val="center"/>
          </w:tcPr>
          <w:p>
            <w:r>
              <w:t>43.7</w:t>
            </w:r>
          </w:p>
        </w:tc>
        <w:tc>
          <w:tcPr>
            <w:vAlign w:val="center"/>
          </w:tcPr>
          <w:p>
            <w:r>
              <w:t>46.7</w:t>
            </w:r>
          </w:p>
        </w:tc>
        <w:tc>
          <w:tcPr>
            <w:vAlign w:val="center"/>
          </w:tcPr>
          <w:p>
            <w:r>
              <w:t>49.7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33.0</w:t>
            </w:r>
          </w:p>
        </w:tc>
        <w:tc>
          <w:tcPr>
            <w:vAlign w:val="center"/>
          </w:tcPr>
          <w:p>
            <w:r>
              <w:t>42.4</w:t>
            </w:r>
          </w:p>
        </w:tc>
        <w:tc>
          <w:tcPr>
            <w:vAlign w:val="center"/>
          </w:tcPr>
          <w:p>
            <w:r>
              <w:t>44.5</w:t>
            </w:r>
          </w:p>
        </w:tc>
        <w:tc>
          <w:tcPr>
            <w:vAlign w:val="center"/>
          </w:tcPr>
          <w:p>
            <w:r>
              <w:t>50.3</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23</w:t>
            </w:r>
          </w:p>
        </w:tc>
      </w:tr>
    </w:tbl>
    <w:p>
      <w:pPr>
        <w:pStyle w:val="3"/>
        <w:ind w:firstLine="619" w:firstLineChars="295"/>
        <w:jc w:val="left"/>
        <w:rPr>
          <w:rFonts w:ascii="Calibri" w:hAnsi="Calibri"/>
          <w:kern w:val="2"/>
          <w:szCs w:val="22"/>
          <w:lang w:val="en-US"/>
        </w:rPr>
      </w:pPr>
      <w:bookmarkStart w:id="60" w:name="组合墙隔声量"/>
      <w:bookmarkEnd w:id="60"/>
    </w:p>
    <w:p>
      <w:pPr>
        <w:pStyle w:val="5"/>
      </w:pPr>
      <w:bookmarkStart w:id="61" w:name="_Toc31534"/>
      <w:r>
        <w:rPr>
          <w:rFonts w:hint="eastAsia"/>
        </w:rPr>
        <w:t>组合墙</w:t>
      </w:r>
      <w:r>
        <w:t>空气声隔声</w:t>
      </w:r>
      <w:r>
        <w:rPr>
          <w:rFonts w:hint="eastAsia"/>
        </w:rPr>
        <w:t>计</w:t>
      </w:r>
      <w:r>
        <w:t>权单值评价量</w:t>
      </w:r>
      <w:bookmarkEnd w:id="61"/>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jc w:val="center"/>
        <w:rPr>
          <w:szCs w:val="21"/>
        </w:rPr>
      </w:pPr>
      <w:r>
        <w:rPr>
          <w:szCs w:val="21"/>
        </w:rPr>
        <w:object>
          <v:shape id="_x0000_i1038" o:spt="75" type="#_x0000_t75" style="height:336.35pt;width:430.4pt;" o:ole="t" filled="f" o:preferrelative="t" stroked="f" coordsize="21600,21600">
            <v:path/>
            <v:fill on="f" focussize="0,0"/>
            <v:stroke on="f" joinstyle="miter"/>
            <v:imagedata r:id="rId44" o:title=""/>
            <o:lock v:ext="edit" aspectratio="t"/>
            <w10:wrap type="none"/>
            <w10:anchorlock/>
          </v:shape>
          <o:OLEObject Type="Embed" ProgID="Visio.Drawing.11" ShapeID="_x0000_i1038" DrawAspect="Content" ObjectID="_1468075740" r:id="rId43">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25pt;width:12.9pt;" o:ole="t" filled="f" o:preferrelative="t" stroked="f" coordsize="21600,21600">
            <v:path/>
            <v:fill on="f" focussize="0,0"/>
            <v:stroke on="f" joinstyle="miter"/>
            <v:imagedata r:id="rId46" o:title=""/>
            <o:lock v:ext="edit" aspectratio="t"/>
            <w10:wrap type="none"/>
            <w10:anchorlock/>
          </v:shape>
          <o:OLEObject Type="Embed" ProgID="Equation.DSMT4" ShapeID="_x0000_i1039" DrawAspect="Content" ObjectID="_1468075741" r:id="rId45">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6432;mso-width-relative:page;mso-height-relative:page;" o:ole="t" filled="f" o:preferrelative="t" stroked="f" coordsize="21600,21600">
            <v:path/>
            <v:fill on="f" focussize="0,0"/>
            <v:stroke on="f" joinstyle="miter"/>
            <v:imagedata r:id="rId48" o:title=""/>
            <o:lock v:ext="edit" aspectratio="t"/>
          </v:shape>
          <o:OLEObject Type="Embed" ProgID="Equation.DSMT4" ShapeID="_x0000_s1211" DrawAspect="Content" ObjectID="_1468075742" r:id="rId47">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25pt;width:20.4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3" r:id="rId49">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25pt;width:15.05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4" r:id="rId51">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25pt;width:15.05pt;" o:ole="t" filled="f" o:preferrelative="t" stroked="f" coordsize="21600,21600">
            <v:path/>
            <v:fill on="f" focussize="0,0"/>
            <v:stroke on="f" joinstyle="miter"/>
            <v:imagedata r:id="rId54" o:title=""/>
            <o:lock v:ext="edit" aspectratio="t"/>
            <w10:wrap type="none"/>
            <w10:anchorlock/>
          </v:shape>
          <o:OLEObject Type="Embed" ProgID="Equation.DSMT4" ShapeID="_x0000_i1042" DrawAspect="Content" ObjectID="_1468075745" r:id="rId53">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7456;mso-width-relative:page;mso-height-relative:page;" o:ole="t" filled="f" o:preferrelative="t" stroked="f" coordsize="21600,21600">
            <v:path/>
            <v:fill on="f" focussize="0,0"/>
            <v:stroke on="f" joinstyle="miter"/>
            <v:imagedata r:id="rId56" o:title=""/>
            <o:lock v:ext="edit" aspectratio="t"/>
          </v:shape>
          <o:OLEObject Type="Embed" ProgID="Equation.DSMT4" ShapeID="_x0000_s1212" DrawAspect="Content" ObjectID="_1468075746" r:id="rId55">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3.45pt;width:5.9pt;" o:ole="t" filled="f" o:preferrelative="t" stroked="f" coordsize="21600,21600">
            <v:path/>
            <v:fill on="f" focussize="0,0"/>
            <v:stroke on="f" joinstyle="miter"/>
            <v:imagedata r:id="rId58" o:title=""/>
            <o:lock v:ext="edit" aspectratio="t"/>
            <w10:wrap type="none"/>
            <w10:anchorlock/>
          </v:shape>
          <o:OLEObject Type="Embed" ProgID="Equation.DSMT4" ShapeID="_x0000_i1043" DrawAspect="Content" ObjectID="_1468075747" r:id="rId57">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firstLine="199" w:firstLineChars="95"/>
        <w:jc w:val="left"/>
      </w:pPr>
    </w:p>
    <w:p>
      <w:pPr>
        <w:pStyle w:val="5"/>
      </w:pPr>
      <w:bookmarkStart w:id="62" w:name="_Toc26856"/>
      <w:r>
        <w:rPr>
          <w:rFonts w:hint="eastAsia"/>
        </w:rPr>
        <w:t>组合墙空气声隔声频谱修正量</w:t>
      </w:r>
      <w:bookmarkEnd w:id="62"/>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9504;mso-width-relative:page;mso-height-relative:page;" o:ole="t" filled="f" o:preferrelative="t" stroked="f" coordsize="21600,21600">
            <v:path/>
            <v:fill on="f" focussize="0,0"/>
            <v:stroke on="f" joinstyle="miter"/>
            <v:imagedata r:id="rId60" o:title=""/>
            <o:lock v:ext="edit" aspectratio="t"/>
          </v:shape>
          <o:OLEObject Type="Embed" ProgID="Equation.DSMT4" ShapeID="_x0000_s1213" DrawAspect="Content" ObjectID="_1468075748" r:id="rId59">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3.45pt;width:5.9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9" r:id="rId61">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735" w:firstLineChars="35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rFonts w:ascii="宋体" w:hAnsi="宋体"/>
        </w:rPr>
        <w:t xml:space="preserve">   </w:t>
      </w: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735" w:firstLineChars="350"/>
        <w:rPr>
          <w:kern w:val="2"/>
          <w:szCs w:val="21"/>
          <w:lang w:val="en-US"/>
        </w:rPr>
      </w:pPr>
      <w:r>
        <w:rPr>
          <w:rFonts w:hint="eastAsia"/>
          <w:kern w:val="2"/>
          <w:szCs w:val="21"/>
          <w:lang w:val="en-US"/>
        </w:rPr>
        <w:t>—— C用于频谱1（A计权粉红噪声）；</w:t>
      </w:r>
    </w:p>
    <w:p>
      <w:pPr>
        <w:spacing w:line="400" w:lineRule="atLeast"/>
        <w:ind w:firstLine="735" w:firstLineChars="3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bookmarkStart w:id="63" w:name="_Toc20012"/>
      <w:r>
        <w:rPr>
          <w:rFonts w:hint="eastAsia"/>
        </w:rPr>
        <w:t>组合墙隔声量</w:t>
      </w:r>
      <w:bookmarkEnd w:id="63"/>
    </w:p>
    <w:p>
      <w:pPr>
        <w:pStyle w:val="3"/>
        <w:ind w:firstLine="42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bookmarkStart w:id="64" w:name="_Toc22649"/>
      <w:r>
        <w:rPr>
          <w:rFonts w:hint="eastAsia"/>
        </w:rPr>
        <w:t>门/窗与墙的间隙对组合墙隔声量的影响</w:t>
      </w:r>
      <w:bookmarkEnd w:id="64"/>
    </w:p>
    <w:p>
      <w:pPr>
        <w:pStyle w:val="3"/>
        <w:ind w:firstLine="420"/>
        <w:jc w:val="left"/>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jc w:val="left"/>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1pt;width:115pt;" o:ole="t" filled="f" o:preferrelative="t" stroked="f" coordsize="21600,21600">
            <v:path/>
            <v:fill on="f" focussize="0,0"/>
            <v:stroke on="f" joinstyle="miter"/>
            <v:imagedata r:id="rId64" o:title=""/>
            <o:lock v:ext="edit" aspectratio="t"/>
            <w10:wrap type="none"/>
            <w10:anchorlock/>
          </v:shape>
          <o:OLEObject Type="Embed" ProgID="Equation.DSMT4" ShapeID="_x0000_i1045" DrawAspect="Content" ObjectID="_1468075750" r:id="rId63">
            <o:LockedField>false</o:LockedField>
          </o:OLEObject>
        </w:object>
      </w:r>
      <w:r>
        <w:rPr>
          <w:rFonts w:hint="eastAsia"/>
          <w:szCs w:val="21"/>
        </w:rPr>
        <w:t xml:space="preserve">                    </w:t>
      </w:r>
      <w:r>
        <w:rPr>
          <w:rFonts w:hint="eastAsia"/>
        </w:rPr>
        <w:t>（7.4.5）</w:t>
      </w:r>
    </w:p>
    <w:p>
      <w:pPr>
        <w:ind w:firstLine="525" w:firstLineChars="250"/>
      </w:pPr>
      <w:r>
        <w:rPr>
          <w:rFonts w:hint="eastAsia"/>
        </w:rPr>
        <w:t xml:space="preserve">式中： </w:t>
      </w:r>
      <w:r>
        <w:rPr>
          <w:i/>
          <w:sz w:val="24"/>
          <w:lang w:val="en-US"/>
        </w:rPr>
        <w:t>R</w:t>
      </w:r>
      <w:r>
        <w:rPr>
          <w:i/>
          <w:sz w:val="24"/>
          <w:vertAlign w:val="subscript"/>
          <w:lang w:val="en-US"/>
        </w:rPr>
        <w:t>0</w:t>
      </w:r>
      <w:r>
        <w:rPr>
          <w:rFonts w:hint="eastAsia"/>
        </w:rPr>
        <w:t>——隔声结构的隔声量；</w:t>
      </w:r>
    </w:p>
    <w:p>
      <w:pPr>
        <w:ind w:firstLine="1050" w:firstLineChars="500"/>
      </w:pPr>
      <w:r>
        <w:rPr>
          <w:rFonts w:hint="eastAsia"/>
        </w:rPr>
        <w:t xml:space="preserve"> </w:t>
      </w:r>
      <w:r>
        <w:rPr>
          <w:position w:val="-12"/>
        </w:rPr>
        <w:object>
          <v:shape id="_x0000_i1046" o:spt="75" type="#_x0000_t75" style="height:18.25pt;width:14.5pt;" o:ole="t" filled="f" o:preferrelative="t" stroked="f" coordsize="21600,21600">
            <v:path/>
            <v:fill on="f" focussize="0,0"/>
            <v:stroke on="f" joinstyle="miter"/>
            <v:imagedata r:id="rId66" o:title=""/>
            <o:lock v:ext="edit" aspectratio="t"/>
            <w10:wrap type="none"/>
            <w10:anchorlock/>
          </v:shape>
          <o:OLEObject Type="Embed" ProgID="Equation.DSMT4" ShapeID="_x0000_i1046" DrawAspect="Content" ObjectID="_1468075751" r:id="rId65">
            <o:LockedField>false</o:LockedField>
          </o:OLEObject>
        </w:object>
      </w:r>
      <w:r>
        <w:rPr>
          <w:rFonts w:hint="eastAsia"/>
        </w:rPr>
        <w:t>、</w:t>
      </w:r>
      <w:r>
        <w:rPr>
          <w:position w:val="-12"/>
        </w:rPr>
        <w:object>
          <v:shape id="_x0000_i1047" o:spt="75" type="#_x0000_t75" style="height:18.25pt;width:14.5pt;" o:ole="t" filled="f" o:preferrelative="t" stroked="f" coordsize="21600,21600">
            <v:path/>
            <v:fill on="f" focussize="0,0"/>
            <v:stroke on="f" joinstyle="miter"/>
            <v:imagedata r:id="rId68" o:title=""/>
            <o:lock v:ext="edit" aspectratio="t"/>
            <w10:wrap type="none"/>
            <w10:anchorlock/>
          </v:shape>
          <o:OLEObject Type="Embed" ProgID="Equation.DSMT4" ShapeID="_x0000_i1047" DrawAspect="Content" ObjectID="_1468075752" r:id="rId67">
            <o:LockedField>false</o:LockedField>
          </o:OLEObject>
        </w:object>
      </w:r>
      <w:r>
        <w:rPr>
          <w:rFonts w:hint="eastAsia"/>
        </w:rPr>
        <w:t>——分别为缝隙和组合墙的面积。</w:t>
      </w:r>
    </w:p>
    <w:p>
      <w:pPr>
        <w:rPr>
          <w:rFonts w:ascii="黑体" w:hAnsi="黑体" w:eastAsia="黑体"/>
          <w:sz w:val="18"/>
        </w:rPr>
      </w:pPr>
      <w:r>
        <w:rPr>
          <w:rFonts w:hint="eastAsia"/>
        </w:rPr>
        <w:t xml:space="preserve">  </w:t>
      </w:r>
      <w:r>
        <w:t xml:space="preserve">  </w:t>
      </w:r>
      <w:r>
        <w:rPr>
          <w:rFonts w:ascii="黑体" w:hAnsi="黑体" w:eastAsia="黑体"/>
          <w:sz w:val="18"/>
        </w:rPr>
        <w:t xml:space="preserve"> </w:t>
      </w: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bookmarkStart w:id="65" w:name="_Toc31479"/>
      <w:r>
        <w:rPr>
          <w:rFonts w:hint="eastAsia"/>
        </w:rPr>
        <w:t>室外环境噪声通过单面组合墙传到室内的噪声级计算</w:t>
      </w:r>
      <w:bookmarkEnd w:id="65"/>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71552;mso-width-relative:page;mso-height-relative:page;" o:ole="t" filled="f" o:preferrelative="t" stroked="f" coordsize="21600,21600">
            <v:path/>
            <v:fill on="f" focussize="0,0"/>
            <v:stroke on="f" joinstyle="miter"/>
            <v:imagedata r:id="rId70" o:title=""/>
            <o:lock v:ext="edit" aspectratio="t"/>
          </v:shape>
          <o:OLEObject Type="Embed" ProgID="Equation.DSMT4" ShapeID="_x0000_s1214" DrawAspect="Content" ObjectID="_1468075753" r:id="rId69">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7.2pt;width:33.3pt;" o:ole="t" filled="f" o:preferrelative="t" stroked="f" coordsize="21600,21600">
            <v:path/>
            <v:fill on="f" focussize="0,0"/>
            <v:stroke on="f" joinstyle="miter"/>
            <v:imagedata r:id="rId72" o:title=""/>
            <o:lock v:ext="edit" aspectratio="t"/>
            <w10:wrap type="none"/>
            <w10:anchorlock/>
          </v:shape>
          <o:OLEObject Type="Embed" ProgID="Equation.DSMT4" ShapeID="_x0000_i1048" DrawAspect="Content" ObjectID="_1468075754" r:id="rId7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7.2pt;width:22.55pt;" o:ole="t" filled="f" o:preferrelative="t" stroked="f" coordsize="21600,21600">
            <v:path/>
            <v:fill on="f" focussize="0,0"/>
            <v:stroke on="f" joinstyle="miter"/>
            <v:imagedata r:id="rId74" o:title=""/>
            <o:lock v:ext="edit" aspectratio="t"/>
            <w10:wrap type="none"/>
            <w10:anchorlock/>
          </v:shape>
          <o:OLEObject Type="Embed" ProgID="Equation.DSMT4" ShapeID="_x0000_i1049" DrawAspect="Content" ObjectID="_1468075755" r:id="rId73">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7.2pt;width:23.1pt;" o:ole="t" filled="f" o:preferrelative="t" stroked="f" coordsize="21600,21600">
            <v:path/>
            <v:fill on="f" focussize="0,0"/>
            <v:stroke on="f" joinstyle="miter"/>
            <v:imagedata r:id="rId76" o:title=""/>
            <o:lock v:ext="edit" aspectratio="t"/>
            <w10:wrap type="none"/>
            <w10:anchorlock/>
          </v:shape>
          <o:OLEObject Type="Embed" ProgID="Equation.DSMT4" ShapeID="_x0000_i1050" DrawAspect="Content" ObjectID="_1468075756" r:id="rId7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7.2pt;width:20.95pt;" o:ole="t" filled="f" o:preferrelative="t" stroked="f" coordsize="21600,21600">
            <v:path/>
            <v:fill on="f" focussize="0,0"/>
            <v:stroke on="f" joinstyle="miter"/>
            <v:imagedata r:id="rId78" o:title=""/>
            <o:lock v:ext="edit" aspectratio="t"/>
            <w10:wrap type="none"/>
            <w10:anchorlock/>
          </v:shape>
          <o:OLEObject Type="Embed" ProgID="Equation.DSMT4" ShapeID="_x0000_i1051" DrawAspect="Content" ObjectID="_1468075757" r:id="rId7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w:t>
            </w:r>
          </w:p>
        </w:tc>
        <w:tc>
          <w:tcPr>
            <w:vAlign w:val="center"/>
          </w:tcPr>
          <w:p>
            <w:r>
              <w:t>55</w:t>
            </w:r>
          </w:p>
        </w:tc>
        <w:tc>
          <w:tcPr>
            <w:vAlign w:val="center"/>
          </w:tcPr>
          <w:p>
            <w:r>
              <w:t>45</w:t>
            </w:r>
          </w:p>
        </w:tc>
        <w:tc>
          <w:tcPr>
            <w:vAlign w:val="center"/>
          </w:tcPr>
          <w:p>
            <w:r>
              <w:t>55</w:t>
            </w:r>
          </w:p>
        </w:tc>
        <w:tc>
          <w:tcPr>
            <w:vAlign w:val="center"/>
          </w:tcPr>
          <w:p>
            <w:r>
              <w:t>55</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外墙2+外窗(C1815)</w:t>
            </w:r>
          </w:p>
        </w:tc>
        <w:tc>
          <w:tcPr>
            <w:vAlign w:val="center"/>
          </w:tcPr>
          <w:p>
            <w:r>
              <w:t>55</w:t>
            </w:r>
          </w:p>
        </w:tc>
        <w:tc>
          <w:tcPr>
            <w:vAlign w:val="center"/>
          </w:tcPr>
          <w:p>
            <w:r>
              <w:t>45</w:t>
            </w:r>
          </w:p>
        </w:tc>
        <w:tc>
          <w:tcPr>
            <w:vAlign w:val="center"/>
          </w:tcPr>
          <w:p>
            <w:r>
              <w:t>22</w:t>
            </w:r>
          </w:p>
        </w:tc>
        <w:tc>
          <w:tcPr>
            <w:vAlign w:val="center"/>
          </w:tcPr>
          <w:p>
            <w:r>
              <w:t>22</w:t>
            </w:r>
          </w:p>
        </w:tc>
        <w:tc>
          <w:tcPr>
            <w:vAlign w:val="center"/>
          </w:tcPr>
          <w:p>
            <w:r>
              <w:t>33</w:t>
            </w:r>
          </w:p>
        </w:tc>
        <w:tc>
          <w:tcPr>
            <w:vAlign w:val="center"/>
          </w:tcPr>
          <w:p>
            <w: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w:t>
            </w:r>
          </w:p>
        </w:tc>
        <w:tc>
          <w:tcPr>
            <w:vAlign w:val="center"/>
          </w:tcPr>
          <w:p>
            <w:r>
              <w:t>55</w:t>
            </w:r>
          </w:p>
        </w:tc>
        <w:tc>
          <w:tcPr>
            <w:vAlign w:val="center"/>
          </w:tcPr>
          <w:p>
            <w:r>
              <w:t>45</w:t>
            </w:r>
          </w:p>
        </w:tc>
        <w:tc>
          <w:tcPr>
            <w:vAlign w:val="center"/>
          </w:tcPr>
          <w:p>
            <w:r>
              <w:t>60</w:t>
            </w:r>
          </w:p>
        </w:tc>
        <w:tc>
          <w:tcPr>
            <w:vAlign w:val="center"/>
          </w:tcPr>
          <w:p>
            <w:r>
              <w:t>60</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外墙4+外门(M0821)</w:t>
            </w:r>
          </w:p>
        </w:tc>
        <w:tc>
          <w:tcPr>
            <w:vAlign w:val="center"/>
          </w:tcPr>
          <w:p>
            <w:r>
              <w:t>55</w:t>
            </w:r>
          </w:p>
        </w:tc>
        <w:tc>
          <w:tcPr>
            <w:vAlign w:val="center"/>
          </w:tcPr>
          <w:p>
            <w:r>
              <w:t>45</w:t>
            </w:r>
          </w:p>
        </w:tc>
        <w:tc>
          <w:tcPr>
            <w:vAlign w:val="center"/>
          </w:tcPr>
          <w:p>
            <w:r>
              <w:t>23</w:t>
            </w:r>
          </w:p>
        </w:tc>
        <w:tc>
          <w:tcPr>
            <w:vAlign w:val="center"/>
          </w:tcPr>
          <w:p>
            <w:r>
              <w:t>23</w:t>
            </w:r>
          </w:p>
        </w:tc>
        <w:tc>
          <w:tcPr>
            <w:vAlign w:val="center"/>
          </w:tcPr>
          <w:p>
            <w:r>
              <w:t>33</w:t>
            </w:r>
          </w:p>
        </w:tc>
        <w:tc>
          <w:tcPr>
            <w:vAlign w:val="center"/>
          </w:tcPr>
          <w:p>
            <w:r>
              <w:t>23</w:t>
            </w:r>
          </w:p>
        </w:tc>
      </w:tr>
    </w:tbl>
    <w:p>
      <w:pPr>
        <w:pStyle w:val="3"/>
        <w:ind w:firstLine="619" w:firstLineChars="295"/>
        <w:jc w:val="left"/>
        <w:rPr>
          <w:rFonts w:ascii="Cambria Math" w:hAnsi="Cambria Math"/>
          <w:lang w:val="en-US"/>
        </w:rPr>
      </w:pPr>
      <w:bookmarkStart w:id="66" w:name="组合墙传到室内噪声级"/>
      <w:bookmarkEnd w:id="66"/>
    </w:p>
    <w:p>
      <w:pPr>
        <w:pStyle w:val="4"/>
      </w:pPr>
      <w:bookmarkStart w:id="67" w:name="_Toc16439"/>
      <w:r>
        <w:rPr>
          <w:rFonts w:hint="eastAsia"/>
        </w:rPr>
        <w:t>室外环境噪声通过多面组合墙传到室内的噪声级计算</w:t>
      </w:r>
      <w:bookmarkEnd w:id="67"/>
    </w:p>
    <w:p>
      <w:pPr>
        <w:pStyle w:val="3"/>
        <w:ind w:firstLine="420"/>
        <w:rPr>
          <w:lang w:val="en-US"/>
        </w:rPr>
      </w:pPr>
      <w:r>
        <w:rPr>
          <w:rFonts w:hint="eastAsia"/>
          <w:lang w:val="en-US"/>
        </w:rPr>
        <w:t xml:space="preserve">上述室外环境噪声单面组合墙传到室内的噪声级代入公式（7.6.1）可得通过多面组合墙传到室内的总噪声级，昼间为 </w:t>
      </w:r>
      <w:bookmarkStart w:id="68" w:name="昼间室外传声"/>
      <w:r>
        <w:rPr>
          <w:rFonts w:hint="eastAsia"/>
          <w:lang w:val="en-US"/>
        </w:rPr>
        <w:t>35</w:t>
      </w:r>
      <w:bookmarkEnd w:id="68"/>
      <w:r>
        <w:t xml:space="preserve"> dB</w:t>
      </w:r>
      <w:r>
        <w:rPr>
          <w:rFonts w:hint="eastAsia"/>
        </w:rPr>
        <w:t>（</w:t>
      </w:r>
      <w:r>
        <w:t>A</w:t>
      </w:r>
      <w:r>
        <w:rPr>
          <w:rFonts w:hint="eastAsia"/>
        </w:rPr>
        <w:t>）</w:t>
      </w:r>
      <w:r>
        <w:rPr>
          <w:rFonts w:hint="eastAsia"/>
          <w:lang w:val="en-US"/>
        </w:rPr>
        <w:t xml:space="preserve"> ，夜间为 </w:t>
      </w:r>
      <w:bookmarkStart w:id="69" w:name="夜间室外传声"/>
      <w:r>
        <w:rPr>
          <w:rFonts w:hint="eastAsia"/>
          <w:lang w:val="en-US"/>
        </w:rPr>
        <w:t>25</w:t>
      </w:r>
      <w:bookmarkEnd w:id="69"/>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position w:val="-28"/>
          <w:szCs w:val="21"/>
        </w:rPr>
      </w:pPr>
      <w:r>
        <w:rPr>
          <w:position w:val="-28"/>
          <w:szCs w:val="21"/>
        </w:rPr>
        <w:object>
          <v:shape id="_x0000_i1052" o:spt="75" type="#_x0000_t75" style="height:40.85pt;width:126.8pt;" o:ole="t" filled="f" o:preferrelative="t" stroked="f" coordsize="21600,21600">
            <v:path/>
            <v:fill on="f" focussize="0,0"/>
            <v:stroke on="f" joinstyle="miter"/>
            <v:imagedata r:id="rId80" o:title=""/>
            <o:lock v:ext="edit" aspectratio="t"/>
            <w10:wrap type="none"/>
            <w10:anchorlock/>
          </v:shape>
          <o:OLEObject Type="Embed" ProgID="Equation.DSMT4" ShapeID="_x0000_i1052" DrawAspect="Content" ObjectID="_1468075758" r:id="rId79">
            <o:LockedField>false</o:LockedField>
          </o:OLEObject>
        </w:object>
      </w:r>
      <w:r>
        <w:rPr>
          <w:rFonts w:hint="eastAsia"/>
          <w:position w:val="-28"/>
          <w:szCs w:val="21"/>
        </w:rPr>
        <w:t xml:space="preserve">                      </w:t>
      </w:r>
      <w:r>
        <w:rPr>
          <w:position w:val="-28"/>
          <w:szCs w:val="21"/>
        </w:rPr>
        <w:t>（7.6.1）</w:t>
      </w:r>
    </w:p>
    <w:p>
      <w:pPr>
        <w:ind w:firstLine="2415" w:firstLineChars="1150"/>
        <w:rPr>
          <w:kern w:val="2"/>
          <w:szCs w:val="21"/>
          <w:lang w:val="en-US"/>
        </w:rPr>
      </w:pP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7.2pt;width:27.4pt;" o:ole="t" filled="f" o:preferrelative="t" stroked="f" coordsize="21600,21600">
            <v:path/>
            <v:fill on="f" focussize="0,0"/>
            <v:stroke on="f" joinstyle="miter"/>
            <v:imagedata r:id="rId82" o:title=""/>
            <o:lock v:ext="edit" aspectratio="t"/>
            <w10:wrap type="none"/>
            <w10:anchorlock/>
          </v:shape>
          <o:OLEObject Type="Embed" ProgID="Equation.DSMT4" ShapeID="_x0000_i1053" DrawAspect="Content" ObjectID="_1468075759" r:id="rId81">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7.2pt;width:33.3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60" r:id="rId83">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bookmarkStart w:id="70" w:name="_Toc22395"/>
      <w:r>
        <w:rPr>
          <w:rFonts w:hint="eastAsia"/>
        </w:rPr>
        <w:t>建筑内声源传到室内的噪声级计算</w:t>
      </w:r>
      <w:bookmarkEnd w:id="70"/>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ctrlPr>
                <w:rPr>
                  <w:rFonts w:ascii="Cambria Math" w:hAnsi="Cambria Math"/>
                  <w:sz w:val="24"/>
                  <w:lang w:val="en-US"/>
                </w:rPr>
              </m:ctrlPr>
            </m:e>
            <m:sub>
              <m:r>
                <w:rPr>
                  <w:rFonts w:ascii="Cambria Math" w:hAnsi="Cambria Math"/>
                  <w:sz w:val="24"/>
                  <w:lang w:val="en-US"/>
                </w:rPr>
                <m:t>X</m:t>
              </m:r>
              <m:ctrlPr>
                <w:rPr>
                  <w:rFonts w:ascii="Cambria Math" w:hAnsi="Cambria Math"/>
                  <w:sz w:val="24"/>
                  <w:lang w:val="en-US"/>
                </w:rPr>
              </m:ctrlP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ctrlPr>
                <w:rPr>
                  <w:rFonts w:ascii="Cambria Math" w:hAnsi="Cambria Math"/>
                  <w:sz w:val="24"/>
                  <w:szCs w:val="28"/>
                </w:rPr>
              </m:ctrlPr>
            </m:sub>
            <m:sup>
              <m: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w:rPr>
                      <w:rFonts w:ascii="Cambria Math" w:hAnsi="Cambria Math"/>
                      <w:sz w:val="24"/>
                      <w:szCs w:val="28"/>
                    </w:rPr>
                    <m:t>10</m:t>
                  </m:r>
                  <m:ctrlPr>
                    <w:rPr>
                      <w:rFonts w:ascii="Cambria Math" w:hAnsi="Cambria Math"/>
                      <w:i/>
                      <w:sz w:val="24"/>
                      <w:szCs w:val="28"/>
                    </w:rPr>
                  </m:ctrlP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w:rPr>
                              <w:rFonts w:ascii="Cambria Math" w:hAnsi="Cambria Math"/>
                              <w:sz w:val="24"/>
                              <w:szCs w:val="28"/>
                              <w:lang w:val="en-US"/>
                            </w:rPr>
                            <m:t>X</m:t>
                          </m:r>
                          <m:ctrlPr>
                            <w:rPr>
                              <w:rFonts w:ascii="Cambria Math" w:hAnsi="Cambria Math"/>
                              <w:i/>
                              <w:sz w:val="24"/>
                              <w:szCs w:val="28"/>
                              <w:lang w:val="en-US"/>
                            </w:rPr>
                          </m:ctrlPr>
                        </m:e>
                        <m:sub>
                          <m: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pPr>
        <w:rPr>
          <w:szCs w:val="21"/>
        </w:rPr>
      </w:pPr>
      <w:r>
        <w:rPr>
          <w:rFonts w:hint="eastAsia"/>
          <w:szCs w:val="21"/>
        </w:rPr>
        <w:t>式中：</w:t>
      </w:r>
    </w:p>
    <w:p>
      <w:pPr>
        <w:pStyle w:val="3"/>
        <w:ind w:firstLine="1155" w:firstLineChars="550"/>
      </w:pPr>
      <w:r>
        <w:rPr>
          <w:position w:val="-12"/>
        </w:rPr>
        <w:object>
          <v:shape id="_x0000_i1055" o:spt="75" type="#_x0000_t75" style="height:17.2pt;width:15.05pt;" o:ole="t" filled="f" o:preferrelative="t" stroked="f" coordsize="21600,21600">
            <v:path/>
            <v:fill on="f" focussize="0,0"/>
            <v:stroke on="f" joinstyle="miter"/>
            <v:imagedata r:id="rId85" o:title=""/>
            <o:lock v:ext="edit" aspectratio="t"/>
            <w10:wrap type="none"/>
            <w10:anchorlock/>
          </v:shape>
          <o:OLEObject Type="Embed" ProgID="Equation.DSMT4" ShapeID="_x0000_i1055" DrawAspect="Content" ObjectID="_1468075761" r:id="rId84">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1132" w:firstLineChars="472"/>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7.7 </w:t>
      </w:r>
      <w:r>
        <w:rPr>
          <w:rFonts w:hint="eastAsia" w:ascii="黑体" w:hAnsi="黑体" w:eastAsia="黑体"/>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pStyle w:val="3"/>
        <w:ind w:firstLine="619" w:firstLineChars="295"/>
        <w:jc w:val="left"/>
        <w:rPr>
          <w:rFonts w:ascii="Cambria Math" w:hAnsi="Cambria Math"/>
        </w:rPr>
      </w:pPr>
      <w:bookmarkStart w:id="71" w:name="建筑内声源传声"/>
      <w:bookmarkEnd w:id="71"/>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2" w:name="_Toc21781"/>
      <w:r>
        <w:rPr>
          <w:rFonts w:hint="eastAsia"/>
        </w:rPr>
        <w:t>室内噪声级计算</w:t>
      </w:r>
      <w:bookmarkEnd w:id="72"/>
    </w:p>
    <w:p>
      <w:pPr>
        <w:spacing w:line="360" w:lineRule="auto"/>
        <w:ind w:firstLine="420" w:firstLineChars="20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ctrlPr>
              <w:rPr>
                <w:rFonts w:ascii="Cambria Math" w:hAnsi="Cambria Math"/>
                <w:sz w:val="28"/>
                <w:szCs w:val="28"/>
              </w:rPr>
            </m:ctrlPr>
          </m:e>
          <m:sub>
            <m: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10</m:t>
            </m:r>
            <m:ctrlPr>
              <w:rPr>
                <w:rFonts w:ascii="Cambria Math" w:hAnsi="Cambria Math"/>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6" o:spt="75" type="#_x0000_t75" style="height:17.2pt;width:27.4pt;" o:ole="t" filled="f" o:preferrelative="t" stroked="f" coordsize="21600,21600">
                  <v:path/>
                  <v:fill on="f" focussize="0,0"/>
                  <v:stroke on="f" joinstyle="miter"/>
                  <v:imagedata r:id="rId82" o:title=""/>
                  <o:lock v:ext="edit" aspectratio="t"/>
                  <w10:wrap type="none"/>
                  <w10:anchorlock/>
                </v:shape>
                <o:OLEObject Type="Embed" ProgID="Equation.DSMT4" ShapeID="_x0000_i1056" DrawAspect="Content" ObjectID="_1468075762" r:id="rId86">
                  <o:LockedField>false</o:LockedField>
                </o:OLEObject>
              </w:object>
            </m:r>
            <m:ctrlPr>
              <w:rPr>
                <w:rFonts w:ascii="Cambria Math" w:hAnsi="Cambria Math"/>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7" o:spt="75" type="#_x0000_t75" style="height:17.2pt;width:15.05pt;" o:ole="t" filled="f" o:preferrelative="t" stroked="f" coordsize="21600,21600">
                  <v:path/>
                  <v:fill on="f" focussize="0,0"/>
                  <v:stroke on="f" joinstyle="miter"/>
                  <v:imagedata r:id="rId85" o:title=""/>
                  <o:lock v:ext="edit" aspectratio="t"/>
                  <w10:wrap type="none"/>
                  <w10:anchorlock/>
                </v:shape>
                <o:OLEObject Type="Embed" ProgID="Equation.DSMT4" ShapeID="_x0000_i1057" DrawAspect="Content" ObjectID="_1468075763" r:id="rId87">
                  <o:LockedField>false</o:LockedField>
                </o:OLEObject>
              </w:object>
            </m:r>
            <m:ctrlPr>
              <w:rPr>
                <w:rFonts w:ascii="Cambria Math" w:hAnsi="Cambria Math"/>
                <w:i/>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7.2pt;width:15.05pt;" o:ole="t" filled="f" o:preferrelative="t" stroked="f" coordsize="21600,21600">
            <v:path/>
            <v:fill on="f" focussize="0,0"/>
            <v:stroke on="f" joinstyle="miter"/>
            <v:imagedata r:id="rId90" o:title=""/>
            <o:lock v:ext="edit" aspectratio="t"/>
            <w10:wrap type="none"/>
            <w10:anchorlock/>
          </v:shape>
          <o:OLEObject Type="Embed" ProgID="Equation.DSMT4" ShapeID="_x0000_i1058" DrawAspect="Content" ObjectID="_1468075764" r:id="rId89">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7.2pt;width:27.4pt;" o:ole="t" filled="f" o:preferrelative="t" stroked="f" coordsize="21600,21600">
            <v:path/>
            <v:fill on="f" focussize="0,0"/>
            <v:stroke on="f" joinstyle="miter"/>
            <v:imagedata r:id="rId82" o:title=""/>
            <o:lock v:ext="edit" aspectratio="t"/>
            <w10:wrap type="none"/>
            <w10:anchorlock/>
          </v:shape>
          <o:OLEObject Type="Embed" ProgID="Equation.DSMT4" ShapeID="_x0000_i1059" DrawAspect="Content" ObjectID="_1468075765" r:id="rId91">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7.2pt;width:15.05pt;" o:ole="t" filled="f" o:preferrelative="t" stroked="f" coordsize="21600,21600">
            <v:path/>
            <v:fill on="f" focussize="0,0"/>
            <v:stroke on="f" joinstyle="miter"/>
            <v:imagedata r:id="rId85" o:title=""/>
            <o:lock v:ext="edit" aspectratio="t"/>
            <w10:wrap type="none"/>
            <w10:anchorlock/>
          </v:shape>
          <o:OLEObject Type="Embed" ProgID="Equation.DSMT4" ShapeID="_x0000_i1060" DrawAspect="Content" ObjectID="_1468075766" r:id="rId92">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jc w:val="right"/>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7.8  </w:t>
      </w:r>
      <w:r>
        <w:rPr>
          <w:rFonts w:hint="eastAsia" w:ascii="黑体" w:hAnsi="黑体" w:eastAsia="黑体"/>
          <w:lang w:val="en-US"/>
        </w:rPr>
        <w:t>最不利房间室内噪声值                 单位</w:t>
      </w:r>
      <w:r>
        <w:rPr>
          <w:rFonts w:ascii="黑体" w:hAnsi="黑体" w:eastAsia="黑体"/>
          <w:lang w:val="en-US"/>
        </w:rPr>
        <w:t>：dB</w:t>
      </w:r>
      <w:r>
        <w:rPr>
          <w:rFonts w:hint="eastAsia" w:ascii="黑体" w:hAnsi="黑体" w:eastAsia="黑体"/>
          <w:lang w:val="en-US"/>
        </w:rPr>
        <w:t>（</w:t>
      </w:r>
      <w:r>
        <w:rPr>
          <w:rFonts w:ascii="黑体" w:hAnsi="黑体" w:eastAsia="黑体"/>
          <w:lang w:val="en-US"/>
        </w:rPr>
        <w:t>A</w:t>
      </w:r>
      <w:r>
        <w:rPr>
          <w:rFonts w:hint="eastAsia" w:ascii="黑体" w:hAnsi="黑体" w:eastAsia="黑体"/>
          <w:lang w:val="en-US"/>
        </w:rPr>
        <w:t>）</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rPr>
                <w:b/>
              </w:rPr>
              <w:t>35</w:t>
            </w:r>
          </w:p>
        </w:tc>
        <w:tc>
          <w:tcPr>
            <w:vAlign w:val="center"/>
          </w:tcPr>
          <w:p>
            <w:pPr>
              <w:jc w:val="center"/>
            </w:pPr>
            <w:r>
              <w:rPr>
                <w:b/>
              </w:rPr>
              <w:t>25</w:t>
            </w:r>
          </w:p>
        </w:tc>
        <w:tc>
          <w:tcPr>
            <w:vAlign w:val="center"/>
          </w:tcPr>
          <w:p>
            <w:pPr>
              <w:jc w:val="center"/>
            </w:pPr>
            <w:r>
              <w:t>低限:≤45,高要求:≤40</w:t>
            </w:r>
          </w:p>
        </w:tc>
        <w:tc>
          <w:tcPr>
            <w:vAlign w:val="center"/>
          </w:tcPr>
          <w:p>
            <w:pPr>
              <w:jc w:val="center"/>
            </w:pPr>
            <w:r>
              <w:t>低限:≤37,高要求:≤30</w:t>
            </w:r>
          </w:p>
        </w:tc>
        <w:tc>
          <w:tcPr>
            <w:vAlign w:val="center"/>
          </w:tcPr>
          <w:p>
            <w:r>
              <w:rPr>
                <w:b/>
              </w:rPr>
              <w:t>满足高要求</w:t>
            </w:r>
          </w:p>
        </w:tc>
      </w:tr>
    </w:tbl>
    <w:p>
      <w:pPr>
        <w:pStyle w:val="3"/>
        <w:ind w:firstLine="315" w:firstLineChars="150"/>
        <w:jc w:val="left"/>
        <w:rPr>
          <w:rFonts w:ascii="Cambria Math" w:hAnsi="Cambria Math"/>
        </w:rPr>
      </w:pPr>
      <w:bookmarkStart w:id="73" w:name="最不利房间室内噪声级统计"/>
      <w:bookmarkEnd w:id="73"/>
    </w:p>
    <w:bookmarkEnd w:id="30"/>
    <w:p>
      <w:pPr>
        <w:pStyle w:val="2"/>
        <w:rPr>
          <w:kern w:val="2"/>
        </w:rPr>
      </w:pPr>
      <w:bookmarkStart w:id="74" w:name="_Toc26821"/>
      <w:r>
        <w:rPr>
          <w:rFonts w:hint="eastAsia"/>
          <w:kern w:val="2"/>
        </w:rPr>
        <w:t>结论</w:t>
      </w:r>
      <w:bookmarkEnd w:id="74"/>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w:t>
      </w:r>
      <w:r>
        <w:rPr>
          <w:rFonts w:ascii="Times New Roman" w:hAnsi="Times New Roman" w:eastAsia="宋体"/>
          <w:sz w:val="21"/>
          <w:szCs w:val="21"/>
        </w:rPr>
        <w:t>上述计算可知，根据《绿色建筑评价标准》GB/T50378-2019和《民用建筑隔声设计规范》GB50118-2010评价</w:t>
      </w:r>
      <w:r>
        <w:rPr>
          <w:rFonts w:hint="eastAsia" w:ascii="宋体" w:hAnsi="宋体" w:eastAsia="宋体"/>
          <w:sz w:val="21"/>
          <w:szCs w:val="21"/>
        </w:rPr>
        <w:t>要求，本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75" w:name="最不利房间编号"/>
      <w:r>
        <w:t>1007[卧室]</w:t>
      </w:r>
      <w:bookmarkEnd w:id="75"/>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76" w:name="室内噪声控制项结论"/>
            <w:r>
              <w:rPr>
                <w:b/>
              </w:rPr>
              <w:t>满足</w:t>
            </w:r>
            <w:bookmarkEnd w:id="76"/>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77" w:name="室内噪声评分项结论"/>
            <w:r>
              <w:rPr>
                <w:b/>
              </w:rPr>
              <w:t>满足高要求</w:t>
            </w:r>
            <w:bookmarkEnd w:id="77"/>
          </w:p>
        </w:tc>
        <w:tc>
          <w:tcPr>
            <w:tcW w:w="731" w:type="dxa"/>
            <w:vAlign w:val="center"/>
          </w:tcPr>
          <w:p>
            <w:pPr>
              <w:spacing w:line="276" w:lineRule="auto"/>
              <w:jc w:val="center"/>
              <w:rPr>
                <w:color w:val="FF0000"/>
              </w:rPr>
            </w:pPr>
            <w:bookmarkStart w:id="78" w:name="室内噪声得分"/>
            <w:r>
              <w:t>8</w:t>
            </w:r>
            <w:bookmarkEnd w:id="78"/>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14</w:t>
    </w:r>
    <w:r>
      <w:fldChar w:fldCharType="end"/>
    </w:r>
    <w:r>
      <w:ptab w:relativeTo="margin" w:alignment="right" w:leader="none"/>
    </w:r>
    <w:r>
      <w:t>SEDU2020</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室内噪声级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4FF10B5"/>
    <w:multiLevelType w:val="multilevel"/>
    <w:tmpl w:val="24FF10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14BF6"/>
    <w:rsid w:val="000057CC"/>
    <w:rsid w:val="000178BE"/>
    <w:rsid w:val="00025747"/>
    <w:rsid w:val="000270B6"/>
    <w:rsid w:val="000302BB"/>
    <w:rsid w:val="00036BD4"/>
    <w:rsid w:val="00037A4C"/>
    <w:rsid w:val="000404C5"/>
    <w:rsid w:val="000414FB"/>
    <w:rsid w:val="00050AA8"/>
    <w:rsid w:val="000511BF"/>
    <w:rsid w:val="000528F3"/>
    <w:rsid w:val="0005344B"/>
    <w:rsid w:val="000550F1"/>
    <w:rsid w:val="00057B4E"/>
    <w:rsid w:val="00060B85"/>
    <w:rsid w:val="0006480D"/>
    <w:rsid w:val="000727CB"/>
    <w:rsid w:val="00072E25"/>
    <w:rsid w:val="00076CD8"/>
    <w:rsid w:val="00081562"/>
    <w:rsid w:val="00081CA0"/>
    <w:rsid w:val="00085CFA"/>
    <w:rsid w:val="000863B4"/>
    <w:rsid w:val="0008712B"/>
    <w:rsid w:val="0009012E"/>
    <w:rsid w:val="000915B5"/>
    <w:rsid w:val="00092658"/>
    <w:rsid w:val="00092D32"/>
    <w:rsid w:val="0009435E"/>
    <w:rsid w:val="00094482"/>
    <w:rsid w:val="000A0031"/>
    <w:rsid w:val="000A2430"/>
    <w:rsid w:val="000B711D"/>
    <w:rsid w:val="000C042E"/>
    <w:rsid w:val="000C46EB"/>
    <w:rsid w:val="000C52A3"/>
    <w:rsid w:val="000C7E50"/>
    <w:rsid w:val="000D04AB"/>
    <w:rsid w:val="000D5BDD"/>
    <w:rsid w:val="000D6BF4"/>
    <w:rsid w:val="000E37BC"/>
    <w:rsid w:val="000F12F3"/>
    <w:rsid w:val="000F2980"/>
    <w:rsid w:val="000F456E"/>
    <w:rsid w:val="000F561E"/>
    <w:rsid w:val="000F5EC3"/>
    <w:rsid w:val="000F5F60"/>
    <w:rsid w:val="000F79E6"/>
    <w:rsid w:val="000F7EF2"/>
    <w:rsid w:val="00103ACD"/>
    <w:rsid w:val="00103F16"/>
    <w:rsid w:val="00104873"/>
    <w:rsid w:val="00105036"/>
    <w:rsid w:val="0010554E"/>
    <w:rsid w:val="001068AB"/>
    <w:rsid w:val="00111436"/>
    <w:rsid w:val="001141D0"/>
    <w:rsid w:val="00117F91"/>
    <w:rsid w:val="001220AD"/>
    <w:rsid w:val="00122AE1"/>
    <w:rsid w:val="0012763C"/>
    <w:rsid w:val="00132799"/>
    <w:rsid w:val="00132A9D"/>
    <w:rsid w:val="00132B3F"/>
    <w:rsid w:val="0013660F"/>
    <w:rsid w:val="00140292"/>
    <w:rsid w:val="0014485F"/>
    <w:rsid w:val="00144A77"/>
    <w:rsid w:val="00145801"/>
    <w:rsid w:val="00146045"/>
    <w:rsid w:val="0014726E"/>
    <w:rsid w:val="0014776A"/>
    <w:rsid w:val="001507C6"/>
    <w:rsid w:val="00150D9A"/>
    <w:rsid w:val="00151194"/>
    <w:rsid w:val="0015456A"/>
    <w:rsid w:val="00156ED8"/>
    <w:rsid w:val="00162119"/>
    <w:rsid w:val="0016347E"/>
    <w:rsid w:val="001662D2"/>
    <w:rsid w:val="0017047C"/>
    <w:rsid w:val="00171281"/>
    <w:rsid w:val="001726B4"/>
    <w:rsid w:val="001738D0"/>
    <w:rsid w:val="00173E0C"/>
    <w:rsid w:val="0017719A"/>
    <w:rsid w:val="00181142"/>
    <w:rsid w:val="00182F5F"/>
    <w:rsid w:val="00186954"/>
    <w:rsid w:val="00192E22"/>
    <w:rsid w:val="00193381"/>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5606"/>
    <w:rsid w:val="001E74ED"/>
    <w:rsid w:val="001E7810"/>
    <w:rsid w:val="001F1340"/>
    <w:rsid w:val="001F1B9C"/>
    <w:rsid w:val="001F35E4"/>
    <w:rsid w:val="00200077"/>
    <w:rsid w:val="00202C68"/>
    <w:rsid w:val="00203A7D"/>
    <w:rsid w:val="00206392"/>
    <w:rsid w:val="0020679A"/>
    <w:rsid w:val="00206A94"/>
    <w:rsid w:val="00210C5E"/>
    <w:rsid w:val="0021109C"/>
    <w:rsid w:val="00212E00"/>
    <w:rsid w:val="00212F6C"/>
    <w:rsid w:val="00216454"/>
    <w:rsid w:val="00223759"/>
    <w:rsid w:val="00225312"/>
    <w:rsid w:val="00225602"/>
    <w:rsid w:val="00227D69"/>
    <w:rsid w:val="00231DD0"/>
    <w:rsid w:val="00235A86"/>
    <w:rsid w:val="00235BAE"/>
    <w:rsid w:val="002475D3"/>
    <w:rsid w:val="00247D11"/>
    <w:rsid w:val="00250E68"/>
    <w:rsid w:val="0025111F"/>
    <w:rsid w:val="002521D0"/>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F26"/>
    <w:rsid w:val="00294384"/>
    <w:rsid w:val="00296137"/>
    <w:rsid w:val="00296DBF"/>
    <w:rsid w:val="002A0167"/>
    <w:rsid w:val="002A1300"/>
    <w:rsid w:val="002A3533"/>
    <w:rsid w:val="002A738F"/>
    <w:rsid w:val="002B0047"/>
    <w:rsid w:val="002B006B"/>
    <w:rsid w:val="002B0EC9"/>
    <w:rsid w:val="002B2DC4"/>
    <w:rsid w:val="002B4C64"/>
    <w:rsid w:val="002B6241"/>
    <w:rsid w:val="002C4D85"/>
    <w:rsid w:val="002C4DC4"/>
    <w:rsid w:val="002D28D9"/>
    <w:rsid w:val="002D4F7F"/>
    <w:rsid w:val="002D5DEA"/>
    <w:rsid w:val="002E541A"/>
    <w:rsid w:val="002E5AB8"/>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27B80"/>
    <w:rsid w:val="00331B2A"/>
    <w:rsid w:val="003329E7"/>
    <w:rsid w:val="00335D13"/>
    <w:rsid w:val="00335E25"/>
    <w:rsid w:val="00336628"/>
    <w:rsid w:val="00336A37"/>
    <w:rsid w:val="00336E90"/>
    <w:rsid w:val="00337830"/>
    <w:rsid w:val="00341FF3"/>
    <w:rsid w:val="00346C12"/>
    <w:rsid w:val="00351EC1"/>
    <w:rsid w:val="003562FB"/>
    <w:rsid w:val="003572DD"/>
    <w:rsid w:val="00363AE9"/>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C1A10"/>
    <w:rsid w:val="003D016F"/>
    <w:rsid w:val="003D4326"/>
    <w:rsid w:val="003D7A39"/>
    <w:rsid w:val="003E0A1D"/>
    <w:rsid w:val="003E0BD9"/>
    <w:rsid w:val="003E4673"/>
    <w:rsid w:val="003E4858"/>
    <w:rsid w:val="003E48D5"/>
    <w:rsid w:val="003E601A"/>
    <w:rsid w:val="003E6F01"/>
    <w:rsid w:val="003E758A"/>
    <w:rsid w:val="003F2EE9"/>
    <w:rsid w:val="003F3363"/>
    <w:rsid w:val="003F5884"/>
    <w:rsid w:val="00404EB4"/>
    <w:rsid w:val="004112B5"/>
    <w:rsid w:val="0041508A"/>
    <w:rsid w:val="00417C57"/>
    <w:rsid w:val="00423857"/>
    <w:rsid w:val="0042677D"/>
    <w:rsid w:val="00426DE1"/>
    <w:rsid w:val="00427646"/>
    <w:rsid w:val="004304FA"/>
    <w:rsid w:val="004305E8"/>
    <w:rsid w:val="00430663"/>
    <w:rsid w:val="004354AF"/>
    <w:rsid w:val="00435EDA"/>
    <w:rsid w:val="004414C5"/>
    <w:rsid w:val="0044357B"/>
    <w:rsid w:val="00446AD7"/>
    <w:rsid w:val="004479EE"/>
    <w:rsid w:val="00456131"/>
    <w:rsid w:val="00462EFE"/>
    <w:rsid w:val="004669AD"/>
    <w:rsid w:val="004713DD"/>
    <w:rsid w:val="00471704"/>
    <w:rsid w:val="00471CDA"/>
    <w:rsid w:val="00472D22"/>
    <w:rsid w:val="004739B1"/>
    <w:rsid w:val="00477B61"/>
    <w:rsid w:val="00481515"/>
    <w:rsid w:val="004826B3"/>
    <w:rsid w:val="00484E94"/>
    <w:rsid w:val="00484ED2"/>
    <w:rsid w:val="00485BE4"/>
    <w:rsid w:val="00490644"/>
    <w:rsid w:val="00491933"/>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09D7"/>
    <w:rsid w:val="004E2611"/>
    <w:rsid w:val="004E31AF"/>
    <w:rsid w:val="004E6C50"/>
    <w:rsid w:val="004F17A2"/>
    <w:rsid w:val="004F1A5A"/>
    <w:rsid w:val="00500DF3"/>
    <w:rsid w:val="0050280E"/>
    <w:rsid w:val="00503845"/>
    <w:rsid w:val="00503870"/>
    <w:rsid w:val="00505EC0"/>
    <w:rsid w:val="00506614"/>
    <w:rsid w:val="00507247"/>
    <w:rsid w:val="00507685"/>
    <w:rsid w:val="005104A7"/>
    <w:rsid w:val="00511A9C"/>
    <w:rsid w:val="00514190"/>
    <w:rsid w:val="00514B91"/>
    <w:rsid w:val="00514D6D"/>
    <w:rsid w:val="005174FD"/>
    <w:rsid w:val="00517BC7"/>
    <w:rsid w:val="005215FB"/>
    <w:rsid w:val="00524556"/>
    <w:rsid w:val="00524CCD"/>
    <w:rsid w:val="00525DEC"/>
    <w:rsid w:val="00525F3C"/>
    <w:rsid w:val="005332D1"/>
    <w:rsid w:val="00534262"/>
    <w:rsid w:val="00537554"/>
    <w:rsid w:val="005411C1"/>
    <w:rsid w:val="00541ECB"/>
    <w:rsid w:val="00542AFF"/>
    <w:rsid w:val="0054531E"/>
    <w:rsid w:val="00546AB4"/>
    <w:rsid w:val="00547BEE"/>
    <w:rsid w:val="00550B7C"/>
    <w:rsid w:val="0055186F"/>
    <w:rsid w:val="00554A1F"/>
    <w:rsid w:val="00555081"/>
    <w:rsid w:val="005606FC"/>
    <w:rsid w:val="005636CC"/>
    <w:rsid w:val="00564CBB"/>
    <w:rsid w:val="005650D2"/>
    <w:rsid w:val="00567CE7"/>
    <w:rsid w:val="005743BE"/>
    <w:rsid w:val="0057558A"/>
    <w:rsid w:val="005755BA"/>
    <w:rsid w:val="00577B62"/>
    <w:rsid w:val="005837AF"/>
    <w:rsid w:val="00583AB5"/>
    <w:rsid w:val="005869B1"/>
    <w:rsid w:val="00591542"/>
    <w:rsid w:val="005A47F0"/>
    <w:rsid w:val="005A4F22"/>
    <w:rsid w:val="005A5ADF"/>
    <w:rsid w:val="005B017E"/>
    <w:rsid w:val="005B1930"/>
    <w:rsid w:val="005B3421"/>
    <w:rsid w:val="005B4602"/>
    <w:rsid w:val="005B67B3"/>
    <w:rsid w:val="005B7BF3"/>
    <w:rsid w:val="005C127C"/>
    <w:rsid w:val="005C2D35"/>
    <w:rsid w:val="005C3074"/>
    <w:rsid w:val="005C4E38"/>
    <w:rsid w:val="005C5775"/>
    <w:rsid w:val="005C6386"/>
    <w:rsid w:val="005C7B13"/>
    <w:rsid w:val="005E10C1"/>
    <w:rsid w:val="005E18E7"/>
    <w:rsid w:val="005E229A"/>
    <w:rsid w:val="005E245E"/>
    <w:rsid w:val="005E4EEF"/>
    <w:rsid w:val="005E5FD4"/>
    <w:rsid w:val="005E6FE5"/>
    <w:rsid w:val="005F098A"/>
    <w:rsid w:val="005F0F95"/>
    <w:rsid w:val="006040BC"/>
    <w:rsid w:val="00604882"/>
    <w:rsid w:val="00605B75"/>
    <w:rsid w:val="00607562"/>
    <w:rsid w:val="0061227D"/>
    <w:rsid w:val="006138D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2FE2"/>
    <w:rsid w:val="006637F8"/>
    <w:rsid w:val="00663FB4"/>
    <w:rsid w:val="0066436D"/>
    <w:rsid w:val="00664438"/>
    <w:rsid w:val="00665289"/>
    <w:rsid w:val="00665865"/>
    <w:rsid w:val="006671A7"/>
    <w:rsid w:val="006729DC"/>
    <w:rsid w:val="00674EC7"/>
    <w:rsid w:val="00675679"/>
    <w:rsid w:val="006808C9"/>
    <w:rsid w:val="0068126C"/>
    <w:rsid w:val="00686FCB"/>
    <w:rsid w:val="0068795A"/>
    <w:rsid w:val="006901AA"/>
    <w:rsid w:val="00691F24"/>
    <w:rsid w:val="0069269A"/>
    <w:rsid w:val="00694FCA"/>
    <w:rsid w:val="00696922"/>
    <w:rsid w:val="00697C33"/>
    <w:rsid w:val="006A0F3B"/>
    <w:rsid w:val="006A5466"/>
    <w:rsid w:val="006A5A7E"/>
    <w:rsid w:val="006A6FDD"/>
    <w:rsid w:val="006A7FA9"/>
    <w:rsid w:val="006B0A24"/>
    <w:rsid w:val="006B4607"/>
    <w:rsid w:val="006B5F00"/>
    <w:rsid w:val="006B63BC"/>
    <w:rsid w:val="006B6666"/>
    <w:rsid w:val="006B7083"/>
    <w:rsid w:val="006C0315"/>
    <w:rsid w:val="006C228F"/>
    <w:rsid w:val="006C351F"/>
    <w:rsid w:val="006C3B4F"/>
    <w:rsid w:val="006C4DF3"/>
    <w:rsid w:val="006C5E19"/>
    <w:rsid w:val="006C6E2B"/>
    <w:rsid w:val="006D1AC5"/>
    <w:rsid w:val="006D3D73"/>
    <w:rsid w:val="006D6761"/>
    <w:rsid w:val="006D7F7D"/>
    <w:rsid w:val="006E203E"/>
    <w:rsid w:val="006E2EB4"/>
    <w:rsid w:val="006E38AD"/>
    <w:rsid w:val="006E3B8E"/>
    <w:rsid w:val="006E5E58"/>
    <w:rsid w:val="006F140D"/>
    <w:rsid w:val="006F450A"/>
    <w:rsid w:val="007006E0"/>
    <w:rsid w:val="007062E4"/>
    <w:rsid w:val="007135DF"/>
    <w:rsid w:val="00715EC8"/>
    <w:rsid w:val="00717045"/>
    <w:rsid w:val="00721868"/>
    <w:rsid w:val="00724723"/>
    <w:rsid w:val="00727126"/>
    <w:rsid w:val="00727FFA"/>
    <w:rsid w:val="007317C9"/>
    <w:rsid w:val="00735181"/>
    <w:rsid w:val="00736D39"/>
    <w:rsid w:val="0073754A"/>
    <w:rsid w:val="00740532"/>
    <w:rsid w:val="00740EDD"/>
    <w:rsid w:val="00741B24"/>
    <w:rsid w:val="00744F2F"/>
    <w:rsid w:val="00747928"/>
    <w:rsid w:val="00754A24"/>
    <w:rsid w:val="00756C55"/>
    <w:rsid w:val="007577A6"/>
    <w:rsid w:val="00762546"/>
    <w:rsid w:val="007632E0"/>
    <w:rsid w:val="00770216"/>
    <w:rsid w:val="00773408"/>
    <w:rsid w:val="00773775"/>
    <w:rsid w:val="007746B0"/>
    <w:rsid w:val="00775918"/>
    <w:rsid w:val="00775E04"/>
    <w:rsid w:val="00776355"/>
    <w:rsid w:val="007770D0"/>
    <w:rsid w:val="00781ECB"/>
    <w:rsid w:val="00784655"/>
    <w:rsid w:val="007879E7"/>
    <w:rsid w:val="00790013"/>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C7A7E"/>
    <w:rsid w:val="007D2654"/>
    <w:rsid w:val="007D416C"/>
    <w:rsid w:val="007D5628"/>
    <w:rsid w:val="007D7170"/>
    <w:rsid w:val="007D7812"/>
    <w:rsid w:val="007D7FC4"/>
    <w:rsid w:val="007E0AB9"/>
    <w:rsid w:val="007E2D68"/>
    <w:rsid w:val="007E39B8"/>
    <w:rsid w:val="007E5D3E"/>
    <w:rsid w:val="007E6EBA"/>
    <w:rsid w:val="007F65FB"/>
    <w:rsid w:val="007F7134"/>
    <w:rsid w:val="008014AB"/>
    <w:rsid w:val="00811404"/>
    <w:rsid w:val="00813936"/>
    <w:rsid w:val="008170B0"/>
    <w:rsid w:val="0082074F"/>
    <w:rsid w:val="008220AE"/>
    <w:rsid w:val="00830C52"/>
    <w:rsid w:val="00831421"/>
    <w:rsid w:val="00840EAF"/>
    <w:rsid w:val="00843B16"/>
    <w:rsid w:val="0085267C"/>
    <w:rsid w:val="008536E6"/>
    <w:rsid w:val="008574E7"/>
    <w:rsid w:val="00860A9E"/>
    <w:rsid w:val="008614A2"/>
    <w:rsid w:val="00861E65"/>
    <w:rsid w:val="00862AC7"/>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976BC"/>
    <w:rsid w:val="008A024A"/>
    <w:rsid w:val="008A692A"/>
    <w:rsid w:val="008A746C"/>
    <w:rsid w:val="008A75CE"/>
    <w:rsid w:val="008A7658"/>
    <w:rsid w:val="008B1C51"/>
    <w:rsid w:val="008B1D94"/>
    <w:rsid w:val="008B3AA6"/>
    <w:rsid w:val="008C13E2"/>
    <w:rsid w:val="008D065A"/>
    <w:rsid w:val="008D41C6"/>
    <w:rsid w:val="008D4C63"/>
    <w:rsid w:val="008D7009"/>
    <w:rsid w:val="008E01F1"/>
    <w:rsid w:val="008E2650"/>
    <w:rsid w:val="008E2756"/>
    <w:rsid w:val="008E494E"/>
    <w:rsid w:val="008F0A17"/>
    <w:rsid w:val="008F2CAE"/>
    <w:rsid w:val="008F3673"/>
    <w:rsid w:val="008F55C8"/>
    <w:rsid w:val="00902F8E"/>
    <w:rsid w:val="0091226C"/>
    <w:rsid w:val="00915E28"/>
    <w:rsid w:val="009162B9"/>
    <w:rsid w:val="00920C79"/>
    <w:rsid w:val="00922197"/>
    <w:rsid w:val="0092520A"/>
    <w:rsid w:val="00933B74"/>
    <w:rsid w:val="00934B41"/>
    <w:rsid w:val="00940542"/>
    <w:rsid w:val="00941DC5"/>
    <w:rsid w:val="00942003"/>
    <w:rsid w:val="009613AE"/>
    <w:rsid w:val="009659EF"/>
    <w:rsid w:val="009673C8"/>
    <w:rsid w:val="009677EB"/>
    <w:rsid w:val="00972B5A"/>
    <w:rsid w:val="009754DA"/>
    <w:rsid w:val="00976E7D"/>
    <w:rsid w:val="009777F0"/>
    <w:rsid w:val="009808C1"/>
    <w:rsid w:val="00982114"/>
    <w:rsid w:val="00984E65"/>
    <w:rsid w:val="00985D48"/>
    <w:rsid w:val="00991CF2"/>
    <w:rsid w:val="0099218A"/>
    <w:rsid w:val="009942E5"/>
    <w:rsid w:val="00996D0D"/>
    <w:rsid w:val="00997346"/>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7F29"/>
    <w:rsid w:val="00A1162D"/>
    <w:rsid w:val="00A17D48"/>
    <w:rsid w:val="00A2170A"/>
    <w:rsid w:val="00A24C96"/>
    <w:rsid w:val="00A25DFC"/>
    <w:rsid w:val="00A31CF3"/>
    <w:rsid w:val="00A32444"/>
    <w:rsid w:val="00A32590"/>
    <w:rsid w:val="00A355BD"/>
    <w:rsid w:val="00A37DEF"/>
    <w:rsid w:val="00A410C4"/>
    <w:rsid w:val="00A44C9F"/>
    <w:rsid w:val="00A471F7"/>
    <w:rsid w:val="00A546AE"/>
    <w:rsid w:val="00A6350E"/>
    <w:rsid w:val="00A672D3"/>
    <w:rsid w:val="00A72697"/>
    <w:rsid w:val="00A73758"/>
    <w:rsid w:val="00A73970"/>
    <w:rsid w:val="00A80A47"/>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2739"/>
    <w:rsid w:val="00AE2DD6"/>
    <w:rsid w:val="00AF0DA7"/>
    <w:rsid w:val="00AF340B"/>
    <w:rsid w:val="00AF3D39"/>
    <w:rsid w:val="00AF450A"/>
    <w:rsid w:val="00AF5127"/>
    <w:rsid w:val="00AF6081"/>
    <w:rsid w:val="00B04ED2"/>
    <w:rsid w:val="00B05232"/>
    <w:rsid w:val="00B10D8B"/>
    <w:rsid w:val="00B12863"/>
    <w:rsid w:val="00B13E0D"/>
    <w:rsid w:val="00B14093"/>
    <w:rsid w:val="00B203CB"/>
    <w:rsid w:val="00B20559"/>
    <w:rsid w:val="00B23A59"/>
    <w:rsid w:val="00B23B02"/>
    <w:rsid w:val="00B25862"/>
    <w:rsid w:val="00B27564"/>
    <w:rsid w:val="00B33670"/>
    <w:rsid w:val="00B35A69"/>
    <w:rsid w:val="00B35B7B"/>
    <w:rsid w:val="00B35E64"/>
    <w:rsid w:val="00B41640"/>
    <w:rsid w:val="00B44283"/>
    <w:rsid w:val="00B46AD8"/>
    <w:rsid w:val="00B55B22"/>
    <w:rsid w:val="00B56749"/>
    <w:rsid w:val="00B57E67"/>
    <w:rsid w:val="00B60841"/>
    <w:rsid w:val="00B60D65"/>
    <w:rsid w:val="00B63B82"/>
    <w:rsid w:val="00B63D5F"/>
    <w:rsid w:val="00B64D5B"/>
    <w:rsid w:val="00B6648D"/>
    <w:rsid w:val="00B759C1"/>
    <w:rsid w:val="00B76637"/>
    <w:rsid w:val="00B7719B"/>
    <w:rsid w:val="00B80C86"/>
    <w:rsid w:val="00B83D6E"/>
    <w:rsid w:val="00B83FA5"/>
    <w:rsid w:val="00B868A9"/>
    <w:rsid w:val="00B90AA8"/>
    <w:rsid w:val="00B93486"/>
    <w:rsid w:val="00B93620"/>
    <w:rsid w:val="00B948ED"/>
    <w:rsid w:val="00B97FE5"/>
    <w:rsid w:val="00BA1C8E"/>
    <w:rsid w:val="00BA31F1"/>
    <w:rsid w:val="00BA5B42"/>
    <w:rsid w:val="00BB4A41"/>
    <w:rsid w:val="00BB5622"/>
    <w:rsid w:val="00BB57DC"/>
    <w:rsid w:val="00BC2B3E"/>
    <w:rsid w:val="00BC3468"/>
    <w:rsid w:val="00BC484E"/>
    <w:rsid w:val="00BD0DA1"/>
    <w:rsid w:val="00BD2B75"/>
    <w:rsid w:val="00BD5CA5"/>
    <w:rsid w:val="00BD6C73"/>
    <w:rsid w:val="00BD747B"/>
    <w:rsid w:val="00BE18AF"/>
    <w:rsid w:val="00BF6A71"/>
    <w:rsid w:val="00BF720F"/>
    <w:rsid w:val="00C1474E"/>
    <w:rsid w:val="00C15D2B"/>
    <w:rsid w:val="00C16062"/>
    <w:rsid w:val="00C24EDF"/>
    <w:rsid w:val="00C25DB3"/>
    <w:rsid w:val="00C26015"/>
    <w:rsid w:val="00C26828"/>
    <w:rsid w:val="00C45407"/>
    <w:rsid w:val="00C456D5"/>
    <w:rsid w:val="00C51079"/>
    <w:rsid w:val="00C51EEF"/>
    <w:rsid w:val="00C57F08"/>
    <w:rsid w:val="00C6012B"/>
    <w:rsid w:val="00C63237"/>
    <w:rsid w:val="00C67475"/>
    <w:rsid w:val="00C67544"/>
    <w:rsid w:val="00C67778"/>
    <w:rsid w:val="00C713D0"/>
    <w:rsid w:val="00C755E2"/>
    <w:rsid w:val="00C75A01"/>
    <w:rsid w:val="00C7766C"/>
    <w:rsid w:val="00C81B0A"/>
    <w:rsid w:val="00C81BE0"/>
    <w:rsid w:val="00C83B59"/>
    <w:rsid w:val="00C83E76"/>
    <w:rsid w:val="00C908E1"/>
    <w:rsid w:val="00C92E02"/>
    <w:rsid w:val="00C9490D"/>
    <w:rsid w:val="00C94CE9"/>
    <w:rsid w:val="00C97BE2"/>
    <w:rsid w:val="00C97E25"/>
    <w:rsid w:val="00CA196A"/>
    <w:rsid w:val="00CA215F"/>
    <w:rsid w:val="00CA3C57"/>
    <w:rsid w:val="00CA500C"/>
    <w:rsid w:val="00CB1A76"/>
    <w:rsid w:val="00CB42DE"/>
    <w:rsid w:val="00CB4A15"/>
    <w:rsid w:val="00CB4D7B"/>
    <w:rsid w:val="00CB5E85"/>
    <w:rsid w:val="00CB71CC"/>
    <w:rsid w:val="00CC0824"/>
    <w:rsid w:val="00CD0C42"/>
    <w:rsid w:val="00CD750A"/>
    <w:rsid w:val="00CE0400"/>
    <w:rsid w:val="00CE0FB4"/>
    <w:rsid w:val="00CE28AA"/>
    <w:rsid w:val="00CF157B"/>
    <w:rsid w:val="00CF1A34"/>
    <w:rsid w:val="00CF2737"/>
    <w:rsid w:val="00CF3202"/>
    <w:rsid w:val="00CF4A3E"/>
    <w:rsid w:val="00D01CCB"/>
    <w:rsid w:val="00D04514"/>
    <w:rsid w:val="00D06C03"/>
    <w:rsid w:val="00D07D6C"/>
    <w:rsid w:val="00D108F6"/>
    <w:rsid w:val="00D12B4E"/>
    <w:rsid w:val="00D13F6F"/>
    <w:rsid w:val="00D17C5F"/>
    <w:rsid w:val="00D20CB0"/>
    <w:rsid w:val="00D22576"/>
    <w:rsid w:val="00D238C3"/>
    <w:rsid w:val="00D32535"/>
    <w:rsid w:val="00D37493"/>
    <w:rsid w:val="00D40158"/>
    <w:rsid w:val="00D416CA"/>
    <w:rsid w:val="00D43C46"/>
    <w:rsid w:val="00D4404A"/>
    <w:rsid w:val="00D44FE0"/>
    <w:rsid w:val="00D4545C"/>
    <w:rsid w:val="00D45B4F"/>
    <w:rsid w:val="00D45E22"/>
    <w:rsid w:val="00D464EB"/>
    <w:rsid w:val="00D467B4"/>
    <w:rsid w:val="00D47FEB"/>
    <w:rsid w:val="00D51327"/>
    <w:rsid w:val="00D523A7"/>
    <w:rsid w:val="00D55DE4"/>
    <w:rsid w:val="00D56C57"/>
    <w:rsid w:val="00D6186B"/>
    <w:rsid w:val="00D62A9A"/>
    <w:rsid w:val="00D636E5"/>
    <w:rsid w:val="00D65BDA"/>
    <w:rsid w:val="00D65C35"/>
    <w:rsid w:val="00D65E44"/>
    <w:rsid w:val="00D75345"/>
    <w:rsid w:val="00D75E60"/>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F95"/>
    <w:rsid w:val="00DD4B5E"/>
    <w:rsid w:val="00DE18F2"/>
    <w:rsid w:val="00DE1E69"/>
    <w:rsid w:val="00DE21F5"/>
    <w:rsid w:val="00DF16EC"/>
    <w:rsid w:val="00DF35BA"/>
    <w:rsid w:val="00DF3B21"/>
    <w:rsid w:val="00DF3D09"/>
    <w:rsid w:val="00DF470C"/>
    <w:rsid w:val="00DF4D84"/>
    <w:rsid w:val="00DF6C8F"/>
    <w:rsid w:val="00E02770"/>
    <w:rsid w:val="00E02C5E"/>
    <w:rsid w:val="00E0345D"/>
    <w:rsid w:val="00E05A49"/>
    <w:rsid w:val="00E1426E"/>
    <w:rsid w:val="00E14547"/>
    <w:rsid w:val="00E15D4C"/>
    <w:rsid w:val="00E16EA9"/>
    <w:rsid w:val="00E24C15"/>
    <w:rsid w:val="00E24FC4"/>
    <w:rsid w:val="00E3135C"/>
    <w:rsid w:val="00E359B5"/>
    <w:rsid w:val="00E42975"/>
    <w:rsid w:val="00E43193"/>
    <w:rsid w:val="00E43FB5"/>
    <w:rsid w:val="00E50A18"/>
    <w:rsid w:val="00E51846"/>
    <w:rsid w:val="00E51AC1"/>
    <w:rsid w:val="00E51F80"/>
    <w:rsid w:val="00E54B93"/>
    <w:rsid w:val="00E57C41"/>
    <w:rsid w:val="00E620AA"/>
    <w:rsid w:val="00E64C99"/>
    <w:rsid w:val="00E71018"/>
    <w:rsid w:val="00E73C2C"/>
    <w:rsid w:val="00E74259"/>
    <w:rsid w:val="00E81232"/>
    <w:rsid w:val="00E81ACD"/>
    <w:rsid w:val="00E81F72"/>
    <w:rsid w:val="00E822CE"/>
    <w:rsid w:val="00E85407"/>
    <w:rsid w:val="00E85B84"/>
    <w:rsid w:val="00E93D30"/>
    <w:rsid w:val="00E94900"/>
    <w:rsid w:val="00EA1811"/>
    <w:rsid w:val="00EA3EF5"/>
    <w:rsid w:val="00EA4659"/>
    <w:rsid w:val="00EA7A91"/>
    <w:rsid w:val="00EB3092"/>
    <w:rsid w:val="00EB381A"/>
    <w:rsid w:val="00EC1B9A"/>
    <w:rsid w:val="00EC26DA"/>
    <w:rsid w:val="00EC4619"/>
    <w:rsid w:val="00EC4F99"/>
    <w:rsid w:val="00EC5A68"/>
    <w:rsid w:val="00EC607E"/>
    <w:rsid w:val="00EC7DDB"/>
    <w:rsid w:val="00ED1A1A"/>
    <w:rsid w:val="00ED4633"/>
    <w:rsid w:val="00ED4B58"/>
    <w:rsid w:val="00ED595D"/>
    <w:rsid w:val="00ED6F41"/>
    <w:rsid w:val="00ED74C1"/>
    <w:rsid w:val="00EE3B6E"/>
    <w:rsid w:val="00EF0097"/>
    <w:rsid w:val="00EF179D"/>
    <w:rsid w:val="00EF307C"/>
    <w:rsid w:val="00EF3377"/>
    <w:rsid w:val="00EF65A6"/>
    <w:rsid w:val="00F0061F"/>
    <w:rsid w:val="00F029C8"/>
    <w:rsid w:val="00F03295"/>
    <w:rsid w:val="00F03CC1"/>
    <w:rsid w:val="00F07405"/>
    <w:rsid w:val="00F07F61"/>
    <w:rsid w:val="00F1107A"/>
    <w:rsid w:val="00F20491"/>
    <w:rsid w:val="00F2250A"/>
    <w:rsid w:val="00F26507"/>
    <w:rsid w:val="00F276BC"/>
    <w:rsid w:val="00F27AB3"/>
    <w:rsid w:val="00F315B3"/>
    <w:rsid w:val="00F32D80"/>
    <w:rsid w:val="00F41951"/>
    <w:rsid w:val="00F430AB"/>
    <w:rsid w:val="00F452FD"/>
    <w:rsid w:val="00F45B64"/>
    <w:rsid w:val="00F47863"/>
    <w:rsid w:val="00F527B4"/>
    <w:rsid w:val="00F54441"/>
    <w:rsid w:val="00F547F4"/>
    <w:rsid w:val="00F6054B"/>
    <w:rsid w:val="00F619D8"/>
    <w:rsid w:val="00F646DB"/>
    <w:rsid w:val="00F65E57"/>
    <w:rsid w:val="00F7492F"/>
    <w:rsid w:val="00F75DD1"/>
    <w:rsid w:val="00F816A6"/>
    <w:rsid w:val="00F8327B"/>
    <w:rsid w:val="00F95A9F"/>
    <w:rsid w:val="00F970E2"/>
    <w:rsid w:val="00FA1558"/>
    <w:rsid w:val="00FA2407"/>
    <w:rsid w:val="00FA447C"/>
    <w:rsid w:val="00FA4B87"/>
    <w:rsid w:val="00FA5D0A"/>
    <w:rsid w:val="00FA61A6"/>
    <w:rsid w:val="00FB2909"/>
    <w:rsid w:val="00FB3563"/>
    <w:rsid w:val="00FB4F01"/>
    <w:rsid w:val="00FC0BE9"/>
    <w:rsid w:val="00FC1402"/>
    <w:rsid w:val="00FC27D4"/>
    <w:rsid w:val="00FC410B"/>
    <w:rsid w:val="00FC5550"/>
    <w:rsid w:val="00FC5D96"/>
    <w:rsid w:val="00FD45EB"/>
    <w:rsid w:val="00FD4697"/>
    <w:rsid w:val="00FD5B50"/>
    <w:rsid w:val="00FE18DB"/>
    <w:rsid w:val="00FE3524"/>
    <w:rsid w:val="00FE4618"/>
    <w:rsid w:val="00FE5B61"/>
    <w:rsid w:val="00FF2243"/>
    <w:rsid w:val="00FF27DF"/>
    <w:rsid w:val="00FF4A52"/>
    <w:rsid w:val="00FF619C"/>
    <w:rsid w:val="31F1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9"/>
    <w:rPr>
      <w:rFonts w:ascii="宋体" w:cs="Arial"/>
      <w:b/>
      <w:bCs/>
      <w:iCs/>
      <w:color w:val="000000"/>
      <w:sz w:val="24"/>
      <w:szCs w:val="24"/>
    </w:rPr>
  </w:style>
  <w:style w:type="character" w:customStyle="1" w:styleId="30">
    <w:name w:val="标题 1 字符"/>
    <w:link w:val="2"/>
    <w:uiPriority w:val="9"/>
    <w:rPr>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customXml" Target="../customXml/item2.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oleObject" Target="embeddings/oleObject42.bin"/><Relationship Id="rId91" Type="http://schemas.openxmlformats.org/officeDocument/2006/relationships/oleObject" Target="embeddings/oleObject41.bin"/><Relationship Id="rId90" Type="http://schemas.openxmlformats.org/officeDocument/2006/relationships/image" Target="media/image45.wmf"/><Relationship Id="rId9" Type="http://schemas.openxmlformats.org/officeDocument/2006/relationships/oleObject" Target="embeddings/oleObject1.bin"/><Relationship Id="rId89" Type="http://schemas.openxmlformats.org/officeDocument/2006/relationships/oleObject" Target="embeddings/oleObject40.bin"/><Relationship Id="rId88" Type="http://schemas.openxmlformats.org/officeDocument/2006/relationships/image" Target="media/image44.png"/><Relationship Id="rId87" Type="http://schemas.openxmlformats.org/officeDocument/2006/relationships/oleObject" Target="embeddings/oleObject39.bin"/><Relationship Id="rId86" Type="http://schemas.openxmlformats.org/officeDocument/2006/relationships/oleObject" Target="embeddings/oleObject38.bin"/><Relationship Id="rId85" Type="http://schemas.openxmlformats.org/officeDocument/2006/relationships/image" Target="media/image43.wmf"/><Relationship Id="rId84" Type="http://schemas.openxmlformats.org/officeDocument/2006/relationships/oleObject" Target="embeddings/oleObject37.bin"/><Relationship Id="rId83" Type="http://schemas.openxmlformats.org/officeDocument/2006/relationships/oleObject" Target="embeddings/oleObject36.bin"/><Relationship Id="rId82" Type="http://schemas.openxmlformats.org/officeDocument/2006/relationships/image" Target="media/image42.wmf"/><Relationship Id="rId81" Type="http://schemas.openxmlformats.org/officeDocument/2006/relationships/oleObject" Target="embeddings/oleObject35.bin"/><Relationship Id="rId80" Type="http://schemas.openxmlformats.org/officeDocument/2006/relationships/image" Target="media/image41.wmf"/><Relationship Id="rId8" Type="http://schemas.openxmlformats.org/officeDocument/2006/relationships/image" Target="media/image3.png"/><Relationship Id="rId79" Type="http://schemas.openxmlformats.org/officeDocument/2006/relationships/oleObject" Target="embeddings/oleObject34.bin"/><Relationship Id="rId78" Type="http://schemas.openxmlformats.org/officeDocument/2006/relationships/image" Target="media/image40.wmf"/><Relationship Id="rId77" Type="http://schemas.openxmlformats.org/officeDocument/2006/relationships/oleObject" Target="embeddings/oleObject33.bin"/><Relationship Id="rId76" Type="http://schemas.openxmlformats.org/officeDocument/2006/relationships/image" Target="media/image39.wmf"/><Relationship Id="rId75" Type="http://schemas.openxmlformats.org/officeDocument/2006/relationships/oleObject" Target="embeddings/oleObject32.bin"/><Relationship Id="rId74" Type="http://schemas.openxmlformats.org/officeDocument/2006/relationships/image" Target="media/image38.wmf"/><Relationship Id="rId73" Type="http://schemas.openxmlformats.org/officeDocument/2006/relationships/oleObject" Target="embeddings/oleObject31.bin"/><Relationship Id="rId72" Type="http://schemas.openxmlformats.org/officeDocument/2006/relationships/image" Target="media/image37.wmf"/><Relationship Id="rId71" Type="http://schemas.openxmlformats.org/officeDocument/2006/relationships/oleObject" Target="embeddings/oleObject30.bin"/><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oleObject" Target="embeddings/oleObject29.bin"/><Relationship Id="rId68" Type="http://schemas.openxmlformats.org/officeDocument/2006/relationships/image" Target="media/image35.wmf"/><Relationship Id="rId67" Type="http://schemas.openxmlformats.org/officeDocument/2006/relationships/oleObject" Target="embeddings/oleObject28.bin"/><Relationship Id="rId66" Type="http://schemas.openxmlformats.org/officeDocument/2006/relationships/image" Target="media/image34.wmf"/><Relationship Id="rId65" Type="http://schemas.openxmlformats.org/officeDocument/2006/relationships/oleObject" Target="embeddings/oleObject27.bin"/><Relationship Id="rId64" Type="http://schemas.openxmlformats.org/officeDocument/2006/relationships/image" Target="media/image33.wmf"/><Relationship Id="rId63" Type="http://schemas.openxmlformats.org/officeDocument/2006/relationships/oleObject" Target="embeddings/oleObject26.bin"/><Relationship Id="rId62" Type="http://schemas.openxmlformats.org/officeDocument/2006/relationships/image" Target="media/image32.wmf"/><Relationship Id="rId61" Type="http://schemas.openxmlformats.org/officeDocument/2006/relationships/oleObject" Target="embeddings/oleObject25.bin"/><Relationship Id="rId60" Type="http://schemas.openxmlformats.org/officeDocument/2006/relationships/image" Target="media/image31.wmf"/><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image" Target="media/image30.wmf"/><Relationship Id="rId57" Type="http://schemas.openxmlformats.org/officeDocument/2006/relationships/oleObject" Target="embeddings/oleObject23.bin"/><Relationship Id="rId56" Type="http://schemas.openxmlformats.org/officeDocument/2006/relationships/image" Target="media/image29.wmf"/><Relationship Id="rId55" Type="http://schemas.openxmlformats.org/officeDocument/2006/relationships/oleObject" Target="embeddings/oleObject22.bin"/><Relationship Id="rId54" Type="http://schemas.openxmlformats.org/officeDocument/2006/relationships/image" Target="media/image28.wmf"/><Relationship Id="rId53" Type="http://schemas.openxmlformats.org/officeDocument/2006/relationships/oleObject" Target="embeddings/oleObject21.bin"/><Relationship Id="rId52" Type="http://schemas.openxmlformats.org/officeDocument/2006/relationships/image" Target="media/image27.wmf"/><Relationship Id="rId51" Type="http://schemas.openxmlformats.org/officeDocument/2006/relationships/oleObject" Target="embeddings/oleObject20.bin"/><Relationship Id="rId50" Type="http://schemas.openxmlformats.org/officeDocument/2006/relationships/image" Target="media/image26.wmf"/><Relationship Id="rId5" Type="http://schemas.openxmlformats.org/officeDocument/2006/relationships/footer" Target="footer2.xml"/><Relationship Id="rId49" Type="http://schemas.openxmlformats.org/officeDocument/2006/relationships/oleObject" Target="embeddings/oleObject19.bin"/><Relationship Id="rId48" Type="http://schemas.openxmlformats.org/officeDocument/2006/relationships/image" Target="media/image25.wmf"/><Relationship Id="rId47" Type="http://schemas.openxmlformats.org/officeDocument/2006/relationships/oleObject" Target="embeddings/oleObject18.bin"/><Relationship Id="rId46" Type="http://schemas.openxmlformats.org/officeDocument/2006/relationships/image" Target="media/image24.wmf"/><Relationship Id="rId45" Type="http://schemas.openxmlformats.org/officeDocument/2006/relationships/oleObject" Target="embeddings/oleObject17.bin"/><Relationship Id="rId44" Type="http://schemas.openxmlformats.org/officeDocument/2006/relationships/image" Target="media/image23.emf"/><Relationship Id="rId43" Type="http://schemas.openxmlformats.org/officeDocument/2006/relationships/oleObject" Target="embeddings/oleObject16.bin"/><Relationship Id="rId42" Type="http://schemas.openxmlformats.org/officeDocument/2006/relationships/oleObject" Target="embeddings/oleObject15.bin"/><Relationship Id="rId41" Type="http://schemas.openxmlformats.org/officeDocument/2006/relationships/image" Target="media/image22.wmf"/><Relationship Id="rId40" Type="http://schemas.openxmlformats.org/officeDocument/2006/relationships/oleObject" Target="embeddings/oleObject14.bin"/><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3.bin"/><Relationship Id="rId37" Type="http://schemas.openxmlformats.org/officeDocument/2006/relationships/image" Target="media/image20.wmf"/><Relationship Id="rId36" Type="http://schemas.openxmlformats.org/officeDocument/2006/relationships/oleObject" Target="embeddings/oleObject12.bin"/><Relationship Id="rId35" Type="http://schemas.openxmlformats.org/officeDocument/2006/relationships/image" Target="media/image19.wmf"/><Relationship Id="rId34" Type="http://schemas.openxmlformats.org/officeDocument/2006/relationships/oleObject" Target="embeddings/oleObject11.bin"/><Relationship Id="rId33" Type="http://schemas.openxmlformats.org/officeDocument/2006/relationships/image" Target="media/image18.wmf"/><Relationship Id="rId32" Type="http://schemas.openxmlformats.org/officeDocument/2006/relationships/oleObject" Target="embeddings/oleObject10.bin"/><Relationship Id="rId31" Type="http://schemas.openxmlformats.org/officeDocument/2006/relationships/image" Target="media/image17.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8.bin"/><Relationship Id="rId26" Type="http://schemas.openxmlformats.org/officeDocument/2006/relationships/image" Target="media/image14.png"/><Relationship Id="rId25" Type="http://schemas.openxmlformats.org/officeDocument/2006/relationships/image" Target="media/image13.wmf"/><Relationship Id="rId24" Type="http://schemas.openxmlformats.org/officeDocument/2006/relationships/oleObject" Target="embeddings/oleObject7.bin"/><Relationship Id="rId23" Type="http://schemas.openxmlformats.org/officeDocument/2006/relationships/image" Target="media/image12.emf"/><Relationship Id="rId22" Type="http://schemas.openxmlformats.org/officeDocument/2006/relationships/oleObject" Target="embeddings/oleObject6.bin"/><Relationship Id="rId21" Type="http://schemas.openxmlformats.org/officeDocument/2006/relationships/image" Target="media/image11.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bmp"/><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54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D9BFB-3B16-4F4F-943D-8629CDCA0197}">
  <ds:schemaRefs/>
</ds:datastoreItem>
</file>

<file path=docProps/app.xml><?xml version="1.0" encoding="utf-8"?>
<Properties xmlns="http://schemas.openxmlformats.org/officeDocument/2006/extended-properties" xmlns:vt="http://schemas.openxmlformats.org/officeDocument/2006/docPropsVTypes">
  <Template>tmp3.dotx</Template>
  <Pages>18</Pages>
  <Words>6388</Words>
  <Characters>8178</Characters>
  <Lines>62</Lines>
  <Paragraphs>17</Paragraphs>
  <TotalTime>0</TotalTime>
  <ScaleCrop>false</ScaleCrop>
  <LinksUpToDate>false</LinksUpToDate>
  <CharactersWithSpaces>9230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2021-01-05T05:15:00Z</dcterms:created>
  <dc:creator>15549</dc:creator>
  <cp:lastModifiedBy>15549</cp:lastModifiedBy>
  <dcterms:modified xsi:type="dcterms:W3CDTF">2021-01-05T05:15:10Z</dcterms:modified>
  <dc:title>最不利房间室内噪声设计报告书_接力版</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