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Style w:val="5"/>
          <w:rFonts w:hint="default" w:ascii="Arial" w:hAnsi="Arial" w:eastAsia="Arial" w:cs="Arial"/>
          <w:b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方案一 固定式建筑垃圾处理线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10287000" cy="5372100"/>
            <wp:effectExtent l="0" t="0" r="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特点：处理量大，能适应处理各种复杂成分的建筑垃圾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范围：适用于原料比较集中，场地固定等生产条件。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优势：可依据建筑垃圾的不同成分进行分类处理，处理复杂成分的建筑垃圾，可以根据不同的原材料性质，采用不同的技术处理方案成品料可控，保证再生骨料质量。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Style w:val="5"/>
          <w:rFonts w:hint="default" w:ascii="Arial" w:hAnsi="Arial" w:eastAsia="Arial" w:cs="Arial"/>
          <w:b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方案二 移动式建筑垃圾处理线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6096000" cy="3095625"/>
            <wp:effectExtent l="0" t="0" r="0" b="133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特点：灵活多变，实用性强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范围：适用于原料比较分散，加工场地面积小、不规则等状况。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优势：移动破碎站占地面积小，配置灵活多样，移动性强，配备轮胎式船型车架，可在道路和作业区内灵活移动。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0540B"/>
    <w:rsid w:val="189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2021-03-05T08:19:00Z</dcterms:created>
  <dc:creator>郭桢权</dc:creator>
  <cp:lastModifiedBy>郭桢权</cp:lastModifiedBy>
  <dcterms:modified xsi:type="dcterms:W3CDTF">2021-03-05T08:19:17Z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