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40"/>
          <w:szCs w:val="48"/>
          <w:lang w:val="en-US" w:eastAsia="zh-CN"/>
        </w:rPr>
      </w:pPr>
      <w:r>
        <w:rPr>
          <w:rFonts w:hint="eastAsia"/>
          <w:b/>
          <w:bCs/>
          <w:sz w:val="40"/>
          <w:szCs w:val="48"/>
          <w:lang w:val="en-US" w:eastAsia="zh-CN"/>
        </w:rPr>
        <w:t>暖通设计说明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val="0"/>
          <w:sz w:val="28"/>
          <w:szCs w:val="36"/>
          <w:lang w:val="en-US" w:eastAsia="zh-CN"/>
        </w:rPr>
      </w:pPr>
      <w:r>
        <w:rPr>
          <w:rFonts w:hint="eastAsia" w:ascii="微软雅黑" w:hAnsi="微软雅黑" w:eastAsia="微软雅黑" w:cs="微软雅黑"/>
          <w:b w:val="0"/>
          <w:bCs w:val="0"/>
          <w:sz w:val="28"/>
          <w:szCs w:val="36"/>
          <w:lang w:val="en-US" w:eastAsia="zh-CN"/>
        </w:rPr>
        <w:t>一、工程概况</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0"/>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本项目为一座</w:t>
      </w:r>
      <w:r>
        <w:rPr>
          <w:rFonts w:hint="eastAsia" w:ascii="微软雅黑" w:hAnsi="微软雅黑" w:eastAsia="微软雅黑" w:cs="微软雅黑"/>
        </w:rPr>
        <w:t>广州西关（荔湾）一带兴建的富有岭南特色的传统民居</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西关大屋，位于广东省广州市荔湾区逢源北路82号，建筑面积为573.4㎡，占地面积为330.31㎡，共两层，首层3米8，二楼最低3米3。项目是该建筑修缮改建工程，本设计为其各功能房间的空调和通风系统。</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val="0"/>
          <w:sz w:val="28"/>
          <w:szCs w:val="36"/>
          <w:lang w:val="en-US" w:eastAsia="zh-CN"/>
        </w:rPr>
      </w:pPr>
      <w:r>
        <w:rPr>
          <w:rFonts w:hint="eastAsia" w:ascii="微软雅黑" w:hAnsi="微软雅黑" w:eastAsia="微软雅黑" w:cs="微软雅黑"/>
          <w:b w:val="0"/>
          <w:bCs w:val="0"/>
          <w:sz w:val="28"/>
          <w:szCs w:val="36"/>
          <w:lang w:val="en-US" w:eastAsia="zh-CN"/>
        </w:rPr>
        <w:t>二、设计依据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《民用建筑供暖通风与空气调节设计规范》GB50736-2012; 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《多联机空调系统工程技术规程》JGJ174-2010 ; 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《建筑设计防火规范》GB50016-2014; 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《公共建筑节能设计标准》GB50189-2015；</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《民用建筑热工设计规范》GB50176-2016; 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全国民用建筑工程设计技术措施《暖通空调·动力》；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val="0"/>
          <w:sz w:val="28"/>
          <w:szCs w:val="36"/>
          <w:lang w:val="en-US" w:eastAsia="zh-CN"/>
        </w:rPr>
      </w:pPr>
      <w:r>
        <w:rPr>
          <w:rFonts w:hint="eastAsia" w:ascii="微软雅黑" w:hAnsi="微软雅黑" w:eastAsia="微软雅黑" w:cs="微软雅黑"/>
          <w:b w:val="0"/>
          <w:bCs w:val="0"/>
          <w:sz w:val="28"/>
          <w:szCs w:val="36"/>
          <w:lang w:val="en-US" w:eastAsia="zh-CN"/>
        </w:rPr>
        <w:t>三、空调系统设计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1.室外设计参数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1"/>
        <w:gridCol w:w="1054"/>
        <w:gridCol w:w="1054"/>
        <w:gridCol w:w="1045"/>
        <w:gridCol w:w="1054"/>
        <w:gridCol w:w="1034"/>
        <w:gridCol w:w="1057"/>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5" w:type="dxa"/>
            <w:tcBorders>
              <w:top w:val="single" w:color="auto" w:sz="12" w:space="0"/>
              <w:left w:val="single" w:color="auto" w:sz="12" w:space="0"/>
              <w:bottom w:val="dotted" w:color="auto" w:sz="4" w:space="0"/>
              <w:right w:val="dotted" w:color="auto" w:sz="4"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color w:val="000000"/>
                <w:vertAlign w:val="baseline"/>
                <w:lang w:val="en-US" w:eastAsia="zh-CN"/>
              </w:rPr>
            </w:pPr>
            <w:r>
              <w:rPr>
                <w:rFonts w:hint="eastAsia" w:ascii="微软雅黑" w:hAnsi="微软雅黑" w:eastAsia="微软雅黑" w:cs="微软雅黑"/>
                <w:color w:val="000000"/>
                <w:vertAlign w:val="baseline"/>
                <w:lang w:val="en-US" w:eastAsia="zh-CN"/>
              </w:rPr>
              <w:t>气象参数</w:t>
            </w:r>
          </w:p>
        </w:tc>
        <w:tc>
          <w:tcPr>
            <w:tcW w:w="1065" w:type="dxa"/>
            <w:tcBorders>
              <w:top w:val="single" w:color="auto" w:sz="12" w:space="0"/>
              <w:left w:val="dotted" w:color="auto" w:sz="4" w:space="0"/>
              <w:bottom w:val="dotted" w:color="auto" w:sz="4" w:space="0"/>
              <w:right w:val="dotted" w:color="auto" w:sz="4"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color w:val="000000"/>
                <w:vertAlign w:val="baseline"/>
                <w:lang w:val="en-US" w:eastAsia="zh-CN"/>
              </w:rPr>
            </w:pPr>
            <w:r>
              <w:rPr>
                <w:rFonts w:hint="eastAsia" w:ascii="微软雅黑" w:hAnsi="微软雅黑" w:eastAsia="微软雅黑" w:cs="微软雅黑"/>
                <w:color w:val="000000"/>
                <w:vertAlign w:val="baseline"/>
                <w:lang w:val="en-US" w:eastAsia="zh-CN"/>
              </w:rPr>
              <w:t>空调计算干球温度</w:t>
            </w:r>
          </w:p>
        </w:tc>
        <w:tc>
          <w:tcPr>
            <w:tcW w:w="1065" w:type="dxa"/>
            <w:tcBorders>
              <w:top w:val="single" w:color="auto" w:sz="12" w:space="0"/>
              <w:left w:val="dotted" w:color="auto" w:sz="4" w:space="0"/>
              <w:bottom w:val="dotted" w:color="auto" w:sz="4" w:space="0"/>
              <w:right w:val="dotted" w:color="auto" w:sz="4"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color w:val="000000"/>
                <w:vertAlign w:val="baseline"/>
                <w:lang w:val="en-US" w:eastAsia="zh-CN"/>
              </w:rPr>
            </w:pPr>
            <w:r>
              <w:rPr>
                <w:rFonts w:hint="eastAsia" w:ascii="微软雅黑" w:hAnsi="微软雅黑" w:eastAsia="微软雅黑" w:cs="微软雅黑"/>
                <w:color w:val="000000"/>
                <w:vertAlign w:val="baseline"/>
                <w:lang w:val="en-US" w:eastAsia="zh-CN"/>
              </w:rPr>
              <w:t>湿球温度</w:t>
            </w:r>
          </w:p>
        </w:tc>
        <w:tc>
          <w:tcPr>
            <w:tcW w:w="1065" w:type="dxa"/>
            <w:tcBorders>
              <w:top w:val="single" w:color="auto" w:sz="12" w:space="0"/>
              <w:left w:val="dotted" w:color="auto" w:sz="4" w:space="0"/>
              <w:bottom w:val="dotted" w:color="auto" w:sz="4" w:space="0"/>
              <w:right w:val="dotted" w:color="auto" w:sz="4"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color w:val="000000"/>
                <w:vertAlign w:val="baseline"/>
                <w:lang w:val="en-US" w:eastAsia="zh-CN"/>
              </w:rPr>
            </w:pPr>
            <w:r>
              <w:rPr>
                <w:rFonts w:hint="eastAsia" w:ascii="微软雅黑" w:hAnsi="微软雅黑" w:eastAsia="微软雅黑" w:cs="微软雅黑"/>
                <w:color w:val="000000"/>
                <w:vertAlign w:val="baseline"/>
                <w:lang w:val="en-US" w:eastAsia="zh-CN"/>
              </w:rPr>
              <w:t>相对湿度</w:t>
            </w:r>
          </w:p>
        </w:tc>
        <w:tc>
          <w:tcPr>
            <w:tcW w:w="1065" w:type="dxa"/>
            <w:tcBorders>
              <w:top w:val="single" w:color="auto" w:sz="12" w:space="0"/>
              <w:left w:val="dotted" w:color="auto" w:sz="4" w:space="0"/>
              <w:bottom w:val="dotted" w:color="auto" w:sz="4" w:space="0"/>
              <w:right w:val="dotted" w:color="auto" w:sz="4"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color w:val="000000"/>
                <w:vertAlign w:val="baseline"/>
                <w:lang w:val="en-US" w:eastAsia="zh-CN"/>
              </w:rPr>
            </w:pPr>
            <w:r>
              <w:rPr>
                <w:rFonts w:hint="eastAsia" w:ascii="微软雅黑" w:hAnsi="微软雅黑" w:eastAsia="微软雅黑" w:cs="微软雅黑"/>
                <w:color w:val="000000"/>
                <w:vertAlign w:val="baseline"/>
                <w:lang w:val="en-US" w:eastAsia="zh-CN"/>
              </w:rPr>
              <w:t>通风温度</w:t>
            </w:r>
          </w:p>
        </w:tc>
        <w:tc>
          <w:tcPr>
            <w:tcW w:w="1065" w:type="dxa"/>
            <w:tcBorders>
              <w:top w:val="single" w:color="auto" w:sz="12" w:space="0"/>
              <w:left w:val="dotted" w:color="auto" w:sz="4" w:space="0"/>
              <w:bottom w:val="dotted" w:color="auto" w:sz="4" w:space="0"/>
              <w:right w:val="dotted" w:color="auto" w:sz="4"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color w:val="000000"/>
                <w:vertAlign w:val="baseline"/>
                <w:lang w:val="en-US" w:eastAsia="zh-CN"/>
              </w:rPr>
            </w:pPr>
            <w:r>
              <w:rPr>
                <w:rFonts w:hint="eastAsia" w:ascii="微软雅黑" w:hAnsi="微软雅黑" w:eastAsia="微软雅黑" w:cs="微软雅黑"/>
                <w:color w:val="000000"/>
                <w:vertAlign w:val="baseline"/>
                <w:lang w:val="en-US" w:eastAsia="zh-CN"/>
              </w:rPr>
              <w:t>主导风向</w:t>
            </w:r>
          </w:p>
        </w:tc>
        <w:tc>
          <w:tcPr>
            <w:tcW w:w="1066" w:type="dxa"/>
            <w:tcBorders>
              <w:top w:val="single" w:color="auto" w:sz="12" w:space="0"/>
              <w:left w:val="dotted" w:color="auto" w:sz="4" w:space="0"/>
              <w:bottom w:val="dotted" w:color="auto" w:sz="4" w:space="0"/>
              <w:right w:val="dotted" w:color="auto" w:sz="4"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color w:val="000000"/>
                <w:vertAlign w:val="baseline"/>
                <w:lang w:val="en-US" w:eastAsia="zh-CN"/>
              </w:rPr>
            </w:pPr>
            <w:r>
              <w:rPr>
                <w:rFonts w:hint="eastAsia" w:ascii="微软雅黑" w:hAnsi="微软雅黑" w:eastAsia="微软雅黑" w:cs="微软雅黑"/>
                <w:color w:val="000000"/>
                <w:vertAlign w:val="baseline"/>
                <w:lang w:val="en-US" w:eastAsia="zh-CN"/>
              </w:rPr>
              <w:t>风速</w:t>
            </w:r>
          </w:p>
        </w:tc>
        <w:tc>
          <w:tcPr>
            <w:tcW w:w="1066" w:type="dxa"/>
            <w:tcBorders>
              <w:top w:val="single" w:color="auto" w:sz="12" w:space="0"/>
              <w:left w:val="dotted" w:color="auto" w:sz="4" w:space="0"/>
              <w:bottom w:val="dotted" w:color="auto" w:sz="4" w:space="0"/>
              <w:right w:val="single" w:color="auto" w:sz="12"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color w:val="000000"/>
                <w:vertAlign w:val="baseline"/>
                <w:lang w:val="en-US" w:eastAsia="zh-CN"/>
              </w:rPr>
            </w:pPr>
            <w:r>
              <w:rPr>
                <w:rFonts w:hint="eastAsia" w:ascii="微软雅黑" w:hAnsi="微软雅黑" w:eastAsia="微软雅黑" w:cs="微软雅黑"/>
                <w:color w:val="000000"/>
                <w:vertAlign w:val="baseline"/>
                <w:lang w:val="en-US" w:eastAsia="zh-CN"/>
              </w:rPr>
              <w:t>大气压力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5" w:type="dxa"/>
            <w:tcBorders>
              <w:left w:val="single" w:color="auto" w:sz="12"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夏季</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34.2℃</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27.8℃</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66℃</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31.9℃</w:t>
            </w:r>
          </w:p>
        </w:tc>
        <w:tc>
          <w:tcPr>
            <w:tcW w:w="10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微软雅黑" w:hAnsi="微软雅黑" w:eastAsia="微软雅黑" w:cs="微软雅黑"/>
                <w:kern w:val="2"/>
                <w:sz w:val="21"/>
                <w:szCs w:val="24"/>
                <w:vertAlign w:val="baseline"/>
                <w:lang w:val="en-US" w:eastAsia="zh-CN" w:bidi="ar-SA"/>
              </w:rPr>
            </w:pPr>
            <w:r>
              <w:rPr>
                <w:rFonts w:hint="eastAsia" w:ascii="微软雅黑" w:hAnsi="微软雅黑" w:eastAsia="微软雅黑" w:cs="微软雅黑"/>
                <w:vertAlign w:val="baseline"/>
                <w:lang w:val="en-US" w:eastAsia="zh-CN"/>
              </w:rPr>
              <w:t>SE</w:t>
            </w:r>
          </w:p>
        </w:tc>
        <w:tc>
          <w:tcPr>
            <w:tcW w:w="1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1.5m/s</w:t>
            </w:r>
          </w:p>
        </w:tc>
        <w:tc>
          <w:tcPr>
            <w:tcW w:w="1066" w:type="dxa"/>
            <w:tcBorders>
              <w:right w:val="single" w:color="auto" w:sz="1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100287Pa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65" w:type="dxa"/>
            <w:tcBorders>
              <w:left w:val="single" w:color="auto" w:sz="12" w:space="0"/>
              <w:bottom w:val="single" w:color="auto" w:sz="12" w:space="0"/>
            </w:tcBorders>
            <w:shd w:val="clear" w:color="auto" w:fill="E7E6E6" w:themeFill="background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冬季</w:t>
            </w:r>
          </w:p>
        </w:tc>
        <w:tc>
          <w:tcPr>
            <w:tcW w:w="1065" w:type="dxa"/>
            <w:tcBorders>
              <w:bottom w:val="single" w:color="auto" w:sz="1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5.3℃</w:t>
            </w:r>
          </w:p>
        </w:tc>
        <w:tc>
          <w:tcPr>
            <w:tcW w:w="1065" w:type="dxa"/>
            <w:tcBorders>
              <w:bottom w:val="single" w:color="auto" w:sz="1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w:t>
            </w:r>
          </w:p>
        </w:tc>
        <w:tc>
          <w:tcPr>
            <w:tcW w:w="1065" w:type="dxa"/>
            <w:tcBorders>
              <w:bottom w:val="single" w:color="auto" w:sz="1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74℃</w:t>
            </w:r>
          </w:p>
        </w:tc>
        <w:tc>
          <w:tcPr>
            <w:tcW w:w="1065" w:type="dxa"/>
            <w:tcBorders>
              <w:bottom w:val="single" w:color="auto" w:sz="1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10.3℃</w:t>
            </w:r>
          </w:p>
        </w:tc>
        <w:tc>
          <w:tcPr>
            <w:tcW w:w="1065" w:type="dxa"/>
            <w:tcBorders>
              <w:bottom w:val="single" w:color="auto" w:sz="1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N</w:t>
            </w:r>
          </w:p>
        </w:tc>
        <w:tc>
          <w:tcPr>
            <w:tcW w:w="1066" w:type="dxa"/>
            <w:tcBorders>
              <w:bottom w:val="single" w:color="auto" w:sz="1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2.4m/s</w:t>
            </w:r>
          </w:p>
        </w:tc>
        <w:tc>
          <w:tcPr>
            <w:tcW w:w="1066" w:type="dxa"/>
            <w:tcBorders>
              <w:bottom w:val="single" w:color="auto" w:sz="12" w:space="0"/>
              <w:right w:val="single" w:color="auto" w:sz="12"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vertAlign w:val="baseline"/>
                <w:lang w:val="en-US" w:eastAsia="zh-CN"/>
              </w:rPr>
            </w:pPr>
            <w:r>
              <w:rPr>
                <w:rFonts w:hint="eastAsia" w:ascii="微软雅黑" w:hAnsi="微软雅黑" w:eastAsia="微软雅黑" w:cs="微软雅黑"/>
                <w:vertAlign w:val="baseline"/>
                <w:lang w:val="en-US" w:eastAsia="zh-CN"/>
              </w:rPr>
              <w:t>102073Pa</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2.室内设计参数</w:t>
      </w:r>
    </w:p>
    <w:tbl>
      <w:tblPr>
        <w:tblStyle w:val="2"/>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空调温度</w:t>
            </w:r>
            <w:r>
              <w:br w:type="textWrapping"/>
            </w:r>
            <w:r>
              <w:t>℃</w:t>
            </w:r>
          </w:p>
        </w:tc>
        <w:tc>
          <w:tcPr>
            <w:shd w:val="clear" w:color="auto" w:fill="E6E6E6"/>
            <w:vAlign w:val="center"/>
          </w:tcPr>
          <w:p>
            <w:pPr>
              <w:jc w:val="center"/>
            </w:pPr>
            <w:r>
              <w:t>供暖温度</w:t>
            </w:r>
            <w:r>
              <w:br w:type="textWrapping"/>
            </w:r>
            <w:r>
              <w:t>℃</w:t>
            </w:r>
          </w:p>
        </w:tc>
        <w:tc>
          <w:tcPr>
            <w:shd w:val="clear" w:color="auto" w:fill="E6E6E6"/>
            <w:vAlign w:val="center"/>
          </w:tcPr>
          <w:p>
            <w:pPr>
              <w:jc w:val="center"/>
            </w:pPr>
            <w:r>
              <w:t>新风量</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26</w:t>
            </w:r>
          </w:p>
        </w:tc>
        <w:tc>
          <w:tcPr>
            <w:vAlign w:val="center"/>
          </w:tcPr>
          <w:p>
            <w:pPr>
              <w:jc w:val="center"/>
            </w:pPr>
            <w:r>
              <w:t>18</w:t>
            </w:r>
          </w:p>
        </w:tc>
        <w:tc>
          <w:tcPr>
            <w:vAlign w:val="center"/>
          </w:tcPr>
          <w:p>
            <w:pPr>
              <w:jc w:val="center"/>
            </w:pPr>
            <w:r>
              <w:t>0.5(次/h)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3.建筑热工数据</w:t>
      </w:r>
    </w:p>
    <w:tbl>
      <w:tblPr>
        <w:tblStyle w:val="2"/>
        <w:tblW w:w="5250"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52"/>
        <w:gridCol w:w="4096"/>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shd w:val="clear" w:color="auto" w:fill="E6E6E6"/>
            <w:vAlign w:val="center"/>
          </w:tcPr>
          <w:p>
            <w:pPr>
              <w:jc w:val="center"/>
              <w:rPr>
                <w:rFonts w:eastAsia="宋体"/>
                <w:bCs/>
                <w:sz w:val="21"/>
                <w:szCs w:val="21"/>
                <w:lang w:eastAsia="zh-CN"/>
              </w:rPr>
            </w:pPr>
          </w:p>
        </w:tc>
        <w:tc>
          <w:tcPr>
            <w:tcW w:w="2289" w:type="pct"/>
            <w:shd w:val="clear" w:color="auto" w:fill="E6E6E6"/>
            <w:vAlign w:val="center"/>
          </w:tcPr>
          <w:p>
            <w:pPr>
              <w:jc w:val="center"/>
              <w:rPr>
                <w:rFonts w:eastAsia="宋体"/>
                <w:bCs/>
                <w:sz w:val="21"/>
                <w:szCs w:val="21"/>
                <w:lang w:eastAsia="zh-CN"/>
              </w:rPr>
            </w:pPr>
            <w:r>
              <w:rPr>
                <w:rFonts w:hint="eastAsia" w:hAnsi="宋体" w:eastAsia="宋体"/>
                <w:bCs/>
                <w:sz w:val="21"/>
                <w:szCs w:val="21"/>
                <w:lang w:eastAsia="zh-CN"/>
              </w:rPr>
              <w:t>设计建筑</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vAlign w:val="center"/>
          </w:tcPr>
          <w:p>
            <w:pPr>
              <w:jc w:val="center"/>
              <w:rPr>
                <w:rFonts w:eastAsia="宋体"/>
                <w:kern w:val="0"/>
                <w:sz w:val="21"/>
                <w:szCs w:val="21"/>
                <w:lang w:eastAsia="zh-CN"/>
              </w:rPr>
            </w:pPr>
            <w:r>
              <w:rPr>
                <w:rFonts w:hint="eastAsia" w:eastAsia="宋体"/>
                <w:kern w:val="0"/>
                <w:sz w:val="21"/>
                <w:szCs w:val="21"/>
                <w:lang w:eastAsia="zh-CN"/>
              </w:rPr>
              <w:t>0.52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vAlign w:val="center"/>
          </w:tcPr>
          <w:p>
            <w:pPr>
              <w:jc w:val="center"/>
              <w:rPr>
                <w:rFonts w:eastAsia="宋体"/>
                <w:kern w:val="0"/>
                <w:sz w:val="21"/>
                <w:szCs w:val="21"/>
                <w:lang w:eastAsia="zh-CN"/>
              </w:rPr>
            </w:pPr>
            <w:r>
              <w:rPr>
                <w:rFonts w:hint="eastAsia" w:eastAsia="宋体"/>
                <w:kern w:val="0"/>
                <w:sz w:val="21"/>
                <w:szCs w:val="21"/>
                <w:lang w:eastAsia="zh-CN"/>
              </w:rPr>
              <w:t>0.62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shd w:val="clear" w:color="auto" w:fill="E6E6E6"/>
            <w:vAlign w:val="center"/>
          </w:tcPr>
          <w:p>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vAlign w:val="center"/>
          </w:tcPr>
          <w:p>
            <w:pPr>
              <w:jc w:val="center"/>
              <w:rPr>
                <w:rFonts w:eastAsia="宋体"/>
                <w:kern w:val="0"/>
                <w:sz w:val="21"/>
                <w:szCs w:val="21"/>
                <w:lang w:eastAsia="zh-CN"/>
              </w:rPr>
            </w:pPr>
            <w:r>
              <w:rPr>
                <w:rFonts w:hint="eastAsia" w:eastAsia="宋体"/>
                <w:kern w:val="0"/>
                <w:sz w:val="21"/>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天窗遮阳系数</w:t>
            </w:r>
          </w:p>
        </w:tc>
        <w:tc>
          <w:tcPr>
            <w:tcW w:w="2289" w:type="pct"/>
            <w:vAlign w:val="center"/>
          </w:tcPr>
          <w:p>
            <w:pPr>
              <w:jc w:val="center"/>
              <w:rPr>
                <w:rFonts w:eastAsia="宋体"/>
                <w:kern w:val="0"/>
                <w:sz w:val="21"/>
                <w:szCs w:val="21"/>
                <w:lang w:eastAsia="zh-CN"/>
              </w:rPr>
            </w:pPr>
            <w:r>
              <w:rPr>
                <w:rFonts w:hint="eastAsia" w:eastAsia="宋体"/>
                <w:kern w:val="0"/>
                <w:sz w:val="21"/>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vAlign w:val="center"/>
          </w:tcPr>
          <w:p>
            <w:pPr>
              <w:jc w:val="center"/>
              <w:rPr>
                <w:rFonts w:eastAsia="宋体"/>
                <w:kern w:val="0"/>
                <w:sz w:val="21"/>
                <w:szCs w:val="21"/>
                <w:lang w:eastAsia="zh-CN"/>
              </w:rPr>
            </w:pPr>
            <w:r>
              <w:rPr>
                <w:rFonts w:hint="eastAsia" w:eastAsia="宋体"/>
                <w:kern w:val="0"/>
                <w:sz w:val="21"/>
                <w:szCs w:val="21"/>
                <w:lang w:eastAsia="zh-CN"/>
              </w:rPr>
              <w:t>1.18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外墙表面</w:t>
            </w:r>
            <w:r>
              <w:rPr>
                <w:rFonts w:hint="eastAsia" w:hAnsi="宋体" w:eastAsia="宋体"/>
                <w:kern w:val="0"/>
                <w:sz w:val="21"/>
                <w:szCs w:val="21"/>
                <w:lang w:eastAsia="zh-CN"/>
              </w:rPr>
              <w:t>辐射</w:t>
            </w:r>
            <w:r>
              <w:rPr>
                <w:rFonts w:hAnsi="宋体" w:eastAsia="宋体"/>
                <w:kern w:val="0"/>
                <w:sz w:val="21"/>
                <w:szCs w:val="21"/>
                <w:lang w:eastAsia="zh-CN"/>
              </w:rPr>
              <w:t>吸收系数</w:t>
            </w:r>
            <w:r>
              <w:rPr>
                <w:rFonts w:eastAsia="宋体"/>
                <w:kern w:val="0"/>
                <w:sz w:val="21"/>
                <w:szCs w:val="21"/>
                <w:lang w:eastAsia="zh-CN"/>
              </w:rPr>
              <w:t>[</w:t>
            </w:r>
            <w:r>
              <w:rPr>
                <w:rFonts w:eastAsia="宋体"/>
                <w:sz w:val="21"/>
                <w:szCs w:val="21"/>
                <w:lang w:eastAsia="zh-CN"/>
              </w:rPr>
              <w:t>ρ]</w:t>
            </w:r>
          </w:p>
        </w:tc>
        <w:tc>
          <w:tcPr>
            <w:tcW w:w="2289" w:type="pct"/>
            <w:vAlign w:val="center"/>
          </w:tcPr>
          <w:p>
            <w:pPr>
              <w:jc w:val="center"/>
              <w:rPr>
                <w:rFonts w:eastAsia="宋体"/>
                <w:kern w:val="0"/>
                <w:sz w:val="21"/>
                <w:szCs w:val="21"/>
                <w:lang w:eastAsia="zh-CN"/>
              </w:rPr>
            </w:pPr>
            <w:r>
              <w:rPr>
                <w:rFonts w:hint="eastAsia" w:eastAsia="宋体"/>
                <w:kern w:val="0"/>
                <w:sz w:val="21"/>
                <w:szCs w:val="21"/>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eastAsia="宋体"/>
                <w:kern w:val="0"/>
                <w:sz w:val="21"/>
                <w:szCs w:val="21"/>
                <w:lang w:eastAsia="zh-CN"/>
              </w:rPr>
              <w:t>[</w:t>
            </w:r>
            <w:r>
              <w:rPr>
                <w:rFonts w:eastAsia="宋体"/>
                <w:sz w:val="21"/>
                <w:szCs w:val="21"/>
                <w:lang w:eastAsia="zh-CN"/>
              </w:rPr>
              <w:t>ρ]</w:t>
            </w:r>
          </w:p>
        </w:tc>
        <w:tc>
          <w:tcPr>
            <w:tcW w:w="2289" w:type="pct"/>
            <w:vAlign w:val="center"/>
          </w:tcPr>
          <w:p>
            <w:pPr>
              <w:jc w:val="center"/>
              <w:rPr>
                <w:rFonts w:eastAsia="宋体"/>
                <w:kern w:val="0"/>
                <w:sz w:val="21"/>
                <w:szCs w:val="21"/>
                <w:lang w:eastAsia="zh-CN"/>
              </w:rPr>
            </w:pPr>
            <w:r>
              <w:rPr>
                <w:rFonts w:hint="eastAsia" w:eastAsia="宋体"/>
                <w:kern w:val="0"/>
                <w:sz w:val="21"/>
                <w:szCs w:val="21"/>
                <w:lang w:eastAsia="zh-CN"/>
              </w:rPr>
              <w:t>0.75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4.空调冷、热负荷估算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firstLine="0" w:firstLineChars="0"/>
        <w:jc w:val="both"/>
        <w:textAlignment w:val="auto"/>
        <w:rPr>
          <w:rFonts w:hint="eastAsia" w:ascii="微软雅黑" w:hAnsi="微软雅黑" w:cs="微软雅黑" w:eastAsiaTheme="minorEastAsia"/>
          <w:lang w:val="en-US" w:eastAsia="zh-CN"/>
        </w:rPr>
      </w:pPr>
      <w:r>
        <w:rPr>
          <w:rFonts w:hint="eastAsia" w:ascii="微软雅黑" w:hAnsi="微软雅黑" w:eastAsia="微软雅黑" w:cs="微软雅黑"/>
          <w:lang w:val="en-US" w:eastAsia="zh-CN"/>
        </w:rPr>
        <w:t>夏季空调冷负荷：</w:t>
      </w:r>
      <w:r>
        <w:t>10622</w:t>
      </w:r>
      <w:r>
        <w:rPr>
          <w:rFonts w:hint="eastAsia"/>
          <w:lang w:val="en-US" w:eastAsia="zh-CN"/>
        </w:rPr>
        <w:t>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firstLine="0" w:firstLineChars="0"/>
        <w:jc w:val="both"/>
        <w:textAlignment w:val="auto"/>
        <w:rPr>
          <w:rFonts w:hint="eastAsia" w:ascii="微软雅黑" w:hAnsi="微软雅黑" w:cs="微软雅黑" w:eastAsiaTheme="minorEastAsia"/>
          <w:lang w:val="en-US" w:eastAsia="zh-CN"/>
        </w:rPr>
      </w:pPr>
      <w:r>
        <w:rPr>
          <w:rFonts w:hint="eastAsia" w:ascii="微软雅黑" w:hAnsi="微软雅黑" w:eastAsia="微软雅黑" w:cs="微软雅黑"/>
          <w:lang w:val="en-US" w:eastAsia="zh-CN"/>
        </w:rPr>
        <w:t>冬季空调热负荷：</w:t>
      </w:r>
      <w:r>
        <w:t>13577</w:t>
      </w:r>
      <w:r>
        <w:rPr>
          <w:rFonts w:hint="eastAsia"/>
          <w:lang w:val="en-US" w:eastAsia="zh-CN"/>
        </w:rPr>
        <w:t>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firstLine="0" w:firstLineChars="0"/>
        <w:jc w:val="both"/>
        <w:textAlignment w:val="auto"/>
        <w:rPr>
          <w:rFonts w:hint="eastAsia"/>
          <w:lang w:val="en-US" w:eastAsia="zh-CN"/>
        </w:rPr>
      </w:pPr>
      <w:r>
        <w:rPr>
          <w:rFonts w:hint="eastAsia" w:ascii="微软雅黑" w:hAnsi="微软雅黑" w:eastAsia="微软雅黑" w:cs="微软雅黑"/>
          <w:lang w:val="en-US" w:eastAsia="zh-CN"/>
        </w:rPr>
        <w:t>冷负荷指标：</w:t>
      </w:r>
      <w:r>
        <w:t>19.64W/㎡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firstLine="0" w:firstLineChars="0"/>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热负荷指标：</w:t>
      </w:r>
      <w:r>
        <w:t>27.6W/㎡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5.空调系统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1)技术、经济及运行管理等角度比较考虑，空调系统方案确定为:多联机加新风的空调系统; 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2)多联机空调系统是一组空气源热泵（冬天制热及夏天制冷于一体）机组配置多台室内机，通过改变制冷剂流量适应各房间负荷变化的直接膨胀式空气调节系统; 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3)多联机空调系统施工便利，节省工期;使用中无需配备专人管理，控制便利；设备的变频技术可实现部分负荷运转,节能又便利;相对传统空调系统,多联机系统改造灵活便利; 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4)本项目按层分区域设置系统，按使用房间朝向、使用时间和频率、室内设计条件等，合理划分系统分区;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5)空调系统的新风系统对排风进行热回收，即采用热回收式新风换气机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6.空调风路系统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1)空调室内机型式为风管式，暗装;送、回风口配合吊顶风格设置,空调内机与风口短风管连接；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2)新风系统按层数设置，为节约吊顶空间、简化送回风管道；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3)新风送风支管与空调室内机送风管合并；主要房间设集中排风口；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4)送风口型式为散流器，回风口采用带过滤网百叶风口，回风口风速≯4m/s；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7.空调水路系统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418" w:firstLineChars="0"/>
        <w:jc w:val="both"/>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本项目水路系统指冷凝水排水系统,分散设置多处冷凝水干管，装修包覆,既可缩短冷凝水水平干管从而节约吊顶空间，也避免接入卫生间地漏的情形下,出现短管明露从而影响美观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8.自控方式简述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1)空调系统可以就地控制,也可通过楼宇自控系统实现自动运行,方便节能；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2)选配集中监控系统，通过监测各个房间的空气参数来控制流过各个房间的冷媒流量，从而使各个室内机之间始终处于最佳状态；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9.空调系统防火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1)风管穿越通风、空调机房的隔墙处、防火分区的隔墙或楼板处、变形缝的两侧等均设置防火阀（７0℃熔断)；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2)通风空调系统的设备及风道等采用不燃材料制作；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3)空调水路、风路管道保温均采用难燃或非燃烧材料(难燃Ｂ1级橡塑或玻璃棉制品); 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4)垂直排风管道采取防止回流措施。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10.保温和管道材料的确定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418" w:firstLineChars="0"/>
        <w:jc w:val="both"/>
        <w:textAlignment w:val="auto"/>
        <w:rPr>
          <w:rFonts w:hint="default" w:ascii="微软雅黑" w:hAnsi="微软雅黑" w:eastAsia="微软雅黑" w:cs="微软雅黑"/>
          <w:lang w:val="en-US" w:eastAsia="zh-CN"/>
        </w:rPr>
      </w:pPr>
      <w:r>
        <w:rPr>
          <w:rFonts w:hint="default" w:ascii="微软雅黑" w:hAnsi="微软雅黑" w:eastAsia="微软雅黑" w:cs="微软雅黑"/>
          <w:lang w:val="en-US" w:eastAsia="zh-CN"/>
        </w:rPr>
        <w:t>新风系统的送﹑排风风管、阀门及附件采用度锌钢板制作,送风管保温材料采用超细玻璃棉。冷／热水管采用无缝钢管，保温材料采用柔性泡沫橡塑管壳。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313" w:rightChars="-149"/>
        <w:jc w:val="both"/>
        <w:textAlignment w:val="auto"/>
        <w:rPr>
          <w:rFonts w:hint="default" w:ascii="微软雅黑" w:hAnsi="微软雅黑" w:eastAsia="微软雅黑" w:cs="微软雅黑"/>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val="0"/>
          <w:bCs w:val="0"/>
          <w:sz w:val="28"/>
          <w:szCs w:val="36"/>
          <w:lang w:val="en-US" w:eastAsia="zh-CN"/>
        </w:rPr>
      </w:pPr>
      <w:r>
        <w:rPr>
          <w:rFonts w:hint="eastAsia" w:ascii="微软雅黑" w:hAnsi="微软雅黑" w:eastAsia="微软雅黑" w:cs="微软雅黑"/>
          <w:b w:val="0"/>
          <w:bCs w:val="0"/>
          <w:sz w:val="28"/>
          <w:szCs w:val="36"/>
          <w:lang w:val="en-US" w:eastAsia="zh-CN"/>
        </w:rPr>
        <w:t>四、通风系统设计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1.卫生间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1)公共卫生间设置机械排风,每层侧墙排出,因立面外侧有格栅造型，不影响美观；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2)各卫生间的排风量按10 次/h换气量计算，每个卫生间设置排风扇；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313" w:rightChars="-149"/>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2.通风系统防火 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1) 风管穿越通风机房的隔墙处、防火分区的隔墙或楼板处、变形缝的两侧等均设置防火阀(７0℃熔断); 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18" w:leftChars="104" w:right="-313" w:rightChars="-149" w:firstLine="0" w:firstLineChars="0"/>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2) 通风系统的设备及风道等采用不燃材料制作;垂直排风管道采取防止回流措施。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微软雅黑" w:hAnsi="微软雅黑" w:eastAsia="微软雅黑" w:cs="微软雅黑"/>
          <w:b w:val="0"/>
          <w:bCs w:val="0"/>
          <w:sz w:val="28"/>
          <w:szCs w:val="36"/>
          <w:lang w:val="en-US" w:eastAsia="zh-CN"/>
        </w:rPr>
      </w:pPr>
      <w:r>
        <w:rPr>
          <w:rFonts w:hint="eastAsia" w:ascii="微软雅黑" w:hAnsi="微软雅黑" w:eastAsia="微软雅黑" w:cs="微软雅黑"/>
          <w:b w:val="0"/>
          <w:bCs w:val="0"/>
          <w:sz w:val="28"/>
          <w:szCs w:val="36"/>
          <w:lang w:val="en-US" w:eastAsia="zh-CN"/>
        </w:rPr>
        <w:t>五、消声、减振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1.各空调通风设备采用低噪声设备,并采取必要的消声隔声措施。 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2.新风机房、风机房及泵房由建筑专业做消声处理,机房门采用防火隔声门。所有新风机组进出口均设消声器，以满足工作场所的噪声标准要求。 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3.新风机组、制冷机组、风机及水泵等旋转设备均设置减震器,设备基础采用减振基础，进出口管均采用柔性连接，以减小振动及固体传声</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微软雅黑" w:hAnsi="微软雅黑" w:eastAsia="微软雅黑" w:cs="微软雅黑"/>
          <w:b w:val="0"/>
          <w:bCs w:val="0"/>
          <w:sz w:val="28"/>
          <w:szCs w:val="36"/>
          <w:lang w:val="en-US" w:eastAsia="zh-CN"/>
        </w:rPr>
      </w:pPr>
      <w:r>
        <w:rPr>
          <w:rFonts w:hint="eastAsia" w:ascii="微软雅黑" w:hAnsi="微软雅黑" w:eastAsia="微软雅黑" w:cs="微软雅黑"/>
          <w:b w:val="0"/>
          <w:bCs w:val="0"/>
          <w:sz w:val="28"/>
          <w:szCs w:val="36"/>
          <w:lang w:val="en-US" w:eastAsia="zh-CN"/>
        </w:rPr>
        <w:t>六、节能设计与环保措施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1.采用高效、节能型空调设备，其性能系数、效率均应符合国家节能标准的规定值;多联式空调(热泵)机组制冷综合性能系数IPLV≥3.8（Q≤28KW），≥3.75（28＜Q≤84KW），≥3.7（Q＞84KW）；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2.多联式空调系统选用集中监控系统，通过监测各个房间的空气参数来控制流过各个房间的冷媒流量，从而使各个室内机之间始终处于最佳状态; 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3. 通风系统选用高效风机,风机的单位风量耗功率均≯0.32W/（M3H）；</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4.排风设系统配有动态节流仪,平时运行时，风量由相应动态节流仪根据车库内CO浓度进行实时调节(当车辆较少时，可在保证空气质量的前提下,节约能源); 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5. 空调风管、水管和冷媒管的保温材料均采用导热系数小、保温性能好的产品； 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6.空调风管、水管和冷媒管的保温材料和厚度符合节能规范的要求; 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7. 提高建筑维护结构的保温隔热性能，减少空调运行时的冷热损失; 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8.空调通风系统采用低噪声设备，安装均采用减震、隔震措施,以控制噪声对室外环境的影响,使之符合国家规定的噪声控制标准； 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9.所有空调通风的设备机房围护结构内侧贴吸声材料,机房开向公共区域的门应采用防火隔声门; 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10.设于室外的通风空调设备,根据周</w:t>
      </w:r>
      <w:bookmarkStart w:id="0" w:name="_GoBack"/>
      <w:bookmarkEnd w:id="0"/>
      <w:r>
        <w:rPr>
          <w:rFonts w:hint="eastAsia" w:ascii="微软雅黑" w:hAnsi="微软雅黑" w:eastAsia="微软雅黑" w:cs="微软雅黑"/>
          <w:lang w:val="en-US" w:eastAsia="zh-CN"/>
        </w:rPr>
        <w:t>围环境的要求进行有效的隔声处理; 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11.制冷设备的制冷剂采用环保型；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B0CE0"/>
    <w:rsid w:val="13FD3408"/>
    <w:rsid w:val="15DB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2021-03-02T06:58:00Z</dcterms:created>
  <dc:creator>Administrator</dc:creator>
  <cp:lastModifiedBy>Administrator</cp:lastModifiedBy>
  <dcterms:modified xsi:type="dcterms:W3CDTF">2021-03-02T14:11:13Z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5583367137DC4DB38068A521AED95A6D</vt:lpwstr>
  </property>
</Properties>
</file>