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居住建筑－综合权衡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广东-广州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2021年1月5日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20200505(SP1)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T13246191331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_Toc28579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_Toc6481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_Toc6481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_Toc15869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户型窗墙比</w:t>
      </w:r>
      <w:r>
        <w:tab/>
      </w:r>
      <w:r>
        <w:fldChar w:fldCharType="begin"/>
      </w:r>
      <w:r>
        <w:instrText xml:space="preserve"> PAGEREF _Toc1734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_Toc29745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_Toc20488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_Toc20488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_Toc7660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_Toc26357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_Toc12012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_Toc31811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_Toc14646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_Toc5479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_Toc490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_Toc19087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_Toc20932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_Toc13742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外凸超过500mm的凸窗板</w:t>
      </w:r>
      <w:r>
        <w:tab/>
      </w:r>
      <w:r>
        <w:fldChar w:fldCharType="begin"/>
      </w:r>
      <w:r>
        <w:instrText xml:space="preserve"> PAGEREF _Toc1670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_Toc8874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_Toc21733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_Toc21033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11.2.1 </w:t>
      </w:r>
      <w:r>
        <w:rPr>
          <w:kern w:val="2"/>
          <w:szCs w:val="24"/>
          <w:lang w:val="en-US"/>
        </w:rPr>
        <w:t>自定义遮阳</w:t>
      </w:r>
      <w:r>
        <w:tab/>
      </w:r>
      <w:r>
        <w:fldChar w:fldCharType="begin"/>
      </w:r>
      <w:r>
        <w:instrText xml:space="preserve"> PAGEREF _Toc26290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</w:t>
      </w:r>
      <w:r>
        <w:tab/>
      </w:r>
      <w:r>
        <w:fldChar w:fldCharType="begin"/>
      </w:r>
      <w:r>
        <w:instrText xml:space="preserve"> PAGEREF _Toc27534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_Toc8006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_Toc24616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主要房间通风开口面积</w:t>
      </w:r>
      <w:r>
        <w:tab/>
      </w:r>
      <w:r>
        <w:fldChar w:fldCharType="begin"/>
      </w:r>
      <w:r>
        <w:instrText xml:space="preserve"> PAGEREF _Toc24616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非主要房间通风开口面积</w:t>
      </w:r>
      <w:r>
        <w:tab/>
      </w:r>
      <w:r>
        <w:fldChar w:fldCharType="begin"/>
      </w:r>
      <w:r>
        <w:instrText xml:space="preserve"> PAGEREF _Toc24718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_Toc20650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_Toc15647 </w:instrText>
      </w:r>
      <w:r>
        <w:fldChar w:fldCharType="separate"/>
      </w:r>
      <w:r>
        <w:rPr>
          <w:rFonts w:hint="eastAsia"/>
        </w:rPr>
        <w:t xml:space="preserve">15 </w:t>
      </w:r>
      <w:r>
        <w:t>外窗气密性</w:t>
      </w:r>
      <w:r>
        <w:tab/>
      </w:r>
      <w:r>
        <w:fldChar w:fldCharType="begin"/>
      </w:r>
      <w:r>
        <w:instrText xml:space="preserve"> PAGEREF _Toc15647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_Toc20306 </w:instrText>
      </w:r>
      <w:r>
        <w:fldChar w:fldCharType="separate"/>
      </w:r>
      <w:r>
        <w:rPr>
          <w:rFonts w:hint="eastAsia"/>
        </w:rPr>
        <w:t xml:space="preserve">16 </w:t>
      </w:r>
      <w:r>
        <w:t>综合权衡</w:t>
      </w:r>
      <w:r>
        <w:tab/>
      </w:r>
      <w:r>
        <w:fldChar w:fldCharType="begin"/>
      </w:r>
      <w:r>
        <w:instrText xml:space="preserve"> PAGEREF _Toc20306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计算条件</w:t>
      </w:r>
      <w:r>
        <w:tab/>
      </w:r>
      <w:r>
        <w:fldChar w:fldCharType="begin"/>
      </w:r>
      <w:r>
        <w:instrText xml:space="preserve"> PAGEREF _Toc10297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_Toc27763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综合权衡</w:t>
      </w:r>
      <w:r>
        <w:tab/>
      </w:r>
      <w:r>
        <w:fldChar w:fldCharType="begin"/>
      </w:r>
      <w:r>
        <w:instrText xml:space="preserve"> PAGEREF _Toc27763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_Toc31402 </w:instrText>
      </w:r>
      <w:r>
        <w:fldChar w:fldCharType="separate"/>
      </w:r>
      <w:r>
        <w:rPr>
          <w:rFonts w:hint="eastAsia"/>
        </w:rPr>
        <w:t xml:space="preserve">17 </w:t>
      </w:r>
      <w:r>
        <w:t>结论</w:t>
      </w:r>
      <w:r>
        <w:tab/>
      </w:r>
      <w:r>
        <w:fldChar w:fldCharType="begin"/>
      </w:r>
      <w:r>
        <w:instrText xml:space="preserve"> PAGEREF _Toc31402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8579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广东-广州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23.08°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113.14°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564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3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1884.38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914.39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</w:tbl>
    <w:p>
      <w:pPr>
        <w:pStyle w:val="2"/>
      </w:pPr>
      <w:bookmarkStart w:id="31" w:name="_Toc6481"/>
      <w:bookmarkStart w:id="32" w:name="TitleFormat"/>
      <w:r>
        <w:rPr>
          <w:rFonts w:hint="eastAsia"/>
        </w:rPr>
        <w:t>设计依据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《广东省居住建筑节能设计标准》DBJ/T 15-133-2018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《夏热冬暖地区居住建筑节能设计标准》JGJ75-2012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5869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粉刷石膏抹灰压入网格布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3.748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聚苯乙烯泡沫塑料（白板）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1382.2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加气混凝土、泡沫混凝土(ρ=700)（1）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1048.8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硅酸铝保温涂层</w:t>
            </w:r>
          </w:p>
        </w:tc>
        <w:tc>
          <w:tcPr>
            <w:vAlign w:val="center"/>
          </w:tcPr>
          <w:p>
            <w:r>
              <w:t>0.021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水泥砂浆（8）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钢筋混凝土（7）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734"/>
      <w:r>
        <w:rPr>
          <w:kern w:val="2"/>
          <w:szCs w:val="24"/>
          <w:lang w:val="en-US"/>
        </w:rPr>
        <w:t>户型窗墙比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1&gt;，户型 1-A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863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50"/>
        <w:gridCol w:w="1804"/>
        <w:gridCol w:w="921"/>
        <w:gridCol w:w="921"/>
        <w:gridCol w:w="1176"/>
        <w:gridCol w:w="1459"/>
        <w:gridCol w:w="11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是否凸窗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1-A</w:t>
            </w:r>
          </w:p>
        </w:tc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53.547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54.671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2&gt;，户型 1-B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43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50"/>
        <w:gridCol w:w="1804"/>
        <w:gridCol w:w="921"/>
        <w:gridCol w:w="921"/>
        <w:gridCol w:w="1176"/>
        <w:gridCol w:w="1459"/>
        <w:gridCol w:w="11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是否凸窗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1-B</w:t>
            </w:r>
          </w:p>
        </w:tc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Merge w:val="restart"/>
            <w:vAlign w:val="center"/>
          </w:tcPr>
          <w:p>
            <w:r>
              <w:t>18</w:t>
            </w:r>
          </w:p>
        </w:tc>
        <w:tc>
          <w:tcPr>
            <w:vMerge w:val="restart"/>
            <w:vAlign w:val="center"/>
          </w:tcPr>
          <w:p>
            <w:r>
              <w:t>8.100</w:t>
            </w:r>
          </w:p>
        </w:tc>
        <w:tc>
          <w:tcPr>
            <w:vMerge w:val="restart"/>
            <w:vAlign w:val="center"/>
          </w:tcPr>
          <w:p>
            <w:r>
              <w:t>33.302</w:t>
            </w:r>
          </w:p>
        </w:tc>
        <w:tc>
          <w:tcPr>
            <w:vMerge w:val="restart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72.914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否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81.314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29745"/>
      <w:r>
        <w:rPr>
          <w:kern w:val="2"/>
          <w:szCs w:val="24"/>
          <w:lang w:val="en-US"/>
        </w:rPr>
        <w:t>外窗表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  <w:r>
              <w:br w:type="textWrapping"/>
            </w:r>
            <w:r>
              <w:t>13.50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5.40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7.74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7.02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0488"/>
      <w:r>
        <w:rPr>
          <w:kern w:val="2"/>
          <w:szCs w:val="24"/>
          <w:lang w:val="en-US"/>
        </w:rPr>
        <w:t>窗地面积比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1007(最不利房间)</w:t>
            </w:r>
          </w:p>
        </w:tc>
        <w:tc>
          <w:tcPr>
            <w:gridSpan w:val="2"/>
            <w:vAlign w:val="center"/>
          </w:tcPr>
          <w:p>
            <w:r>
              <w:t>12.95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0.2085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《广东省居住建筑节能设计标准》DBJ/T 15-133-2018第4.2.4条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建筑的卧室、书房、客厅等主要房间的房间窗地面积比不应小于0.18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7660"/>
      <w:r>
        <w:rPr>
          <w:kern w:val="2"/>
          <w:szCs w:val="24"/>
          <w:lang w:val="en-US"/>
        </w:rPr>
        <w:t>可见光透射比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《广东省居住建筑节能设计标准》DBJ/T 15-133-2018第4.2.4条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当房间窗地面积比小于0.2时，外窗玻璃的可见光透射比不应小于0.4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不需要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6357"/>
      <w:r>
        <w:rPr>
          <w:kern w:val="2"/>
          <w:szCs w:val="24"/>
          <w:lang w:val="en-US"/>
        </w:rPr>
        <w:t>天窗</w:t>
      </w:r>
      <w:bookmarkEnd w:id="3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2012"/>
      <w:r>
        <w:rPr>
          <w:kern w:val="2"/>
          <w:szCs w:val="24"/>
          <w:lang w:val="en-US"/>
        </w:rPr>
        <w:t>天窗屋顶比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31811"/>
      <w:r>
        <w:rPr>
          <w:kern w:val="2"/>
          <w:szCs w:val="24"/>
          <w:lang w:val="en-US"/>
        </w:rPr>
        <w:t>天窗类型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14646"/>
      <w:r>
        <w:rPr>
          <w:kern w:val="2"/>
          <w:szCs w:val="24"/>
          <w:lang w:val="en-US"/>
        </w:rPr>
        <w:t>屋顶构造</w:t>
      </w:r>
      <w:bookmarkEnd w:id="4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5479"/>
      <w:r>
        <w:rPr>
          <w:kern w:val="2"/>
          <w:szCs w:val="24"/>
          <w:lang w:val="en-US"/>
        </w:rPr>
        <w:t>屋顶构造一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水泥砂浆（8）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硅酸铝保温涂层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0.021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1.587</w:t>
            </w:r>
          </w:p>
        </w:tc>
        <w:tc>
          <w:tcPr>
            <w:vAlign w:val="center"/>
          </w:tcPr>
          <w:p>
            <w:r>
              <w:t>1.070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钢筋混凝土（7）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1.677</w:t>
            </w:r>
          </w:p>
        </w:tc>
        <w:tc>
          <w:tcPr>
            <w:vAlign w:val="center"/>
          </w:tcPr>
          <w:p>
            <w:r>
              <w:t>2.426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0.55, D = 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《夏热冬暖地区居住建筑节能设计标准》(JGJ75-2012)第5.0.1条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...综合评价的建筑...屋顶传热系数仍然要满足第4.0.7条的要求。即K≤0.9,D≥2.5 或 K≤0.4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490"/>
      <w:r>
        <w:rPr>
          <w:kern w:val="2"/>
          <w:szCs w:val="24"/>
          <w:lang w:val="en-US"/>
        </w:rPr>
        <w:t>外墙构造</w:t>
      </w:r>
      <w:bookmarkEnd w:id="4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9087"/>
      <w:r>
        <w:rPr>
          <w:kern w:val="2"/>
          <w:szCs w:val="24"/>
          <w:lang w:val="en-US"/>
        </w:rPr>
        <w:t>外墙相关构造</w:t>
      </w:r>
      <w:bookmarkEnd w:id="4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20932"/>
      <w:r>
        <w:rPr>
          <w:kern w:val="2"/>
          <w:szCs w:val="24"/>
          <w:lang w:val="en-US"/>
        </w:rPr>
        <w:t>外墙构造一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粉刷石膏抹灰压入网格布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3.748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聚苯乙烯泡沫塑料（白板）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0.214</w:t>
            </w:r>
          </w:p>
        </w:tc>
        <w:tc>
          <w:tcPr>
            <w:vAlign w:val="center"/>
          </w:tcPr>
          <w:p>
            <w:r>
              <w:t>0.072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加气混凝土、泡沫混凝土(ρ=700)（1）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3.272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0.309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1.315</w:t>
            </w:r>
          </w:p>
        </w:tc>
        <w:tc>
          <w:tcPr>
            <w:vAlign w:val="center"/>
          </w:tcPr>
          <w:p>
            <w:r>
              <w:t>3.718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0.80, D = 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13742"/>
      <w:r>
        <w:rPr>
          <w:kern w:val="2"/>
          <w:szCs w:val="24"/>
          <w:lang w:val="en-US"/>
        </w:rPr>
        <w:t>外墙平均热工特性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88.28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80.76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203.32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《夏热冬暖地区居住建筑节能设计标准》(JGJ75-2012)第5.0.1条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...综合评价的建筑...东、西向外墙传热系数仍然要满足第4.0.7条的要求。即K≤2.5,D≥3.0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213.61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《夏热冬暖地区居住建筑节能设计标准》(JGJ75-2012)第5.0.1条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...综合评价的建筑...东、西向外墙传热系数仍然要满足第4.0.7条的要求。即K≤2.5,D≥3.0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585.98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8" w:name="_Toc1670"/>
      <w:r>
        <w:rPr>
          <w:kern w:val="2"/>
          <w:szCs w:val="24"/>
          <w:lang w:val="en-US"/>
        </w:rPr>
        <w:t>外凸超过500mm的凸窗板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8874"/>
      <w:r>
        <w:rPr>
          <w:kern w:val="2"/>
          <w:szCs w:val="24"/>
          <w:lang w:val="en-US"/>
        </w:rPr>
        <w:t>外窗热工</w:t>
      </w:r>
      <w:bookmarkEnd w:id="4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1733"/>
      <w:r>
        <w:rPr>
          <w:kern w:val="2"/>
          <w:szCs w:val="24"/>
          <w:lang w:val="en-US"/>
        </w:rP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6＋12A＋6高透低辐射玻璃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摘自《上海住宅建筑围护结构节能应用技术规程》DG/TJ08-206-2002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21033"/>
      <w:r>
        <w:rPr>
          <w:kern w:val="2"/>
          <w:szCs w:val="24"/>
          <w:lang w:val="en-US"/>
        </w:rPr>
        <w:t>外遮阳类型</w:t>
      </w:r>
      <w:bookmarkEnd w:id="5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6290"/>
      <w:r>
        <w:rPr>
          <w:kern w:val="2"/>
          <w:szCs w:val="24"/>
          <w:lang w:val="en-US"/>
        </w:rPr>
        <w:t>自定义遮阳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27534"/>
      <w:r>
        <w:rPr>
          <w:kern w:val="2"/>
          <w:szCs w:val="24"/>
          <w:lang w:val="en-US"/>
        </w:rPr>
        <w:t>外遮阳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50"/>
        <w:gridCol w:w="2377"/>
        <w:gridCol w:w="242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C2418(最不利窗)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SD≤0.80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C2418(最不利窗)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SD≤0.80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《夏热冬暖地区居住建筑节能设计标准》(JGJ75-2012)第4.0.10条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东、西向外窗必须采取建筑外遮阳措施，建筑外遮阳系数不应大于0.8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8006"/>
      <w:r>
        <w:rPr>
          <w:kern w:val="2"/>
          <w:szCs w:val="24"/>
          <w:lang w:val="en-US"/>
        </w:rPr>
        <w:t>平均遮阳系数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7.740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1"/>
        <w:gridCol w:w="702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3838575" cy="55245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=0.57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7.740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7.020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0.57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24616"/>
      <w:r>
        <w:rPr>
          <w:kern w:val="2"/>
          <w:szCs w:val="24"/>
          <w:lang w:val="en-US"/>
        </w:rPr>
        <w:t>主要房间通风开口面积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2005(最不利房间)</w:t>
            </w:r>
          </w:p>
        </w:tc>
        <w:tc>
          <w:tcPr>
            <w:gridSpan w:val="2"/>
            <w:vAlign w:val="center"/>
          </w:tcPr>
          <w:p>
            <w:r>
              <w:t>13.35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《广东省居住建筑节能设计标准》DBJ/T 15-133-2018第4.2.12条、《夏热冬暖地区居住建筑节能设计标准》(JGJ75-2012)第4.0.13条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主要房间外窗（包括阳台门）的通风开口面积不应小于房间地面面积的10％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24718"/>
      <w:r>
        <w:rPr>
          <w:kern w:val="2"/>
          <w:szCs w:val="24"/>
          <w:lang w:val="en-US"/>
        </w:rPr>
        <w:t>非主要房间通风开口面积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1018(最不利房间)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M0821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restart"/>
            <w:vAlign w:val="center"/>
          </w:tcPr>
          <w:p>
            <w:r>
              <w:t>0.41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《广东省居住建筑节能设计标准》DBJ/T 15-133-2018第4.2.12条、《夏热冬暖地区居住建筑节能设计标准》(JGJ75-2012)第4.0.13条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非主要房间外窗（包括阳台门）的通风开口面积不应小于外窗面积的45％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7" w:name="_Toc20650"/>
      <w:r>
        <w:rPr>
          <w:kern w:val="2"/>
          <w:szCs w:val="24"/>
          <w:lang w:val="en-US"/>
        </w:rPr>
        <w:t>隔热检查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179</w:t>
            </w:r>
          </w:p>
        </w:tc>
        <w:tc>
          <w:tcPr>
            <w:vAlign w:val="center"/>
          </w:tcPr>
          <w:p>
            <w:r>
              <w:t>203.32</w:t>
            </w:r>
          </w:p>
        </w:tc>
        <w:tc>
          <w:tcPr>
            <w:vAlign w:val="center"/>
          </w:tcPr>
          <w:p>
            <w:r>
              <w:t>36.57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179</w:t>
            </w:r>
          </w:p>
        </w:tc>
        <w:tc>
          <w:tcPr>
            <w:vAlign w:val="center"/>
          </w:tcPr>
          <w:p>
            <w:r>
              <w:t>213.61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3.17</w:t>
            </w:r>
          </w:p>
        </w:tc>
        <w:tc>
          <w:tcPr>
            <w:vAlign w:val="center"/>
          </w:tcPr>
          <w:p>
            <w:r>
              <w:t>313</w:t>
            </w:r>
          </w:p>
        </w:tc>
        <w:tc>
          <w:tcPr>
            <w:vAlign w:val="center"/>
          </w:tcPr>
          <w:p>
            <w:r>
              <w:t>185.52</w:t>
            </w:r>
          </w:p>
        </w:tc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《广东省居住建筑节能设计标准》DBJ/T 15-133-2018第4.2.6条、《夏热冬暖地区居住建筑节能设计标准》(JGJ75-2012)第4.0.7条和《民用建筑热工设计规范》(GB50176)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58" w:name="_Toc15647"/>
      <w: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  C1815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《广东省居住建筑节能设计标准》DBJ/T 15-133-2018第4.2.16条，分级与检测方法《建筑外门窗气密，水密，抗风压性能分级及检测方法》（GB/T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《广东省居住建筑节能设计标准》DBJ/T 15-133-2018第4.2.16条，分级与检测方法《建筑外门窗气密，水密，抗风压性能分级及检测方法》（GB/T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1～9层外窗气密性不应低于4级</w:t>
            </w:r>
          </w:p>
        </w:tc>
        <w:tc>
          <w:tcPr>
            <w:vAlign w:val="center"/>
          </w:tcPr>
          <w:p>
            <w:r>
              <w:t>10层以及10层以上外窗气密性不应低于6级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59" w:name="_Toc20306"/>
      <w:r>
        <w:t>综合权衡</w:t>
      </w:r>
      <w:bookmarkEnd w:id="59"/>
    </w:p>
    <w:p>
      <w:pPr>
        <w:pStyle w:val="4"/>
      </w:pPr>
      <w:bookmarkStart w:id="60" w:name="_Toc10297"/>
      <w:r>
        <w:t>计算条件</w:t>
      </w:r>
      <w:bookmarkEnd w:id="60"/>
    </w:p>
    <w:p/>
    <w:tbl>
      <w:tblPr>
        <w:tblStyle w:val="18"/>
        <w:tblW w:w="48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85"/>
        <w:gridCol w:w="1098"/>
        <w:gridCol w:w="1932"/>
        <w:gridCol w:w="1031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1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0"/>
          </w:p>
        </w:tc>
        <w:tc>
          <w:tcPr>
            <w:tcW w:w="1610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0.55</w:t>
            </w:r>
            <w:bookmarkEnd w:id="2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0.90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4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09" w:type="pct"/>
            <w:gridSpan w:val="2"/>
            <w:tcBorders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10"/>
          </w:p>
        </w:tc>
        <w:tc>
          <w:tcPr>
            <w:tcW w:w="1610" w:type="pct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ρ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61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4" w:type="pct"/>
            <w:vMerge w:val="restar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13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0.06</w:t>
            </w:r>
            <w:bookmarkEnd w:id="15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0.06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0.04</w:t>
            </w:r>
            <w:bookmarkEnd w:id="17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0.04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19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774" w:type="pct"/>
            <w:vMerge w:val="continue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0.05</w:t>
            </w:r>
            <w:bookmarkEnd w:id="21"/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709" w:type="pct"/>
            <w:gridSpan w:val="2"/>
            <w:vMerge w:val="restar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0.04</w:t>
            </w:r>
            <w:bookmarkEnd w:id="23"/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窗面积:22.86</w:t>
            </w:r>
            <w:bookmarkEnd w:id="24"/>
          </w:p>
        </w:tc>
        <w:tc>
          <w:tcPr>
            <w:tcW w:w="572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0.04</w:t>
            </w:r>
            <w:bookmarkEnd w:id="25"/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窗面积:22.86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709" w:type="pct"/>
            <w:gridSpan w:val="2"/>
            <w:vMerge w:val="continue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9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地面面积:564.00</w:t>
            </w:r>
            <w:bookmarkEnd w:id="27"/>
          </w:p>
        </w:tc>
        <w:tc>
          <w:tcPr>
            <w:tcW w:w="57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地面面积:564.00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外窗传热系数K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外窗K－平均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1.70</w:t>
            </w:r>
            <w:bookmarkEnd w:id="62"/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1.70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0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外窗综合遮阳系数Sw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0.57</w:t>
            </w:r>
            <w:bookmarkEnd w:id="30"/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pct"/>
            <w:gridSpan w:val="2"/>
            <w:tcBorders>
              <w:top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其他计算条件</w:t>
            </w:r>
          </w:p>
        </w:tc>
        <w:tc>
          <w:tcPr>
            <w:tcW w:w="3291" w:type="pct"/>
            <w:gridSpan w:val="4"/>
            <w:tcBorders>
              <w:top w:val="single" w:color="auto" w:sz="4" w:space="0"/>
            </w:tcBorders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夏季室内计算温度26度，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换气次数1.0，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空调能效比3.0;采暖能效比1.7</w:t>
            </w:r>
          </w:p>
        </w:tc>
      </w:tr>
    </w:tbl>
    <w:p/>
    <w:p>
      <w:pPr>
        <w:pStyle w:val="4"/>
      </w:pPr>
      <w:bookmarkStart w:id="63" w:name="_Toc27763"/>
      <w:r>
        <w:t>综合权衡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空调耗电指数(建筑)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40.53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《夏热冬暖地区居住建筑节能设计标准》(JGJ75-2012)第5.0.1条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设计建筑的能耗不得超过参照建筑的能耗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64" w:name="_Toc31402"/>
      <w:r>
        <w:t>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主要房间通风开口面积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非主要房间通风开口面积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E4046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5E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549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4882</Words>
  <Characters>7091</Characters>
  <Lines>42</Lines>
  <Paragraphs>12</Paragraphs>
  <TotalTime>0</TotalTime>
  <ScaleCrop>false</ScaleCrop>
  <LinksUpToDate>false</LinksUpToDate>
  <CharactersWithSpaces>7311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2021-01-05T04:38:00Z</dcterms:created>
  <dc:creator>15549</dc:creator>
  <cp:lastModifiedBy>15549</cp:lastModifiedBy>
  <dcterms:modified xsi:type="dcterms:W3CDTF">2021-01-05T04:38:14Z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