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  <w:bookmarkStart w:id="30" w:name="_GoBack"/>
      <w:bookmarkEnd w:id="30"/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建筑可开启面积比例计算书</w:t>
      </w: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Style w:val="19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hint="eastAsia" w:ascii="宋体" w:hAnsi="宋体"/>
                <w:sz w:val="21"/>
                <w:szCs w:val="21"/>
              </w:rP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</w:t>
            </w:r>
            <w:bookmarkStart w:id="7" w:name="采用软件"/>
            <w:r>
              <w:rPr>
                <w:rFonts w:hint="eastAsia" w:ascii="宋体" w:hAnsi="宋体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深圳市斯维尔科技有限公司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T18452616535</w:t>
            </w:r>
            <w:bookmarkEnd w:id="9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7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10" w:name="_Toc420309360"/>
      <w:bookmarkStart w:id="11" w:name="_Toc420663548"/>
      <w:r>
        <w:rPr>
          <w:rFonts w:hint="eastAsia"/>
        </w:rPr>
        <w:t>建筑概况</w:t>
      </w:r>
      <w:bookmarkEnd w:id="10"/>
      <w:bookmarkEnd w:id="11"/>
    </w:p>
    <w:tbl>
      <w:tblPr>
        <w:tblStyle w:val="19"/>
        <w:tblW w:w="883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6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hint="eastAsia" w:ascii="宋体" w:hAnsi="宋体"/>
                <w:lang w:val="en-US"/>
              </w:rP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65" w:type="dxa"/>
          </w:tcPr>
          <w:p>
            <w:pPr>
              <w:pStyle w:val="3"/>
              <w:ind w:firstLine="0" w:firstLineChars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>
              <w:rPr>
                <w:rFonts w:ascii="宋体" w:hAnsi="宋体"/>
                <w:lang w:val="en-US"/>
              </w:rPr>
              <w:t>5511</w:t>
            </w:r>
            <w:bookmarkEnd w:id="14"/>
            <w:r>
              <w:rPr>
                <w:rFonts w:hint="eastAsia" w:ascii="宋体" w:hAnsi="宋体"/>
                <w:lang w:val="en-US"/>
              </w:rPr>
              <w:t>m</w:t>
            </w:r>
            <w:r>
              <w:rPr>
                <w:rFonts w:hint="eastAsia" w:ascii="宋体" w:hAnsi="宋体"/>
                <w:vertAlign w:val="superscript"/>
                <w:lang w:val="en-US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层数"/>
            <w:r>
              <w:rPr>
                <w:rFonts w:hint="eastAsia" w:ascii="宋体" w:hAnsi="宋体"/>
                <w:lang w:val="en-US"/>
              </w:rPr>
              <w:t>4</w:t>
            </w:r>
            <w:bookmarkEnd w:id="15"/>
            <w:r>
              <w:rPr>
                <w:rFonts w:hint="eastAsia" w:ascii="宋体" w:hAnsi="宋体"/>
                <w:lang w:val="en-US"/>
              </w:rPr>
              <w:t>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6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hint="eastAsia" w:ascii="宋体" w:hAnsi="宋体"/>
                <w:lang w:val="en-US"/>
              </w:rPr>
              <w:t>16.8</w:t>
            </w:r>
            <w:bookmarkEnd w:id="16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</w:tbl>
    <w:p>
      <w:pPr>
        <w:pStyle w:val="2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bookmarkEnd w:id="19"/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20"/>
      <w:r>
        <w:rPr>
          <w:rFonts w:hint="eastAsia"/>
          <w:kern w:val="2"/>
          <w:sz w:val="21"/>
          <w:szCs w:val="24"/>
          <w:lang w:val="en-US"/>
        </w:rPr>
        <w:t>1. 《绿色建筑评价标准》(GB/T50378-2014)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2. 《绿色建筑评价技术细则》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>
      <w:pPr>
        <w:pStyle w:val="2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《绿色建筑评价标准》(GB/T50378-2014)中规定：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外窗、玻璃幕墙的可开启部分能使建筑获得良好的通风，评价总分值为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1 </w:t>
      </w:r>
      <w:r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>
        <w:rPr>
          <w:kern w:val="2"/>
          <w:sz w:val="21"/>
          <w:szCs w:val="24"/>
          <w:lang w:val="en-US"/>
        </w:rPr>
        <w:t xml:space="preserve">5 % 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4 </w:t>
      </w:r>
      <w:r>
        <w:rPr>
          <w:rFonts w:hint="eastAsia"/>
          <w:kern w:val="2"/>
          <w:sz w:val="21"/>
          <w:szCs w:val="24"/>
          <w:lang w:val="en-US"/>
        </w:rPr>
        <w:t>分；达到</w:t>
      </w:r>
      <w:r>
        <w:rPr>
          <w:kern w:val="2"/>
          <w:sz w:val="21"/>
          <w:szCs w:val="24"/>
          <w:lang w:val="en-US"/>
        </w:rPr>
        <w:t>1 0 %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2 </w:t>
      </w:r>
      <w:r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>
        <w:rPr>
          <w:kern w:val="2"/>
          <w:sz w:val="21"/>
          <w:szCs w:val="24"/>
          <w:lang w:val="en-US"/>
        </w:rPr>
        <w:t>3 0 %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4 </w:t>
      </w:r>
      <w:r>
        <w:rPr>
          <w:rFonts w:hint="eastAsia"/>
          <w:kern w:val="2"/>
          <w:sz w:val="21"/>
          <w:szCs w:val="24"/>
          <w:lang w:val="en-US"/>
        </w:rPr>
        <w:t>分；达到</w:t>
      </w:r>
      <w:r>
        <w:rPr>
          <w:kern w:val="2"/>
          <w:sz w:val="21"/>
          <w:szCs w:val="24"/>
          <w:lang w:val="en-US"/>
        </w:rPr>
        <w:t>3 5 %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3 </w:t>
      </w:r>
      <w:r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>
        <w:rPr>
          <w:kern w:val="2"/>
          <w:sz w:val="21"/>
          <w:szCs w:val="24"/>
          <w:lang w:val="en-US"/>
        </w:rPr>
        <w:t xml:space="preserve">1 </w:t>
      </w:r>
      <w:r>
        <w:rPr>
          <w:rFonts w:hint="eastAsia"/>
          <w:kern w:val="2"/>
          <w:sz w:val="21"/>
          <w:szCs w:val="24"/>
          <w:lang w:val="en-US"/>
        </w:rPr>
        <w:t>款和第</w:t>
      </w:r>
      <w:r>
        <w:rPr>
          <w:kern w:val="2"/>
          <w:sz w:val="21"/>
          <w:szCs w:val="24"/>
          <w:lang w:val="en-US"/>
        </w:rPr>
        <w:t xml:space="preserve">2 </w:t>
      </w:r>
      <w:r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>《绿色建筑评价技术细则》5.2.2的【具体评价方式】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>当建筑层数大于18层时，18层以上部分不参评，仅对其第18层及以下各层的外窗和玻璃幕墙可开启面积比例进行评价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本计算书主要通过对建筑18层及18层以下部分的外窗与玻璃幕墙可开启面积比例的计算，判断设计建筑对该条文的符合情况。</w:t>
      </w:r>
    </w:p>
    <w:p>
      <w:pPr>
        <w:pStyle w:val="2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>
      <w:pPr>
        <w:pStyle w:val="4"/>
      </w:pPr>
      <w:r>
        <w:rPr>
          <w:rFonts w:hint="eastAsia"/>
        </w:rPr>
        <w:t>计算内容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建筑可开启面积比例的计算书。</w:t>
      </w:r>
    </w:p>
    <w:p>
      <w:pPr>
        <w:pStyle w:val="4"/>
      </w:pPr>
      <w:r>
        <w:rPr>
          <w:rFonts w:hint="eastAsia"/>
        </w:rPr>
        <w:t>计算方法</w:t>
      </w:r>
    </w:p>
    <w:p>
      <w:pPr>
        <w:widowControl w:val="0"/>
        <w:spacing w:line="240" w:lineRule="auto"/>
        <w:ind w:firstLine="422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4.2.1 外窗可开启面积比例计算：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object>
          <v:shape id="_x0000_i1025" o:spt="75" type="#_x0000_t75" style="height:34.5pt;width:10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 w:leftChars="20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—外窗可开启面积比例（%）；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7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—18层及18层以下部分的外窗可开启面积之和（m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8" o:spt="75" type="#_x0000_t75" style="height:18.75pt;width:22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—18层及18层以下部分的外窗面积之和（m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ab/>
      </w:r>
      <w:r>
        <w:rPr>
          <w:rFonts w:hint="eastAsia"/>
          <w:kern w:val="2"/>
          <w:sz w:val="21"/>
          <w:szCs w:val="24"/>
          <w:lang w:val="en-US"/>
        </w:rPr>
        <w:t>注：可开启面积即可开启窗扇的洞口面积。如图1所示。</w:t>
      </w: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ind w:firstLine="424" w:firstLineChars="201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4.2.2 玻璃幕墙可开启面积比例计算：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object>
          <v:shape id="_x0000_i1029" o:spt="75" type="#_x0000_t75" style="height:34.5pt;width:10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 w:leftChars="20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0" o:spt="75" type="#_x0000_t75" style="height:18.7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—玻璃幕墙可开启面积比例（%）；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1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—18层及18层以下部分的玻璃幕墙可开启面积之和（m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2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—18层及18层以下部分的玻璃幕墙透明部分面积之和（m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drawing>
          <wp:inline distT="0" distB="0" distL="0" distR="0">
            <wp:extent cx="4010025" cy="2341880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图1</w:t>
      </w:r>
      <w:r>
        <w:rPr>
          <w:rFonts w:hint="eastAsia"/>
          <w:kern w:val="2"/>
          <w:sz w:val="21"/>
          <w:szCs w:val="24"/>
          <w:lang w:val="en-US"/>
        </w:rPr>
        <w:tab/>
      </w:r>
      <w:r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ind w:left="900" w:leftChars="500"/>
        <w:rPr>
          <w:kern w:val="2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2"/>
          <w:sz w:val="21"/>
          <w:szCs w:val="24"/>
        </w:rPr>
      </w:pPr>
      <w:r>
        <w:rPr>
          <w:rFonts w:hint="eastAsia"/>
          <w:kern w:val="2"/>
        </w:rPr>
        <w:t>可开启面积比例统计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表1-建筑可开启面积比例统计计算表</w:t>
      </w:r>
      <w:bookmarkEnd w:id="25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19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0" w:type="dxa"/>
            <w:gridSpan w:val="3"/>
          </w:tcPr>
          <w:p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r>
              <w:t>编号</w:t>
            </w:r>
          </w:p>
        </w:tc>
        <w:tc>
          <w:tcPr>
            <w:tcW w:w="2360" w:type="dxa"/>
            <w:vAlign w:val="center"/>
          </w:tcPr>
          <w:p>
            <w:r>
              <w:t>类型</w:t>
            </w:r>
          </w:p>
        </w:tc>
        <w:tc>
          <w:tcPr>
            <w:tcW w:w="1060" w:type="dxa"/>
            <w:vAlign w:val="center"/>
          </w:tcPr>
          <w:p>
            <w:r>
              <w:t>数量(个)</w:t>
            </w:r>
          </w:p>
        </w:tc>
        <w:tc>
          <w:tcPr>
            <w:tcW w:w="1060" w:type="dxa"/>
            <w:vAlign w:val="center"/>
          </w:tcPr>
          <w:p>
            <w:r>
              <w:t>宽度(m)</w:t>
            </w:r>
          </w:p>
        </w:tc>
        <w:tc>
          <w:tcPr>
            <w:tcW w:w="1060" w:type="dxa"/>
            <w:vAlign w:val="center"/>
          </w:tcPr>
          <w:p>
            <w:r>
              <w:t>高度(m)</w:t>
            </w:r>
          </w:p>
        </w:tc>
        <w:tc>
          <w:tcPr>
            <w:tcW w:w="1060" w:type="dxa"/>
            <w:vAlign w:val="center"/>
          </w:tcPr>
          <w:p>
            <w:r>
              <w:t>面积(㎡)</w:t>
            </w:r>
          </w:p>
        </w:tc>
        <w:tc>
          <w:tcPr>
            <w:tcW w:w="1060" w:type="dxa"/>
            <w:vAlign w:val="center"/>
          </w:tcPr>
          <w:p>
            <w:r>
              <w:t>宽度(m)</w:t>
            </w:r>
          </w:p>
        </w:tc>
        <w:tc>
          <w:tcPr>
            <w:tcW w:w="1060" w:type="dxa"/>
            <w:vAlign w:val="center"/>
          </w:tcPr>
          <w:p>
            <w:r>
              <w:t>高度(m)</w:t>
            </w:r>
          </w:p>
        </w:tc>
        <w:tc>
          <w:tcPr>
            <w:tcW w:w="1060" w:type="dxa"/>
            <w:vAlign w:val="center"/>
          </w:tcPr>
          <w:p>
            <w:r>
              <w:t>数量(个)</w:t>
            </w:r>
          </w:p>
        </w:tc>
        <w:tc>
          <w:tcPr>
            <w:tcW w:w="1060" w:type="dxa"/>
            <w:vAlign w:val="center"/>
          </w:tcPr>
          <w:p>
            <w:r>
              <w:t>面积(㎡)</w:t>
            </w:r>
          </w:p>
        </w:tc>
        <w:tc>
          <w:tcPr>
            <w:tcW w:w="198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r>
              <w:t>C2025</w:t>
            </w:r>
          </w:p>
        </w:tc>
        <w:tc>
          <w:tcPr>
            <w:tcW w:w="2360" w:type="dxa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vAlign w:val="center"/>
          </w:tcPr>
          <w:p>
            <w:r>
              <w:t>216</w:t>
            </w:r>
          </w:p>
        </w:tc>
        <w:tc>
          <w:tcPr>
            <w:tcW w:w="1060" w:type="dxa"/>
            <w:vAlign w:val="center"/>
          </w:tcPr>
          <w:p>
            <w:r>
              <w:t>2.00</w:t>
            </w:r>
          </w:p>
        </w:tc>
        <w:tc>
          <w:tcPr>
            <w:tcW w:w="1060" w:type="dxa"/>
            <w:vAlign w:val="center"/>
          </w:tcPr>
          <w:p>
            <w:r>
              <w:t>2.50</w:t>
            </w:r>
          </w:p>
        </w:tc>
        <w:tc>
          <w:tcPr>
            <w:tcW w:w="1060" w:type="dxa"/>
            <w:vAlign w:val="center"/>
          </w:tcPr>
          <w:p>
            <w:r>
              <w:t>5.00</w:t>
            </w:r>
          </w:p>
        </w:tc>
        <w:tc>
          <w:tcPr>
            <w:tcW w:w="1060" w:type="dxa"/>
            <w:vAlign w:val="center"/>
          </w:tcPr>
          <w:p>
            <w:r>
              <w:t>0.67</w:t>
            </w:r>
          </w:p>
        </w:tc>
        <w:tc>
          <w:tcPr>
            <w:tcW w:w="1060" w:type="dxa"/>
            <w:vAlign w:val="center"/>
          </w:tcPr>
          <w:p>
            <w:r>
              <w:t>2.50</w:t>
            </w:r>
          </w:p>
        </w:tc>
        <w:tc>
          <w:tcPr>
            <w:tcW w:w="1060" w:type="dxa"/>
            <w:vAlign w:val="center"/>
          </w:tcPr>
          <w:p>
            <w:r>
              <w:t>1</w:t>
            </w:r>
          </w:p>
        </w:tc>
        <w:tc>
          <w:tcPr>
            <w:tcW w:w="1060" w:type="dxa"/>
            <w:vAlign w:val="center"/>
          </w:tcPr>
          <w:p>
            <w:r>
              <w:t>1.67</w:t>
            </w:r>
          </w:p>
        </w:tc>
        <w:tc>
          <w:tcPr>
            <w:tcW w:w="1980" w:type="dxa"/>
            <w:vAlign w:val="center"/>
          </w:tcPr>
          <w:p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r>
              <w:t>合计</w:t>
            </w:r>
          </w:p>
        </w:tc>
        <w:tc>
          <w:tcPr>
            <w:tcW w:w="2360" w:type="dxa"/>
            <w:vAlign w:val="center"/>
          </w:tcPr>
          <w:p>
            <w:r>
              <w:t>—</w:t>
            </w:r>
          </w:p>
        </w:tc>
        <w:tc>
          <w:tcPr>
            <w:tcW w:w="1060" w:type="dxa"/>
            <w:vAlign w:val="center"/>
          </w:tcPr>
          <w:p>
            <w:r>
              <w:t>216</w:t>
            </w:r>
          </w:p>
        </w:tc>
        <w:tc>
          <w:tcPr>
            <w:tcW w:w="1060" w:type="dxa"/>
            <w:vAlign w:val="center"/>
          </w:tcPr>
          <w:p>
            <w:r>
              <w:t>—</w:t>
            </w:r>
          </w:p>
        </w:tc>
        <w:tc>
          <w:tcPr>
            <w:tcW w:w="1060" w:type="dxa"/>
            <w:vAlign w:val="center"/>
          </w:tcPr>
          <w:p>
            <w:r>
              <w:t>—</w:t>
            </w:r>
          </w:p>
        </w:tc>
        <w:tc>
          <w:tcPr>
            <w:tcW w:w="1060" w:type="dxa"/>
            <w:vAlign w:val="center"/>
          </w:tcPr>
          <w:p>
            <w:r>
              <w:t>1080.00</w:t>
            </w:r>
          </w:p>
        </w:tc>
        <w:tc>
          <w:tcPr>
            <w:tcW w:w="1060" w:type="dxa"/>
            <w:vAlign w:val="center"/>
          </w:tcPr>
          <w:p>
            <w:r>
              <w:t>—</w:t>
            </w:r>
          </w:p>
        </w:tc>
        <w:tc>
          <w:tcPr>
            <w:tcW w:w="1060" w:type="dxa"/>
            <w:vAlign w:val="center"/>
          </w:tcPr>
          <w:p>
            <w:r>
              <w:t>—</w:t>
            </w:r>
          </w:p>
        </w:tc>
        <w:tc>
          <w:tcPr>
            <w:tcW w:w="1060" w:type="dxa"/>
            <w:vAlign w:val="center"/>
          </w:tcPr>
          <w:p>
            <w:r>
              <w:t>1</w:t>
            </w:r>
          </w:p>
        </w:tc>
        <w:tc>
          <w:tcPr>
            <w:tcW w:w="1060" w:type="dxa"/>
            <w:vAlign w:val="center"/>
          </w:tcPr>
          <w:p>
            <w:r>
              <w:t>360.72</w:t>
            </w:r>
          </w:p>
        </w:tc>
        <w:tc>
          <w:tcPr>
            <w:tcW w:w="1980" w:type="dxa"/>
            <w:vAlign w:val="center"/>
          </w:tcPr>
          <w:p>
            <w:r>
              <w:t>33</w:t>
            </w:r>
          </w:p>
        </w:tc>
      </w:tr>
      <w:bookmarkEnd w:id="26"/>
    </w:tbl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7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  <w:sectPr>
          <w:headerReference r:id="rId5" w:type="default"/>
          <w:footerReference r:id="rId6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2"/>
        </w:rPr>
      </w:pPr>
      <w:bookmarkStart w:id="28" w:name="_Toc420663553"/>
      <w:r>
        <w:rPr>
          <w:rFonts w:hint="eastAsia"/>
          <w:kern w:val="2"/>
        </w:rPr>
        <w:t>结论</w:t>
      </w:r>
      <w:bookmarkEnd w:id="28"/>
    </w:p>
    <w:p>
      <w:pPr>
        <w:pStyle w:val="3"/>
        <w:ind w:left="360" w:firstLine="0" w:firstLineChars="0"/>
        <w:rPr>
          <w:rFonts w:ascii="宋体" w:hAnsi="宋体"/>
        </w:rPr>
      </w:pPr>
      <w:r>
        <w:rPr>
          <w:rFonts w:ascii="宋体" w:hAnsi="宋体"/>
        </w:rPr>
        <w:t>建筑外窗可开启面积比例为33%，按照5.2.2中条款2的规定，得4分。</w:t>
      </w:r>
    </w:p>
    <w:p>
      <w:pPr>
        <w:pStyle w:val="3"/>
        <w:ind w:left="360" w:firstLine="0" w:firstLineChars="0"/>
        <w:rPr>
          <w:rFonts w:ascii="宋体" w:hAnsi="宋体"/>
        </w:rPr>
      </w:pPr>
    </w:p>
    <w:p>
      <w:pPr>
        <w:pStyle w:val="3"/>
        <w:ind w:firstLine="0" w:firstLineChars="0"/>
        <w:rPr>
          <w:rFonts w:ascii="宋体" w:hAnsi="宋体"/>
        </w:rPr>
      </w:pPr>
      <w:bookmarkStart w:id="29" w:name="门窗详图"/>
      <w:r>
        <w:rPr>
          <w:rFonts w:hint="eastAsia" w:ascii="宋体" w:hAnsi="宋体"/>
        </w:rPr>
        <w:t xml:space="preserve"> </w:t>
      </w:r>
      <w:bookmarkEnd w:id="29"/>
    </w:p>
    <w:p/>
    <w:p>
      <w:pPr>
        <w:pStyle w:val="2"/>
      </w:pPr>
      <w:r>
        <w:t>附录：门窗详图</w:t>
      </w:r>
    </w:p>
    <w:p>
      <w:r>
        <w:t>说明：红色线框表示窗洞，绿色线框表示开启扇。</w:t>
      </w:r>
    </w:p>
    <w:tbl>
      <w:tblPr>
        <w:tblStyle w:val="19"/>
        <w:tblW w:w="93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>
            <w:r>
              <w:t>C2025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>
            <w:r>
              <w:t>M0921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vAlign w:val="center"/>
          </w:tcPr>
          <w:p>
            <w:r>
              <w:t>5.00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vAlign w:val="center"/>
          </w:tcPr>
          <w:p>
            <w:r>
              <w:t>1.89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vAlign w:val="center"/>
          </w:tcPr>
          <w:p>
            <w:r>
              <w:t>1.67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vAlign w:val="center"/>
          </w:tcPr>
          <w:p>
            <w:r>
              <w:t>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>
            <w:r>
              <w:t>M1121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>
            <w:r>
              <w:t>M1221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vAlign w:val="center"/>
          </w:tcPr>
          <w:p>
            <w:r>
              <w:t>2.31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vAlign w:val="center"/>
          </w:tcPr>
          <w:p>
            <w:r>
              <w:t>0.77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vAlign w:val="center"/>
          </w:tcPr>
          <w:p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>
            <w:r>
              <w:t>M1521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>
            <w:r>
              <w:t>M2421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vAlign w:val="center"/>
          </w:tcPr>
          <w:p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vAlign w:val="center"/>
          </w:tcPr>
          <w:p>
            <w:r>
              <w:t>5.04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vAlign w:val="center"/>
          </w:tcPr>
          <w:p>
            <w:r>
              <w:t>1.05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sectPr>
      <w:headerReference r:id="rId7" w:type="default"/>
      <w:footerReference r:id="rId8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90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13958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653"/>
      <w:gridCol w:w="4654"/>
      <w:gridCol w:w="465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653" w:type="dxa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4654" w:type="dxa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4651" w:type="dxa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24"/>
      <w:gridCol w:w="3024"/>
      <w:gridCol w:w="302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4" w:type="dxa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4" w:type="dxa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2" w:type="dxa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97552"/>
    <w:rsid w:val="001915A3"/>
    <w:rsid w:val="00217F62"/>
    <w:rsid w:val="00A906D8"/>
    <w:rsid w:val="00AB5A74"/>
    <w:rsid w:val="00F071AE"/>
    <w:rsid w:val="72B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 w:val="21"/>
      <w:szCs w:val="24"/>
      <w:lang w:val="en-US"/>
    </w:rPr>
  </w:style>
  <w:style w:type="paragraph" w:styleId="14">
    <w:name w:val="Balloon Text"/>
    <w:basedOn w:val="1"/>
    <w:link w:val="25"/>
    <w:uiPriority w:val="0"/>
    <w:pPr>
      <w:spacing w:line="240" w:lineRule="auto"/>
    </w:pPr>
    <w:rPr>
      <w:szCs w:val="18"/>
    </w:rPr>
  </w:style>
  <w:style w:type="paragraph" w:styleId="15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 w:val="21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 w:val="21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4">
    <w:name w:val="TOC Heading"/>
    <w:basedOn w:val="2"/>
    <w:next w:val="1"/>
    <w:qFormat/>
    <w:uiPriority w:val="3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character" w:customStyle="1" w:styleId="25">
    <w:name w:val="批注框文本 Char"/>
    <w:link w:val="14"/>
    <w:uiPriority w:val="0"/>
    <w:rPr>
      <w:sz w:val="18"/>
      <w:szCs w:val="18"/>
      <w:lang w:val="en-GB"/>
    </w:rPr>
  </w:style>
  <w:style w:type="character" w:styleId="26">
    <w:name w:val="Placeholder Text"/>
    <w:semiHidden/>
    <w:uiPriority w:val="99"/>
    <w:rPr>
      <w:color w:val="808080"/>
    </w:rPr>
  </w:style>
  <w:style w:type="character" w:customStyle="1" w:styleId="27">
    <w:name w:val="页脚 Char"/>
    <w:link w:val="15"/>
    <w:uiPriority w:val="99"/>
    <w:rPr>
      <w:sz w:val="18"/>
      <w:szCs w:val="18"/>
      <w:lang w:val="en-GB"/>
    </w:rPr>
  </w:style>
  <w:style w:type="character" w:customStyle="1" w:styleId="28">
    <w:name w:val="页眉 Char"/>
    <w:link w:val="16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17.wmf"/><Relationship Id="rId32" Type="http://schemas.openxmlformats.org/officeDocument/2006/relationships/image" Target="media/image16.wmf"/><Relationship Id="rId31" Type="http://schemas.openxmlformats.org/officeDocument/2006/relationships/image" Target="media/image15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image" Target="media/image12.wmf"/><Relationship Id="rId27" Type="http://schemas.openxmlformats.org/officeDocument/2006/relationships/image" Target="media/image11.png"/><Relationship Id="rId26" Type="http://schemas.openxmlformats.org/officeDocument/2006/relationships/image" Target="media/image10.wmf"/><Relationship Id="rId25" Type="http://schemas.openxmlformats.org/officeDocument/2006/relationships/oleObject" Target="embeddings/oleObject8.bin"/><Relationship Id="rId24" Type="http://schemas.openxmlformats.org/officeDocument/2006/relationships/image" Target="media/image9.wmf"/><Relationship Id="rId23" Type="http://schemas.openxmlformats.org/officeDocument/2006/relationships/oleObject" Target="embeddings/oleObject7.bin"/><Relationship Id="rId22" Type="http://schemas.openxmlformats.org/officeDocument/2006/relationships/image" Target="media/image8.wmf"/><Relationship Id="rId21" Type="http://schemas.openxmlformats.org/officeDocument/2006/relationships/oleObject" Target="embeddings/oleObject6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44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6</Pages>
  <Words>1154</Words>
  <Characters>1370</Characters>
  <Lines>9</Lines>
  <Paragraphs>2</Paragraphs>
  <TotalTime>36</TotalTime>
  <ScaleCrop>false</ScaleCrop>
  <LinksUpToDate>false</LinksUpToDate>
  <CharactersWithSpaces>1419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2020-12-24T02:58:00Z</dcterms:created>
  <dc:creator>满兜莴苣</dc:creator>
  <cp:lastModifiedBy>满兜莴苣</cp:lastModifiedBy>
  <dcterms:modified xsi:type="dcterms:W3CDTF">2020-12-24T02:59:20Z</dcterms:modified>
  <dc:title>建筑可开启面积比例计算书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  <property fmtid="{D5CDD505-2E9C-101B-9397-08002B2CF9AE}" pid="4" name="KSOProductBuildVer">
    <vt:lpwstr>2052-11.3.0.8775</vt:lpwstr>
  </property>
</Properties>
</file>