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活动</w:t>
      </w:r>
      <w:r>
        <w:rPr>
          <w:rFonts w:ascii="黑体" w:hAnsi="宋体" w:eastAsia="黑体"/>
          <w:b/>
          <w:bCs/>
          <w:sz w:val="72"/>
          <w:szCs w:val="72"/>
        </w:rPr>
        <w:t>场地</w:t>
      </w: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遮阴率计算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5580" w:type="dxa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绿氧下，向阳习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0" w:name="地理位置"/>
            <w:r>
              <w:rPr>
                <w:rFonts w:hint="eastAsia" w:ascii="宋体" w:hAnsi="宋体"/>
                <w:szCs w:val="21"/>
              </w:rPr>
              <w:t>重庆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热环境TERA2020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ascii="宋体" w:hAnsi="宋体"/>
                <w:szCs w:val="18"/>
              </w:rPr>
              <w:t>20190808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T18452616535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_Toc27718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_Toc11344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_Toc11344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_Toc8662 </w:instrText>
      </w:r>
      <w:r>
        <w:fldChar w:fldCharType="separate"/>
      </w:r>
      <w:r>
        <w:rPr>
          <w:rFonts w:hint="eastAsia"/>
        </w:rPr>
        <w:t>3 指标要求</w:t>
      </w:r>
      <w:r>
        <w:tab/>
      </w:r>
      <w:r>
        <w:fldChar w:fldCharType="begin"/>
      </w:r>
      <w:r>
        <w:instrText xml:space="preserve"> PAGEREF _Toc8662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_Toc7688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_Toc7688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_Toc23057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遮阴概述</w:t>
      </w:r>
      <w:r>
        <w:tab/>
      </w:r>
      <w:r>
        <w:fldChar w:fldCharType="begin"/>
      </w:r>
      <w:r>
        <w:instrText xml:space="preserve"> PAGEREF _Toc23057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_Toc32580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_Toc32580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_Toc566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_Toc566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_Toc26227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_Toc26227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_Toc25713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_Toc25713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_Toc21639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_Toc21639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_Toc18306 </w:instrText>
      </w:r>
      <w:r>
        <w:fldChar w:fldCharType="separate"/>
      </w:r>
      <w:r>
        <w:rPr>
          <w:rFonts w:hint="eastAsia"/>
        </w:rPr>
        <w:t>6 活动场地遮阴图</w:t>
      </w:r>
      <w:r>
        <w:tab/>
      </w:r>
      <w:r>
        <w:fldChar w:fldCharType="begin"/>
      </w:r>
      <w:r>
        <w:instrText xml:space="preserve"> PAGEREF _Toc18306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_Toc24719 </w:instrText>
      </w:r>
      <w:r>
        <w:fldChar w:fldCharType="separate"/>
      </w:r>
      <w:r>
        <w:rPr>
          <w:rFonts w:hint="eastAsia"/>
        </w:rPr>
        <w:t>7 评价结论</w:t>
      </w:r>
      <w:r>
        <w:tab/>
      </w:r>
      <w:r>
        <w:fldChar w:fldCharType="begin"/>
      </w:r>
      <w:r>
        <w:instrText xml:space="preserve"> PAGEREF _Toc24719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0" w:name="_Toc401318136"/>
      <w:bookmarkStart w:id="11" w:name="_Toc27718"/>
      <w:r>
        <w:rPr>
          <w:rFonts w:hint="eastAsia"/>
        </w:rPr>
        <w:t>住区概况</w:t>
      </w:r>
      <w:bookmarkEnd w:id="10"/>
      <w:bookmarkEnd w:id="11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XXX住宅小区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rPr>
                <w:rFonts w:hint="eastAsia" w:ascii="宋体" w:hAnsi="宋体"/>
                <w:lang w:val="en-US"/>
              </w:rP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类型"/>
            <w:r>
              <w:t>公共建筑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ascii="宋体" w:hAnsi="宋体"/>
                <w:lang w:val="en-US"/>
              </w:rPr>
              <w:t>29.58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ascii="宋体" w:hAnsi="宋体"/>
                <w:lang w:val="en-US"/>
              </w:rPr>
              <w:t>106.55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2"/>
      </w:pPr>
      <w:bookmarkStart w:id="17" w:name="_Toc11344"/>
      <w:bookmarkStart w:id="18" w:name="TitleFormat"/>
      <w:r>
        <w:rPr>
          <w:rFonts w:hint="eastAsia"/>
        </w:rPr>
        <w:t>标准</w:t>
      </w:r>
      <w:bookmarkStart w:id="19" w:name="_Toc401318137"/>
      <w:r>
        <w:rPr>
          <w:rFonts w:hint="eastAsia"/>
        </w:rPr>
        <w:t>依据</w:t>
      </w:r>
      <w:bookmarkEnd w:id="17"/>
      <w:bookmarkEnd w:id="19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1.《绿色建筑评价标准》（JG/T50378-2019）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2.《建筑日照计算参数标准》（JG/T50947-2014）</w:t>
      </w:r>
    </w:p>
    <w:p>
      <w:pPr>
        <w:pStyle w:val="2"/>
      </w:pPr>
      <w:bookmarkStart w:id="20" w:name="_Toc8662"/>
      <w:r>
        <w:rPr>
          <w:rFonts w:hint="eastAsia"/>
        </w:rPr>
        <w:t>指标要求</w:t>
      </w:r>
      <w:bookmarkEnd w:id="20"/>
    </w:p>
    <w:p>
      <w:pPr>
        <w:pStyle w:val="4"/>
      </w:pPr>
      <w:bookmarkStart w:id="21" w:name="_Toc7688"/>
      <w:r>
        <w:rPr>
          <w:rFonts w:hint="eastAsia"/>
        </w:rPr>
        <w:t>规范要求</w:t>
      </w:r>
      <w:bookmarkEnd w:id="2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《绿色建筑评价标准》（JG/T50378-2019）中有关活动场地遮阴率的具体要求如下：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8.2.9 采取措施降低热岛强度，评价总分值为4分，并按下列规则分别评分并累计：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1、场</w:t>
      </w:r>
      <w:r>
        <w:rPr>
          <w:lang w:val="en-US"/>
        </w:rPr>
        <w:t>地中</w:t>
      </w:r>
      <w:r>
        <w:rPr>
          <w:rFonts w:hint="eastAsia"/>
          <w:lang w:val="en-US"/>
        </w:rPr>
        <w:t>处</w:t>
      </w:r>
      <w:r>
        <w:rPr>
          <w:lang w:val="en-US"/>
        </w:rPr>
        <w:t>于建筑阴影区外的步道、游憩</w:t>
      </w:r>
      <w:r>
        <w:rPr>
          <w:rFonts w:hint="eastAsia"/>
          <w:lang w:val="en-US"/>
        </w:rPr>
        <w:t>场</w:t>
      </w:r>
      <w:r>
        <w:rPr>
          <w:lang w:val="en-US"/>
        </w:rPr>
        <w:t>、庭院、广</w:t>
      </w:r>
      <w:r>
        <w:rPr>
          <w:rFonts w:hint="eastAsia"/>
          <w:lang w:val="en-US"/>
        </w:rPr>
        <w:t>场等室外活动场</w:t>
      </w:r>
      <w:r>
        <w:rPr>
          <w:lang w:val="en-US"/>
        </w:rPr>
        <w:t>地</w:t>
      </w:r>
      <w:r>
        <w:rPr>
          <w:rFonts w:hint="eastAsia"/>
          <w:lang w:val="en-US"/>
        </w:rPr>
        <w:t>设</w:t>
      </w:r>
      <w:r>
        <w:rPr>
          <w:lang w:val="en-US"/>
        </w:rPr>
        <w:t>有</w:t>
      </w:r>
      <w:r>
        <w:rPr>
          <w:rFonts w:hint="eastAsia"/>
          <w:lang w:val="en-US"/>
        </w:rPr>
        <w:t>乔</w:t>
      </w:r>
      <w:r>
        <w:rPr>
          <w:lang w:val="en-US"/>
        </w:rPr>
        <w:t>木、花架等遮阴措施的面</w:t>
      </w:r>
      <w:r>
        <w:rPr>
          <w:rFonts w:hint="eastAsia"/>
          <w:lang w:val="en-US"/>
        </w:rPr>
        <w:t>积</w:t>
      </w:r>
      <w:r>
        <w:rPr>
          <w:lang w:val="en-US"/>
        </w:rPr>
        <w:t>比例，住宅建</w:t>
      </w:r>
      <w:r>
        <w:rPr>
          <w:rFonts w:hint="eastAsia"/>
          <w:lang w:val="en-US"/>
        </w:rPr>
        <w:t>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分；。</w:t>
      </w:r>
    </w:p>
    <w:p>
      <w:pPr>
        <w:pStyle w:val="4"/>
        <w:numPr>
          <w:ilvl w:val="1"/>
          <w:numId w:val="2"/>
        </w:numPr>
      </w:pPr>
      <w:bookmarkStart w:id="22" w:name="_Toc23057"/>
      <w:r>
        <w:rPr>
          <w:rFonts w:hint="eastAsia"/>
        </w:rPr>
        <w:t>遮阴概述</w:t>
      </w:r>
      <w:bookmarkEnd w:id="2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遮阴面积即户外活动场地中设有乔木、爬藤花架等遮阴设施所占面积所占的比例。户外活动场地包括：道路、庭院、广场、游憩场。而遮阴率计算中需要排除建筑阴影区。</w:t>
      </w:r>
    </w:p>
    <w:p>
      <w:pPr>
        <w:pStyle w:val="4"/>
        <w:numPr>
          <w:ilvl w:val="1"/>
          <w:numId w:val="2"/>
        </w:numPr>
      </w:pPr>
      <w:bookmarkStart w:id="23" w:name="_Toc32580"/>
      <w:r>
        <w:rPr>
          <w:rFonts w:hint="eastAsia"/>
        </w:rPr>
        <w:t>计算方法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3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3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bookmarkEnd w:id="18"/>
    <w:p>
      <w:pPr>
        <w:pStyle w:val="2"/>
      </w:pPr>
      <w:bookmarkStart w:id="24" w:name="_Toc401318141"/>
      <w:bookmarkStart w:id="25" w:name="_Toc566"/>
      <w:r>
        <w:rPr>
          <w:rFonts w:hint="eastAsia"/>
        </w:rPr>
        <w:t>指标概览</w:t>
      </w:r>
      <w:bookmarkEnd w:id="24"/>
      <w:bookmarkEnd w:id="25"/>
    </w:p>
    <w:p>
      <w:pPr>
        <w:pStyle w:val="4"/>
      </w:pPr>
      <w:bookmarkStart w:id="26" w:name="_Toc26227"/>
      <w:r>
        <w:rPr>
          <w:rFonts w:hint="eastAsia"/>
        </w:rPr>
        <w:t>建筑列表</w:t>
      </w:r>
      <w:bookmarkEnd w:id="26"/>
    </w:p>
    <w:tbl>
      <w:tblPr>
        <w:tblStyle w:val="18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建筑高度(m)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shd w:val="clear" w:color="auto" w:fill="E6E6E6"/>
            <w:vAlign w:val="center"/>
          </w:tcPr>
          <w:p/>
        </w:tc>
        <w:tc>
          <w:tcPr>
            <w:tcW w:w="3107" w:type="dxa"/>
            <w:vAlign w:val="center"/>
          </w:tcPr>
          <w:p>
            <w:r>
              <w:t>2975.3</w:t>
            </w:r>
          </w:p>
        </w:tc>
        <w:tc>
          <w:tcPr>
            <w:tcW w:w="3107" w:type="dxa"/>
            <w:vAlign w:val="center"/>
          </w:tcPr>
          <w:p>
            <w:r>
              <w:t>16.8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7" w:name="建筑列表"/>
      <w:bookmarkEnd w:id="27"/>
    </w:p>
    <w:p>
      <w:pPr>
        <w:pStyle w:val="4"/>
      </w:pPr>
      <w:bookmarkStart w:id="28" w:name="_Toc25713"/>
      <w:r>
        <w:rPr>
          <w:rFonts w:hint="eastAsia"/>
        </w:rPr>
        <w:t>各类面积指标</w:t>
      </w:r>
      <w:bookmarkEnd w:id="28"/>
    </w:p>
    <w:tbl>
      <w:tblPr>
        <w:tblStyle w:val="18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地块(红线)面积(㎡)</w:t>
            </w:r>
          </w:p>
        </w:tc>
        <w:tc>
          <w:tcPr>
            <w:tcW w:w="4239" w:type="dxa"/>
            <w:vAlign w:val="center"/>
          </w:tcPr>
          <w:p>
            <w:r>
              <w:t>22517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239" w:type="dxa"/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239" w:type="dxa"/>
            <w:vAlign w:val="center"/>
          </w:tcPr>
          <w:p>
            <w:r>
              <w:t>20052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活动场地总面积(㎡)</w:t>
            </w:r>
          </w:p>
        </w:tc>
        <w:tc>
          <w:tcPr>
            <w:tcW w:w="4239" w:type="dxa"/>
            <w:vAlign w:val="center"/>
          </w:tcPr>
          <w:p>
            <w:r>
              <w:t>1674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乔木总投影面积(㎡)</w:t>
            </w:r>
          </w:p>
        </w:tc>
        <w:tc>
          <w:tcPr>
            <w:tcW w:w="4239" w:type="dxa"/>
            <w:vAlign w:val="center"/>
          </w:tcPr>
          <w:p>
            <w:r>
              <w:t>1743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爬藤总投影面积(㎡)</w:t>
            </w:r>
          </w:p>
        </w:tc>
        <w:tc>
          <w:tcPr>
            <w:tcW w:w="4239" w:type="dxa"/>
            <w:vAlign w:val="center"/>
          </w:tcPr>
          <w:p>
            <w:r>
              <w:t>1659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亭廊总投影面积(㎡)</w:t>
            </w:r>
          </w:p>
        </w:tc>
        <w:tc>
          <w:tcPr>
            <w:tcW w:w="4239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9" w:name="面积指标"/>
      <w:bookmarkEnd w:id="29"/>
    </w:p>
    <w:p>
      <w:pPr>
        <w:pStyle w:val="2"/>
      </w:pPr>
      <w:bookmarkStart w:id="30" w:name="_Toc21639"/>
      <w:r>
        <w:rPr>
          <w:rFonts w:hint="eastAsia"/>
        </w:rPr>
        <w:t>计算结果</w:t>
      </w:r>
      <w:bookmarkEnd w:id="30"/>
    </w:p>
    <w:tbl>
      <w:tblPr>
        <w:tblStyle w:val="18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总遮阴面积(㎡)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场地面积</w:t>
            </w:r>
            <w:r>
              <w:br w:type="textWrapping"/>
            </w:r>
            <w:r>
              <w:t>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shd w:val="clear" w:color="auto" w:fill="E6E6E6"/>
            <w:vAlign w:val="center"/>
          </w:tcPr>
          <w:p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r>
              <w:t>亭廊面积</w:t>
            </w:r>
          </w:p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165" w:type="dxa"/>
            <w:vAlign w:val="center"/>
          </w:tcPr>
          <w:p>
            <w:r>
              <w:t>123.7</w:t>
            </w:r>
          </w:p>
        </w:tc>
        <w:tc>
          <w:tcPr>
            <w:tcW w:w="1165" w:type="dxa"/>
            <w:vAlign w:val="center"/>
          </w:tcPr>
          <w:p>
            <w:r>
              <w:t>0.0</w:t>
            </w:r>
          </w:p>
        </w:tc>
        <w:tc>
          <w:tcPr>
            <w:tcW w:w="1165" w:type="dxa"/>
            <w:vAlign w:val="center"/>
          </w:tcPr>
          <w:p>
            <w:r>
              <w:t>0.0</w:t>
            </w:r>
          </w:p>
        </w:tc>
        <w:tc>
          <w:tcPr>
            <w:tcW w:w="1165" w:type="dxa"/>
            <w:vAlign w:val="center"/>
          </w:tcPr>
          <w:p>
            <w:r>
              <w:t>4.7</w:t>
            </w:r>
          </w:p>
        </w:tc>
        <w:tc>
          <w:tcPr>
            <w:tcW w:w="1165" w:type="dxa"/>
            <w:vAlign w:val="center"/>
          </w:tcPr>
          <w:p>
            <w:r>
              <w:t>72.8</w:t>
            </w:r>
          </w:p>
        </w:tc>
        <w:tc>
          <w:tcPr>
            <w:tcW w:w="1165" w:type="dxa"/>
            <w:vAlign w:val="center"/>
          </w:tcPr>
          <w:p>
            <w:r>
              <w:t>1673.5</w:t>
            </w:r>
          </w:p>
        </w:tc>
        <w:tc>
          <w:tcPr>
            <w:tcW w:w="1165" w:type="dxa"/>
            <w:vAlign w:val="center"/>
          </w:tcPr>
          <w:p>
            <w:r>
              <w:t>4.3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1" w:name="计算结果"/>
      <w:bookmarkEnd w:id="31"/>
    </w:p>
    <w:p>
      <w:pPr>
        <w:pStyle w:val="2"/>
      </w:pPr>
      <w:bookmarkStart w:id="32" w:name="_Toc18306"/>
      <w:r>
        <w:rPr>
          <w:rFonts w:hint="eastAsia"/>
        </w:rPr>
        <w:t>活动场地遮阴图</w:t>
      </w:r>
      <w:bookmarkEnd w:id="32"/>
    </w:p>
    <w:p>
      <w:pPr>
        <w:pStyle w:val="3"/>
        <w:ind w:firstLine="0" w:firstLineChars="0"/>
        <w:jc w:val="center"/>
        <w:rPr>
          <w:lang w:val="en-US"/>
        </w:rPr>
      </w:pPr>
      <w:bookmarkStart w:id="33" w:name="阴影平面图"/>
      <w:bookmarkEnd w:id="33"/>
      <w:r>
        <w:drawing>
          <wp:inline distT="0" distB="0" distL="0" distR="0">
            <wp:extent cx="5667375" cy="38671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4" w:name="_Toc24719"/>
      <w:r>
        <w:rPr>
          <w:rFonts w:hint="eastAsia"/>
        </w:rPr>
        <w:t>评价结论</w:t>
      </w:r>
      <w:bookmarkEnd w:id="34"/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kern w:val="2"/>
          <w:szCs w:val="21"/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的8.2.9条款进行以上评价计算，得出本项目活动场地遮阴率的评分项得分，如下：</w:t>
      </w:r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263"/>
        <w:gridCol w:w="2263"/>
        <w:gridCol w:w="2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总遮阴面积(㎡)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1673.5</w:t>
            </w:r>
          </w:p>
        </w:tc>
        <w:tc>
          <w:tcPr>
            <w:tcW w:w="2263" w:type="dxa"/>
            <w:vAlign w:val="center"/>
          </w:tcPr>
          <w:p>
            <w:r>
              <w:t>72.8</w:t>
            </w:r>
          </w:p>
        </w:tc>
        <w:tc>
          <w:tcPr>
            <w:tcW w:w="2263" w:type="dxa"/>
            <w:vAlign w:val="center"/>
          </w:tcPr>
          <w:p>
            <w:r>
              <w:t>4.3</w:t>
            </w:r>
          </w:p>
        </w:tc>
        <w:tc>
          <w:tcPr>
            <w:tcW w:w="2263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5" w:name="评价结论"/>
      <w:bookmarkEnd w:id="35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F74250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139A6"/>
    <w:rsid w:val="00116794"/>
    <w:rsid w:val="001201BC"/>
    <w:rsid w:val="00122AE1"/>
    <w:rsid w:val="00135FAF"/>
    <w:rsid w:val="00140DC7"/>
    <w:rsid w:val="0014776A"/>
    <w:rsid w:val="00165699"/>
    <w:rsid w:val="001828F2"/>
    <w:rsid w:val="001872C8"/>
    <w:rsid w:val="00195194"/>
    <w:rsid w:val="0019649A"/>
    <w:rsid w:val="001B3169"/>
    <w:rsid w:val="001B7C87"/>
    <w:rsid w:val="001D6C1E"/>
    <w:rsid w:val="001D6CC2"/>
    <w:rsid w:val="00203A7D"/>
    <w:rsid w:val="002209B4"/>
    <w:rsid w:val="00234F4A"/>
    <w:rsid w:val="0023730B"/>
    <w:rsid w:val="002555B8"/>
    <w:rsid w:val="00260F2E"/>
    <w:rsid w:val="002718EA"/>
    <w:rsid w:val="00272BDC"/>
    <w:rsid w:val="002773E0"/>
    <w:rsid w:val="00285189"/>
    <w:rsid w:val="002B2BB0"/>
    <w:rsid w:val="002B4464"/>
    <w:rsid w:val="002E5DA1"/>
    <w:rsid w:val="002F0C69"/>
    <w:rsid w:val="002F1F5C"/>
    <w:rsid w:val="0030437C"/>
    <w:rsid w:val="00310258"/>
    <w:rsid w:val="003121F7"/>
    <w:rsid w:val="00314D29"/>
    <w:rsid w:val="003320D8"/>
    <w:rsid w:val="00346AFD"/>
    <w:rsid w:val="003746AC"/>
    <w:rsid w:val="00384F21"/>
    <w:rsid w:val="003B0012"/>
    <w:rsid w:val="003C6997"/>
    <w:rsid w:val="003C75A9"/>
    <w:rsid w:val="003E4437"/>
    <w:rsid w:val="00417088"/>
    <w:rsid w:val="00463861"/>
    <w:rsid w:val="004654ED"/>
    <w:rsid w:val="00480784"/>
    <w:rsid w:val="00490A6C"/>
    <w:rsid w:val="00495F4C"/>
    <w:rsid w:val="004A29D4"/>
    <w:rsid w:val="004A420D"/>
    <w:rsid w:val="004C4D23"/>
    <w:rsid w:val="004C69C1"/>
    <w:rsid w:val="004C79DA"/>
    <w:rsid w:val="004D230F"/>
    <w:rsid w:val="004D449D"/>
    <w:rsid w:val="004E2129"/>
    <w:rsid w:val="004F0369"/>
    <w:rsid w:val="004F534A"/>
    <w:rsid w:val="004F694D"/>
    <w:rsid w:val="0050003A"/>
    <w:rsid w:val="00503750"/>
    <w:rsid w:val="005207E3"/>
    <w:rsid w:val="005215FB"/>
    <w:rsid w:val="00545FB7"/>
    <w:rsid w:val="00561C8F"/>
    <w:rsid w:val="00571613"/>
    <w:rsid w:val="005755BA"/>
    <w:rsid w:val="0057692D"/>
    <w:rsid w:val="005812C2"/>
    <w:rsid w:val="005C1055"/>
    <w:rsid w:val="005C7162"/>
    <w:rsid w:val="005F02C4"/>
    <w:rsid w:val="00613298"/>
    <w:rsid w:val="006240DC"/>
    <w:rsid w:val="00651069"/>
    <w:rsid w:val="0067336D"/>
    <w:rsid w:val="00681C3C"/>
    <w:rsid w:val="00685427"/>
    <w:rsid w:val="00694FCA"/>
    <w:rsid w:val="006A159C"/>
    <w:rsid w:val="006A38D1"/>
    <w:rsid w:val="006B02AD"/>
    <w:rsid w:val="006B5695"/>
    <w:rsid w:val="006C3941"/>
    <w:rsid w:val="0072017E"/>
    <w:rsid w:val="0072214C"/>
    <w:rsid w:val="007514FE"/>
    <w:rsid w:val="0075154B"/>
    <w:rsid w:val="00774599"/>
    <w:rsid w:val="007D1A35"/>
    <w:rsid w:val="0083032F"/>
    <w:rsid w:val="008329E7"/>
    <w:rsid w:val="00841FB9"/>
    <w:rsid w:val="00872A29"/>
    <w:rsid w:val="00876CF9"/>
    <w:rsid w:val="00883D6C"/>
    <w:rsid w:val="008842C4"/>
    <w:rsid w:val="00886207"/>
    <w:rsid w:val="00897FCE"/>
    <w:rsid w:val="008A0121"/>
    <w:rsid w:val="008B6B76"/>
    <w:rsid w:val="008E3905"/>
    <w:rsid w:val="008E783F"/>
    <w:rsid w:val="008F4A97"/>
    <w:rsid w:val="009115AF"/>
    <w:rsid w:val="00917B5B"/>
    <w:rsid w:val="0092088B"/>
    <w:rsid w:val="0092562F"/>
    <w:rsid w:val="00935D40"/>
    <w:rsid w:val="00940A35"/>
    <w:rsid w:val="009410A0"/>
    <w:rsid w:val="00961512"/>
    <w:rsid w:val="009729E6"/>
    <w:rsid w:val="009744B2"/>
    <w:rsid w:val="009B5732"/>
    <w:rsid w:val="009C3CAA"/>
    <w:rsid w:val="009C61AC"/>
    <w:rsid w:val="009D580B"/>
    <w:rsid w:val="009D7B62"/>
    <w:rsid w:val="009E4629"/>
    <w:rsid w:val="009E5E29"/>
    <w:rsid w:val="009F034E"/>
    <w:rsid w:val="009F2FC7"/>
    <w:rsid w:val="009F3F68"/>
    <w:rsid w:val="00A0719E"/>
    <w:rsid w:val="00A305A7"/>
    <w:rsid w:val="00A32590"/>
    <w:rsid w:val="00A355BD"/>
    <w:rsid w:val="00A402EA"/>
    <w:rsid w:val="00A44BA7"/>
    <w:rsid w:val="00A53163"/>
    <w:rsid w:val="00A83D4E"/>
    <w:rsid w:val="00A92ECE"/>
    <w:rsid w:val="00AA3AAC"/>
    <w:rsid w:val="00AA47FE"/>
    <w:rsid w:val="00AA7C65"/>
    <w:rsid w:val="00AB536D"/>
    <w:rsid w:val="00AC7EEF"/>
    <w:rsid w:val="00B047B3"/>
    <w:rsid w:val="00B107D2"/>
    <w:rsid w:val="00B16C0D"/>
    <w:rsid w:val="00B41640"/>
    <w:rsid w:val="00B4240C"/>
    <w:rsid w:val="00B55B22"/>
    <w:rsid w:val="00B56CC6"/>
    <w:rsid w:val="00B60841"/>
    <w:rsid w:val="00B645C9"/>
    <w:rsid w:val="00B712B6"/>
    <w:rsid w:val="00B72DD7"/>
    <w:rsid w:val="00B7457E"/>
    <w:rsid w:val="00B90672"/>
    <w:rsid w:val="00BB1C06"/>
    <w:rsid w:val="00BD4A14"/>
    <w:rsid w:val="00BE4349"/>
    <w:rsid w:val="00C0203A"/>
    <w:rsid w:val="00C22E6B"/>
    <w:rsid w:val="00C3317F"/>
    <w:rsid w:val="00C63237"/>
    <w:rsid w:val="00C6343A"/>
    <w:rsid w:val="00C67778"/>
    <w:rsid w:val="00C95557"/>
    <w:rsid w:val="00C97E25"/>
    <w:rsid w:val="00CA1AA5"/>
    <w:rsid w:val="00CA311D"/>
    <w:rsid w:val="00CB5853"/>
    <w:rsid w:val="00CC3C3C"/>
    <w:rsid w:val="00CC50E4"/>
    <w:rsid w:val="00CE28AA"/>
    <w:rsid w:val="00CE3E52"/>
    <w:rsid w:val="00CE5831"/>
    <w:rsid w:val="00CF7E5C"/>
    <w:rsid w:val="00D03910"/>
    <w:rsid w:val="00D32BD4"/>
    <w:rsid w:val="00D40158"/>
    <w:rsid w:val="00D43C46"/>
    <w:rsid w:val="00D478B3"/>
    <w:rsid w:val="00D6136B"/>
    <w:rsid w:val="00D62A9A"/>
    <w:rsid w:val="00D87EEA"/>
    <w:rsid w:val="00D96AE9"/>
    <w:rsid w:val="00DC73AD"/>
    <w:rsid w:val="00DD16C4"/>
    <w:rsid w:val="00DD42A2"/>
    <w:rsid w:val="00DE72DA"/>
    <w:rsid w:val="00DF470C"/>
    <w:rsid w:val="00E16221"/>
    <w:rsid w:val="00E33128"/>
    <w:rsid w:val="00E423BB"/>
    <w:rsid w:val="00E4518A"/>
    <w:rsid w:val="00E6555B"/>
    <w:rsid w:val="00E72EFD"/>
    <w:rsid w:val="00E75AC2"/>
    <w:rsid w:val="00E77F21"/>
    <w:rsid w:val="00E81ACD"/>
    <w:rsid w:val="00EA0210"/>
    <w:rsid w:val="00EA741A"/>
    <w:rsid w:val="00EC27FD"/>
    <w:rsid w:val="00EC70F3"/>
    <w:rsid w:val="00ED3418"/>
    <w:rsid w:val="00EE005A"/>
    <w:rsid w:val="00EE0421"/>
    <w:rsid w:val="00EF0674"/>
    <w:rsid w:val="00EF5872"/>
    <w:rsid w:val="00EF5DD5"/>
    <w:rsid w:val="00F03100"/>
    <w:rsid w:val="00F10D55"/>
    <w:rsid w:val="00F16AE6"/>
    <w:rsid w:val="00F312DB"/>
    <w:rsid w:val="00F37D5E"/>
    <w:rsid w:val="00F4565A"/>
    <w:rsid w:val="00F75DD1"/>
    <w:rsid w:val="00F90890"/>
    <w:rsid w:val="00FA4B87"/>
    <w:rsid w:val="00FA64CC"/>
    <w:rsid w:val="00FA733F"/>
    <w:rsid w:val="00FC0388"/>
    <w:rsid w:val="00FF2243"/>
    <w:rsid w:val="01807F01"/>
    <w:rsid w:val="01F74250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99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44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5</Pages>
  <Words>956</Words>
  <Characters>1154</Characters>
  <Lines>13</Lines>
  <Paragraphs>3</Paragraphs>
  <TotalTime>1</TotalTime>
  <ScaleCrop>false</ScaleCrop>
  <LinksUpToDate>false</LinksUpToDate>
  <CharactersWithSpaces>1204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2020-12-26T09:09:00Z</dcterms:created>
  <dc:creator>满兜莴苣</dc:creator>
  <cp:lastModifiedBy>满兜莴苣</cp:lastModifiedBy>
  <dcterms:modified xsi:type="dcterms:W3CDTF">2020-12-26T09:10:59Z</dcterms:modified>
  <dc:title>活动场地遮阴率计算书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