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924" w:rsidRDefault="007F24AB">
      <w:pPr>
        <w:pStyle w:val="4"/>
        <w:rPr>
          <w:rFonts w:eastAsiaTheme="minorEastAsia"/>
          <w:sz w:val="24"/>
          <w:szCs w:val="40"/>
        </w:rPr>
      </w:pPr>
      <w:r>
        <w:rPr>
          <w:rFonts w:eastAsiaTheme="minorEastAsia"/>
          <w:sz w:val="24"/>
          <w:szCs w:val="40"/>
        </w:rPr>
        <w:t>4.1.4</w:t>
      </w:r>
      <w:r>
        <w:rPr>
          <w:rFonts w:eastAsiaTheme="minorEastAsia" w:hint="eastAsia"/>
          <w:sz w:val="24"/>
          <w:szCs w:val="40"/>
        </w:rPr>
        <w:t xml:space="preserve"> </w:t>
      </w:r>
      <w:r>
        <w:rPr>
          <w:rFonts w:eastAsiaTheme="minorEastAsia"/>
          <w:sz w:val="24"/>
          <w:szCs w:val="40"/>
        </w:rPr>
        <w:t>建筑内部的非结构件、设备及附属设施等应连接牢固并能适应主体结构变形。</w:t>
      </w:r>
    </w:p>
    <w:p w:rsidR="00FD4924" w:rsidRDefault="007F24A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1 </w:t>
      </w:r>
      <w:r>
        <w:rPr>
          <w:rFonts w:ascii="Times New Roman" w:eastAsia="宋体" w:hAnsi="Times New Roman" w:cs="Times New Roman"/>
          <w:b/>
          <w:szCs w:val="21"/>
        </w:rPr>
        <w:t>达标自评</w:t>
      </w:r>
    </w:p>
    <w:p w:rsidR="00FD4924" w:rsidRDefault="007F24AB">
      <w:pPr>
        <w:rPr>
          <w:rFonts w:ascii="Times New Roman" w:hAnsi="Times New Roman" w:cs="Times New Roman"/>
          <w:szCs w:val="21"/>
        </w:rPr>
      </w:pPr>
      <w:sdt>
        <w:sdtPr>
          <w:rPr>
            <w:rFonts w:hint="eastAsia"/>
            <w:sz w:val="28"/>
          </w:rPr>
          <w:id w:val="346985915"/>
          <w14:checkbox>
            <w14:checked w14:val="1"/>
            <w14:checkedState w14:val="0052" w14:font="Wingdings 2"/>
            <w14:uncheckedState w14:val="00A3" w14:font="Wingdings 2"/>
          </w14:checkbox>
        </w:sdt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735005796"/>
          <w14:checkbox>
            <w14:checked w14:val="0"/>
            <w14:checkedState w14:val="0052" w14:font="Wingdings 2"/>
            <w14:uncheckedState w14:val="00A3" w14:font="Wingdings 2"/>
          </w14:checkbox>
        </w:sdtPr>
        <w:sdtEndPr/>
        <w:sdtContent>
          <w:r>
            <w:rPr>
              <w:rFonts w:hint="eastAsia"/>
              <w:sz w:val="28"/>
            </w:rPr>
            <w:sym w:font="Wingdings 2" w:char="F0A3"/>
          </w:r>
        </w:sdtContent>
      </w:sdt>
      <w:r>
        <w:rPr>
          <w:rFonts w:ascii="Times New Roman" w:hAnsi="Times New Roman" w:cs="Times New Roman"/>
          <w:szCs w:val="21"/>
        </w:rPr>
        <w:t>不达标</w:t>
      </w:r>
    </w:p>
    <w:p w:rsidR="00FD4924" w:rsidRDefault="007F24A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2 </w:t>
      </w:r>
      <w:r>
        <w:rPr>
          <w:rFonts w:ascii="Times New Roman" w:eastAsia="宋体" w:hAnsi="Times New Roman" w:cs="Times New Roman"/>
          <w:b/>
          <w:szCs w:val="21"/>
        </w:rPr>
        <w:t>评价要点</w:t>
      </w:r>
    </w:p>
    <w:p w:rsidR="00FD4924" w:rsidRDefault="007F24AB">
      <w:pPr>
        <w:rPr>
          <w:rFonts w:ascii="Times New Roman" w:eastAsia="宋体" w:hAnsi="Times New Roman" w:cs="Times New Roman"/>
          <w:szCs w:val="21"/>
        </w:rPr>
      </w:pPr>
      <w:r>
        <w:rPr>
          <w:rFonts w:ascii="Times New Roman" w:eastAsia="宋体" w:hAnsi="Times New Roman" w:cs="Times New Roman"/>
          <w:szCs w:val="21"/>
        </w:rPr>
        <w:t>请对建筑内部的非结构件、设备及附属设施等的连接</w:t>
      </w:r>
      <w:r>
        <w:rPr>
          <w:rFonts w:ascii="Times New Roman" w:eastAsia="宋体" w:hAnsi="Times New Roman" w:cs="Times New Roman" w:hint="eastAsia"/>
          <w:szCs w:val="21"/>
        </w:rPr>
        <w:t>情况进行</w:t>
      </w:r>
      <w:r>
        <w:rPr>
          <w:rFonts w:ascii="Times New Roman" w:eastAsia="宋体" w:hAnsi="Times New Roman" w:cs="Times New Roman"/>
          <w:szCs w:val="21"/>
        </w:rPr>
        <w:t>简要说明</w:t>
      </w:r>
      <w:r>
        <w:rPr>
          <w:rFonts w:ascii="Times New Roman" w:eastAsia="宋体" w:hAnsi="Times New Roman" w:cs="Times New Roman" w:hint="eastAsia"/>
          <w:szCs w:val="21"/>
        </w:rPr>
        <w:t>。</w:t>
      </w:r>
    </w:p>
    <w:tbl>
      <w:tblPr>
        <w:tblStyle w:val="1"/>
        <w:tblW w:w="0" w:type="auto"/>
        <w:jc w:val="center"/>
        <w:tblLook w:val="04A0" w:firstRow="1" w:lastRow="0" w:firstColumn="1" w:lastColumn="0" w:noHBand="0" w:noVBand="1"/>
      </w:tblPr>
      <w:tblGrid>
        <w:gridCol w:w="8522"/>
      </w:tblGrid>
      <w:tr w:rsidR="00FD4924">
        <w:trPr>
          <w:trHeight w:val="2634"/>
          <w:jc w:val="center"/>
        </w:trPr>
        <w:tc>
          <w:tcPr>
            <w:tcW w:w="9356" w:type="dxa"/>
          </w:tcPr>
          <w:p w:rsidR="00FD4924" w:rsidRDefault="007F24AB">
            <w:pPr>
              <w:ind w:firstLineChars="200" w:firstLine="40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建筑内部非结构构件、设备及附属设施等应满足建筑使用安全，与主体结构之间的连接满足承载力验算及国家相关规范规定的构造要求。建筑内部非结构构件内填充墙高厚比满足稳定性计算要求；楼屋面下机电设备的吊杆满足吊挂设备的承载力要求；电梯井道为钢筋混凝土墙体与电梯预埋件主体结构连接可靠，满足安全使用要求。</w:t>
            </w:r>
          </w:p>
          <w:p w:rsidR="00FD4924" w:rsidRDefault="007F24AB">
            <w:pPr>
              <w:ind w:firstLineChars="200" w:firstLine="40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非结构构件适应主体结构的变形</w:t>
            </w:r>
            <w:r>
              <w:rPr>
                <w:rFonts w:ascii="Times New Roman" w:eastAsia="宋体" w:hAnsi="Times New Roman" w:cs="Times New Roman" w:hint="eastAsia"/>
                <w:kern w:val="0"/>
                <w:sz w:val="20"/>
                <w:szCs w:val="21"/>
              </w:rPr>
              <w:t>:</w:t>
            </w:r>
            <w:r>
              <w:rPr>
                <w:rFonts w:ascii="Times New Roman" w:eastAsia="宋体" w:hAnsi="Times New Roman" w:cs="Times New Roman" w:hint="eastAsia"/>
                <w:kern w:val="0"/>
                <w:sz w:val="20"/>
                <w:szCs w:val="21"/>
              </w:rPr>
              <w:t>对非结构构件的填充墙，墙高超过一定高度与长度即设腰梁及构造柱，与构柱之间设拉接筋；对非结构构件的装配式内墙条板，在楼面与梁（板）底连接处设金属限位连接卡，墙板之间设子母槽等；</w:t>
            </w:r>
          </w:p>
          <w:p w:rsidR="00FD4924" w:rsidRDefault="007F24AB">
            <w:pPr>
              <w:ind w:firstLineChars="200" w:firstLine="400"/>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建筑部品、非结构构件及附属设备等采用机械固定、焊接、预埋等牢固性构件连接方式与建</w:t>
            </w:r>
          </w:p>
          <w:p w:rsidR="00FD4924" w:rsidRDefault="007F24AB" w:rsidP="007F24AB">
            <w:pPr>
              <w:rPr>
                <w:rFonts w:ascii="Times New Roman" w:eastAsia="宋体" w:hAnsi="Times New Roman" w:cs="Times New Roman"/>
                <w:kern w:val="0"/>
                <w:sz w:val="20"/>
                <w:szCs w:val="21"/>
              </w:rPr>
            </w:pPr>
            <w:bookmarkStart w:id="0" w:name="_GoBack"/>
            <w:bookmarkEnd w:id="0"/>
            <w:r>
              <w:rPr>
                <w:rFonts w:ascii="Times New Roman" w:eastAsia="宋体" w:hAnsi="Times New Roman" w:cs="Times New Roman" w:hint="eastAsia"/>
                <w:kern w:val="0"/>
                <w:sz w:val="20"/>
                <w:szCs w:val="21"/>
              </w:rPr>
              <w:t>筑主体结构可靠连接</w:t>
            </w:r>
            <w:r>
              <w:rPr>
                <w:rFonts w:ascii="Times New Roman" w:eastAsia="宋体" w:hAnsi="Times New Roman" w:cs="Times New Roman" w:hint="eastAsia"/>
                <w:kern w:val="0"/>
                <w:sz w:val="20"/>
                <w:szCs w:val="21"/>
              </w:rPr>
              <w:t>。</w:t>
            </w:r>
          </w:p>
        </w:tc>
      </w:tr>
    </w:tbl>
    <w:p w:rsidR="00FD4924" w:rsidRDefault="007F24AB">
      <w:pPr>
        <w:spacing w:beforeLines="50" w:before="156" w:afterLines="50" w:after="156"/>
        <w:rPr>
          <w:rFonts w:ascii="Times New Roman" w:eastAsia="宋体" w:hAnsi="Times New Roman" w:cs="Times New Roman"/>
          <w:b/>
          <w:szCs w:val="21"/>
        </w:rPr>
      </w:pPr>
      <w:r>
        <w:rPr>
          <w:rFonts w:ascii="Times New Roman" w:eastAsia="宋体" w:hAnsi="Times New Roman" w:cs="Times New Roman"/>
          <w:b/>
          <w:szCs w:val="21"/>
        </w:rPr>
        <w:t xml:space="preserve">3 </w:t>
      </w:r>
      <w:r>
        <w:rPr>
          <w:rFonts w:ascii="Times New Roman" w:eastAsia="宋体" w:hAnsi="Times New Roman" w:cs="Times New Roman"/>
          <w:b/>
          <w:szCs w:val="21"/>
        </w:rPr>
        <w:t>证明材料</w:t>
      </w:r>
    </w:p>
    <w:p w:rsidR="00FD4924" w:rsidRDefault="007F24AB">
      <w:pPr>
        <w:rPr>
          <w:rFonts w:ascii="Times New Roman" w:eastAsia="宋体" w:hAnsi="Times New Roman" w:cs="Times New Roman"/>
          <w:szCs w:val="21"/>
        </w:rPr>
      </w:pPr>
      <w:r>
        <w:rPr>
          <w:rFonts w:ascii="Times New Roman" w:eastAsia="宋体" w:hAnsi="Times New Roman" w:cs="Times New Roman"/>
          <w:szCs w:val="21"/>
        </w:rPr>
        <w:t>提交材料及要求：</w:t>
      </w:r>
    </w:p>
    <w:p w:rsidR="00FD4924" w:rsidRDefault="007F24AB">
      <w:pPr>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hint="eastAsia"/>
          <w:szCs w:val="21"/>
        </w:rPr>
        <w:t>）</w:t>
      </w:r>
      <w:r>
        <w:rPr>
          <w:rFonts w:ascii="Times New Roman" w:eastAsia="宋体" w:hAnsi="Times New Roman" w:cs="Times New Roman"/>
          <w:szCs w:val="21"/>
        </w:rPr>
        <w:t>建筑、结构</w:t>
      </w:r>
      <w:r>
        <w:rPr>
          <w:rFonts w:ascii="Times New Roman" w:eastAsia="宋体" w:hAnsi="Times New Roman" w:cs="Times New Roman" w:hint="eastAsia"/>
          <w:szCs w:val="21"/>
        </w:rPr>
        <w:t>竣工</w:t>
      </w:r>
      <w:r>
        <w:rPr>
          <w:rFonts w:ascii="Times New Roman" w:eastAsia="宋体" w:hAnsi="Times New Roman" w:cs="Times New Roman"/>
          <w:szCs w:val="21"/>
        </w:rPr>
        <w:t>图</w:t>
      </w:r>
      <w:r>
        <w:rPr>
          <w:rFonts w:ascii="Times New Roman" w:eastAsia="宋体" w:hAnsi="Times New Roman" w:cs="Times New Roman" w:hint="eastAsia"/>
          <w:szCs w:val="21"/>
        </w:rPr>
        <w:t>和设计说明；</w:t>
      </w:r>
    </w:p>
    <w:p w:rsidR="00FD4924" w:rsidRDefault="007F24AB">
      <w:pPr>
        <w:rPr>
          <w:rFonts w:ascii="Times New Roman" w:eastAsia="宋体" w:hAnsi="Times New Roman" w:cs="Times New Roman"/>
          <w:szCs w:val="21"/>
        </w:rPr>
      </w:pPr>
      <w:r>
        <w:rPr>
          <w:rFonts w:ascii="Times New Roman" w:eastAsia="宋体" w:hAnsi="Times New Roman" w:cs="Times New Roman" w:hint="eastAsia"/>
          <w:szCs w:val="21"/>
        </w:rPr>
        <w:t>2</w:t>
      </w:r>
      <w:r>
        <w:rPr>
          <w:rFonts w:ascii="Times New Roman" w:eastAsia="宋体" w:hAnsi="Times New Roman" w:cs="Times New Roman" w:hint="eastAsia"/>
          <w:szCs w:val="21"/>
        </w:rPr>
        <w:t>）关键构件计算书；</w:t>
      </w:r>
    </w:p>
    <w:p w:rsidR="00FD4924" w:rsidRDefault="007F24AB">
      <w:pPr>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）相关检测报告；</w:t>
      </w:r>
    </w:p>
    <w:p w:rsidR="00FD4924" w:rsidRDefault="007F24AB">
      <w:pPr>
        <w:rPr>
          <w:rFonts w:ascii="Times New Roman" w:eastAsia="宋体" w:hAnsi="Times New Roman" w:cs="Times New Roman"/>
          <w:szCs w:val="21"/>
        </w:rPr>
      </w:pPr>
      <w:r>
        <w:rPr>
          <w:rFonts w:ascii="Times New Roman" w:eastAsia="宋体" w:hAnsi="Times New Roman" w:cs="Times New Roman" w:hint="eastAsia"/>
          <w:szCs w:val="21"/>
        </w:rPr>
        <w:t>4</w:t>
      </w:r>
      <w:r>
        <w:rPr>
          <w:rFonts w:ascii="Times New Roman" w:eastAsia="宋体" w:hAnsi="Times New Roman" w:cs="Times New Roman" w:hint="eastAsia"/>
          <w:szCs w:val="21"/>
        </w:rPr>
        <w:t>）建筑的维修与管理记录。</w:t>
      </w:r>
    </w:p>
    <w:p w:rsidR="00FD4924" w:rsidRDefault="00FD4924">
      <w:pPr>
        <w:rPr>
          <w:rFonts w:ascii="Times New Roman" w:eastAsia="宋体" w:hAnsi="Times New Roman" w:cs="Times New Roman"/>
          <w:szCs w:val="21"/>
        </w:rPr>
      </w:pPr>
    </w:p>
    <w:p w:rsidR="00FD4924" w:rsidRDefault="007F24AB">
      <w:pPr>
        <w:rPr>
          <w:rFonts w:ascii="Times New Roman" w:eastAsia="宋体" w:hAnsi="Times New Roman" w:cs="Times New Roman"/>
          <w:szCs w:val="21"/>
        </w:rPr>
      </w:pPr>
      <w:r>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522"/>
      </w:tblGrid>
      <w:tr w:rsidR="00FD4924">
        <w:trPr>
          <w:trHeight w:val="2634"/>
          <w:jc w:val="center"/>
        </w:trPr>
        <w:tc>
          <w:tcPr>
            <w:tcW w:w="9356" w:type="dxa"/>
          </w:tcPr>
          <w:p w:rsidR="00FD4924" w:rsidRDefault="007F24AB">
            <w:pPr>
              <w:jc w:val="left"/>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建筑、结构施工图和设计说明</w:t>
            </w:r>
          </w:p>
          <w:p w:rsidR="00FD4924" w:rsidRDefault="007F24AB">
            <w:pPr>
              <w:jc w:val="left"/>
              <w:rPr>
                <w:rFonts w:ascii="Times New Roman" w:eastAsia="宋体" w:hAnsi="Times New Roman" w:cs="Times New Roman"/>
                <w:kern w:val="0"/>
                <w:sz w:val="20"/>
                <w:szCs w:val="21"/>
              </w:rPr>
            </w:pPr>
            <w:r>
              <w:rPr>
                <w:rFonts w:ascii="Times New Roman" w:eastAsia="宋体" w:hAnsi="Times New Roman" w:cs="Times New Roman" w:hint="eastAsia"/>
                <w:kern w:val="0"/>
                <w:sz w:val="20"/>
                <w:szCs w:val="21"/>
              </w:rPr>
              <w:t>结构计算书</w:t>
            </w:r>
          </w:p>
        </w:tc>
      </w:tr>
    </w:tbl>
    <w:p w:rsidR="00FD4924" w:rsidRDefault="00FD4924"/>
    <w:sectPr w:rsidR="00FD49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A36"/>
    <w:rsid w:val="00026340"/>
    <w:rsid w:val="00074A38"/>
    <w:rsid w:val="00141669"/>
    <w:rsid w:val="00370B30"/>
    <w:rsid w:val="005157A0"/>
    <w:rsid w:val="00741060"/>
    <w:rsid w:val="007F24AB"/>
    <w:rsid w:val="008D61F7"/>
    <w:rsid w:val="00A066ED"/>
    <w:rsid w:val="00AA6814"/>
    <w:rsid w:val="00B95F81"/>
    <w:rsid w:val="00CA5A36"/>
    <w:rsid w:val="00DC5783"/>
    <w:rsid w:val="00F80237"/>
    <w:rsid w:val="00FD4924"/>
    <w:rsid w:val="215C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3"/>
    <w:next w:val="a"/>
    <w:link w:val="4Char"/>
    <w:unhideWhenUsed/>
    <w:qFormat/>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4Char">
    <w:name w:val="标题 4 Char"/>
    <w:basedOn w:val="a0"/>
    <w:link w:val="4"/>
    <w:rPr>
      <w:rFonts w:ascii="Times New Roman" w:eastAsia="宋体" w:hAnsi="Times New Roman" w:cs="Times New Roman"/>
      <w:b/>
      <w:bCs/>
      <w:szCs w:val="32"/>
    </w:rPr>
  </w:style>
  <w:style w:type="character" w:styleId="a6">
    <w:name w:val="Placeholder Text"/>
    <w:basedOn w:val="a0"/>
    <w:uiPriority w:val="99"/>
    <w:semiHidden/>
    <w:rPr>
      <w:color w:val="808080"/>
    </w:rPr>
  </w:style>
  <w:style w:type="table" w:customStyle="1" w:styleId="1">
    <w:name w:val="网格型1"/>
    <w:basedOn w:val="a1"/>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样式1"/>
    <w:basedOn w:val="a0"/>
    <w:uiPriority w:val="1"/>
    <w:rPr>
      <w:rFonts w:eastAsiaTheme="minorEastAsia"/>
      <w:sz w:val="21"/>
    </w:rPr>
  </w:style>
  <w:style w:type="character" w:customStyle="1" w:styleId="3Char">
    <w:name w:val="标题 3 Char"/>
    <w:basedOn w:val="a0"/>
    <w:link w:val="3"/>
    <w:uiPriority w:val="9"/>
    <w:semiHidden/>
    <w:rPr>
      <w:b/>
      <w:bCs/>
      <w:sz w:val="32"/>
      <w:szCs w:val="32"/>
    </w:rPr>
  </w:style>
  <w:style w:type="paragraph" w:styleId="a7">
    <w:name w:val="Balloon Text"/>
    <w:basedOn w:val="a"/>
    <w:link w:val="Char1"/>
    <w:uiPriority w:val="99"/>
    <w:semiHidden/>
    <w:unhideWhenUsed/>
    <w:rsid w:val="007F24AB"/>
    <w:rPr>
      <w:sz w:val="18"/>
      <w:szCs w:val="18"/>
    </w:rPr>
  </w:style>
  <w:style w:type="character" w:customStyle="1" w:styleId="Char1">
    <w:name w:val="批注框文本 Char"/>
    <w:basedOn w:val="a0"/>
    <w:link w:val="a7"/>
    <w:uiPriority w:val="99"/>
    <w:semiHidden/>
    <w:rsid w:val="007F24A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3"/>
    <w:next w:val="a"/>
    <w:link w:val="4Char"/>
    <w:unhideWhenUsed/>
    <w:qFormat/>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character" w:customStyle="1" w:styleId="4Char">
    <w:name w:val="标题 4 Char"/>
    <w:basedOn w:val="a0"/>
    <w:link w:val="4"/>
    <w:rPr>
      <w:rFonts w:ascii="Times New Roman" w:eastAsia="宋体" w:hAnsi="Times New Roman" w:cs="Times New Roman"/>
      <w:b/>
      <w:bCs/>
      <w:szCs w:val="32"/>
    </w:rPr>
  </w:style>
  <w:style w:type="character" w:styleId="a6">
    <w:name w:val="Placeholder Text"/>
    <w:basedOn w:val="a0"/>
    <w:uiPriority w:val="99"/>
    <w:semiHidden/>
    <w:rPr>
      <w:color w:val="808080"/>
    </w:rPr>
  </w:style>
  <w:style w:type="table" w:customStyle="1" w:styleId="1">
    <w:name w:val="网格型1"/>
    <w:basedOn w:val="a1"/>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样式1"/>
    <w:basedOn w:val="a0"/>
    <w:uiPriority w:val="1"/>
    <w:rPr>
      <w:rFonts w:eastAsiaTheme="minorEastAsia"/>
      <w:sz w:val="21"/>
    </w:rPr>
  </w:style>
  <w:style w:type="character" w:customStyle="1" w:styleId="3Char">
    <w:name w:val="标题 3 Char"/>
    <w:basedOn w:val="a0"/>
    <w:link w:val="3"/>
    <w:uiPriority w:val="9"/>
    <w:semiHidden/>
    <w:rPr>
      <w:b/>
      <w:bCs/>
      <w:sz w:val="32"/>
      <w:szCs w:val="32"/>
    </w:rPr>
  </w:style>
  <w:style w:type="paragraph" w:styleId="a7">
    <w:name w:val="Balloon Text"/>
    <w:basedOn w:val="a"/>
    <w:link w:val="Char1"/>
    <w:uiPriority w:val="99"/>
    <w:semiHidden/>
    <w:unhideWhenUsed/>
    <w:rsid w:val="007F24AB"/>
    <w:rPr>
      <w:sz w:val="18"/>
      <w:szCs w:val="18"/>
    </w:rPr>
  </w:style>
  <w:style w:type="character" w:customStyle="1" w:styleId="Char1">
    <w:name w:val="批注框文本 Char"/>
    <w:basedOn w:val="a0"/>
    <w:link w:val="a7"/>
    <w:uiPriority w:val="99"/>
    <w:semiHidden/>
    <w:rsid w:val="007F24A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75</Words>
  <Characters>428</Characters>
  <Application>Microsoft Office Word</Application>
  <DocSecurity>0</DocSecurity>
  <Lines>3</Lines>
  <Paragraphs>1</Paragraphs>
  <ScaleCrop>false</ScaleCrop>
  <Company>微软中国</Company>
  <LinksUpToDate>false</LinksUpToDate>
  <CharactersWithSpaces>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dongYP</dc:creator>
  <cp:lastModifiedBy>xb21cn</cp:lastModifiedBy>
  <cp:revision>10</cp:revision>
  <dcterms:created xsi:type="dcterms:W3CDTF">2019-07-12T07:39:00Z</dcterms:created>
  <dcterms:modified xsi:type="dcterms:W3CDTF">2021-02-26T06:30:00Z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