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</w:t>
      </w:r>
      <w:r>
        <w:rPr>
          <w:rFonts w:hint="eastAsia" w:eastAsiaTheme="minorEastAsia"/>
          <w:sz w:val="24"/>
          <w:szCs w:val="40"/>
        </w:rPr>
        <w:t>卫生间、浴室的</w:t>
      </w:r>
      <w:r>
        <w:rPr>
          <w:rFonts w:eastAsiaTheme="minorEastAsia"/>
          <w:sz w:val="24"/>
          <w:szCs w:val="40"/>
        </w:rPr>
        <w:t>墙面、顶棚应设置防潮层</w:t>
      </w:r>
      <w:r>
        <w:rPr>
          <w:rFonts w:hint="eastAsia" w:eastAsiaTheme="minorEastAsia"/>
          <w:sz w:val="24"/>
          <w:szCs w:val="40"/>
        </w:rPr>
        <w:t>；布置在无用水点房间下层的厨房顶棚应设置防潮层。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卫生间、浴室、厨房的地面已设置防水层，卫生间、浴室的墙面、顶棚已设置防潮层；厨房上下层均为厨房为用水房间，顶棚未设置防潮层。做法详见建筑设计总说明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bookmarkEnd w:id="0"/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52A8B"/>
    <w:rsid w:val="00B638D1"/>
    <w:rsid w:val="00C8572C"/>
    <w:rsid w:val="00D9367B"/>
    <w:rsid w:val="5F26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2020-12-09T06:50:55Z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