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</w:t>
      </w:r>
      <w:r>
        <w:rPr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定期对建筑运营效果进行评估，并根据结果进行运行优化。（</w:t>
      </w:r>
      <w:r>
        <w:rPr>
          <w:sz w:val="24"/>
          <w:szCs w:val="40"/>
        </w:rPr>
        <w:t>9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46"/>
        <w:gridCol w:w="169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项目是否制定绿色建筑运营效果评估的技术方案和计划：</w:t>
      </w:r>
      <w:sdt>
        <w:sdtPr>
          <w:rPr>
            <w:rFonts w:hint="eastAsia"/>
          </w:rPr>
          <w:id w:val="-10418127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5407554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hint="eastAsia" w:ascii="Calibri" w:hAnsi="Calibri" w:eastAsia="宋体" w:cs="Times New Roman"/>
        </w:rPr>
        <w:t>绿色建筑运营效果评估技术方案和实施计划。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不参评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不参评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1）绿色建筑运营效果评估的技术方案和实施计划；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2）公共设施设备的定期检查、调适记录；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3）定期开展节能诊断评估的物业管理制度文件以及实施记录；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4）定期开展各类用水水质检测、公示的管理制度文件以及实施记录。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F"/>
    <w:rsid w:val="000216AE"/>
    <w:rsid w:val="00074A38"/>
    <w:rsid w:val="003E69BB"/>
    <w:rsid w:val="007C323F"/>
    <w:rsid w:val="008F496C"/>
    <w:rsid w:val="00A66CA4"/>
    <w:rsid w:val="00BC3B5D"/>
    <w:rsid w:val="00C63F19"/>
    <w:rsid w:val="4E81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F1A0B1BB1E48EBB778BBD0D3039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B003B-7410-4297-833E-DDE72B7087C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A2519-4948-4A94-AF66-20BC928AE33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85B34-74A8-475A-96A4-D0EC84F4841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C04B3D-5956-41A1-8CEC-5CB4CB99C7C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8D61CA-F641-48BF-BD6B-D25C0435E6E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7506E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F1A0B1BB1E48EBB778BBD0D303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C23C73D422427AA4D8AAB3930BFE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7E446E53EC14622A9F4F878A52B8A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3862B179D6439782D9145C98D28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86FB40A2C144E4482590542716DB3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6709AEB792D472E95FDAA7CBE7D4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7910CFA06248F99BE9F390F2DF3C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C66FDE723944805B16F9D097293BC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</TotalTime>
  <ScaleCrop>false</ScaleCrop>
  <LinksUpToDate>false</LinksUpToDate>
  <CharactersWithSpaces>476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Administrator</cp:lastModifiedBy>
  <dcterms:modified xsi:type="dcterms:W3CDTF">2020-12-09T06:50:09Z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