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</w:t>
      </w:r>
      <w:r>
        <w:rPr>
          <w:rFonts w:eastAsiaTheme="minorEastAsia"/>
          <w:sz w:val="24"/>
          <w:szCs w:val="40"/>
        </w:rPr>
        <w:t>6</w:t>
      </w:r>
      <w:r>
        <w:rPr>
          <w:rFonts w:hint="eastAsia" w:eastAsiaTheme="minorEastAsia"/>
          <w:sz w:val="24"/>
          <w:szCs w:val="40"/>
        </w:rPr>
        <w:t xml:space="preserve">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 w:ascii="Times New Roman" w:hAnsi="Times New Roman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标识系统是否具备如下特点：</w:t>
      </w:r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同一种类型标识信息区分信息的重要程度，在统一版面布置；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68569302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190527476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不同类型标识信息版面单独设置；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459565671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296025014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有无障碍设施空间环境中，设置有无障碍信息；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459956517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862348631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导向标识信息系统应具有便于及时更新与扩充内容的可调整性。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    </w:t>
      </w:r>
      <w:sdt>
        <w:sdtPr>
          <w:rPr>
            <w:rFonts w:eastAsiaTheme="minorEastAsia"/>
          </w:rPr>
          <w:id w:val="-791276985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583152992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  <w:r>
        <w:rPr>
          <w:rFonts w:eastAsiaTheme="minorEastAsia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地下车库及园区内设有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  <w:t>通行导向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</w:rPr>
              <w:t>标识系统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、服务导向系统、应急导向标识系统。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）竣工总平面图；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2）标识系统设计文件。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</w:rPr>
              <w:t>总平面图</w:t>
            </w:r>
            <w:r>
              <w:rPr>
                <w:rFonts w:hint="eastAsia" w:ascii="Times New Roman" w:hAnsi="Times New Roman"/>
                <w:lang w:eastAsia="zh-CN"/>
              </w:rPr>
              <w:t>、地下车库建筑图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55DE9"/>
    <w:rsid w:val="00583579"/>
    <w:rsid w:val="00602F4E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3A2C3642"/>
    <w:rsid w:val="76B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Administrator</cp:lastModifiedBy>
  <dcterms:modified xsi:type="dcterms:W3CDTF">2020-12-10T03:24:22Z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