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场地内不应有排放超标的污染源。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ind w:firstLine="420"/>
      </w:pPr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无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>
      <w:pPr>
        <w:spacing w:line="360" w:lineRule="auto"/>
      </w:pPr>
      <w:r>
        <w:rPr>
          <w:rFonts w:hint="eastAsia"/>
        </w:rPr>
        <w:t>2）治理措施分析报告，应包括对污染物防治的措施分析及落实情况；</w:t>
      </w:r>
    </w:p>
    <w:p>
      <w:pPr>
        <w:spacing w:line="360" w:lineRule="auto"/>
      </w:pPr>
      <w:r>
        <w:rPr>
          <w:rFonts w:hint="eastAsia"/>
        </w:rPr>
        <w:t>3）检测报告。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环评报告书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74A38"/>
    <w:rsid w:val="001645B5"/>
    <w:rsid w:val="0031739B"/>
    <w:rsid w:val="005E7151"/>
    <w:rsid w:val="00901BFF"/>
    <w:rsid w:val="009A2BE4"/>
    <w:rsid w:val="00C94DA3"/>
    <w:rsid w:val="00D8117D"/>
    <w:rsid w:val="00E54A44"/>
    <w:rsid w:val="00F834AC"/>
    <w:rsid w:val="00FF3B01"/>
    <w:rsid w:val="706E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Administrator</cp:lastModifiedBy>
  <dcterms:modified xsi:type="dcterms:W3CDTF">2020-12-10T03:25:21Z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