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）竣工总平面图；</w:t>
      </w:r>
    </w:p>
    <w:p>
      <w:pPr>
        <w:spacing w:line="360" w:lineRule="auto"/>
      </w:pPr>
      <w:r>
        <w:rPr>
          <w:rFonts w:hint="eastAsia"/>
        </w:rPr>
        <w:t>2）景观专业竣工图纸及设计说明，应包括吸烟区布置情况。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892D2C"/>
    <w:rsid w:val="00BA01F8"/>
    <w:rsid w:val="00BD06D7"/>
    <w:rsid w:val="00CB11E9"/>
    <w:rsid w:val="00EB14FF"/>
    <w:rsid w:val="00F43232"/>
    <w:rsid w:val="3D9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4834C6"/>
    <w:rsid w:val="00BD7B41"/>
    <w:rsid w:val="00DA7B24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Administrator</cp:lastModifiedBy>
  <dcterms:modified xsi:type="dcterms:W3CDTF">2020-12-10T06:06:29Z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