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土掌房改造</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昆明</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516820c65f439d"/>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T15035826462</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fldChar w:fldCharType="separate"/>
        </w:r>
        <w:r w:rsidR="0065187B">
          <w:rPr>
            <w:rFonts w:hint="eastAsia"/>
            <w:b w:val="0"/>
            <w:bCs w:val="0"/>
            <w:webHidden/>
          </w:rPr>
          <w:t>错误</w:t>
        </w:r>
        <w:r w:rsidR="0065187B">
          <w:rPr>
            <w:rFonts w:hint="eastAsia"/>
            <w:b w:val="0"/>
            <w:bCs w:val="0"/>
            <w:webHidden/>
          </w:rPr>
          <w:t>!</w:t>
        </w:r>
        <w:r w:rsidR="0065187B">
          <w:rPr>
            <w:rFonts w:hint="eastAsia"/>
            <w:b w:val="0"/>
            <w:bCs w:val="0"/>
            <w:webHidden/>
          </w:rPr>
          <w:t>未定义书签。</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土掌房改造</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昆明</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25.07</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102.70</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VB</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1366fac11d420c"/>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98a70a570e4021"/>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2" w:name="_Toc16494747"/>
      <w:bookmarkStart w:id="23" w:name="TitleFormat"/>
      <w:r>
        <w:rPr>
          <w:rFonts w:hint="eastAsia"/>
        </w:rPr>
        <w:t>设计</w:t>
      </w:r>
      <w:r w:rsidR="00D40158">
        <w:rPr>
          <w:rFonts w:hint="eastAsia"/>
        </w:rPr>
        <w:t>依据</w:t>
      </w:r>
      <w:bookmarkEnd w:id="22"/>
    </w:p>
    <w:p w:rsidR="00634B5C" w:rsidRDefault="00634B5C" w:rsidP="00634B5C">
      <w:pPr>
        <w:widowControl w:val="0"/>
        <w:spacing w:line="360" w:lineRule="auto"/>
        <w:ind w:firstLine="420"/>
        <w:jc w:val="both"/>
        <w:rPr>
          <w:kern w:val="2"/>
          <w:szCs w:val="24"/>
          <w:lang w:val="en-US"/>
        </w:rPr>
      </w:pPr>
      <w:bookmarkStart w:id="24" w:name="计算依据"/>
      <w:bookmarkEnd w:id="23"/>
      <w:bookmarkEnd w:id="24"/>
      <w:r>
        <w:rPr>
          <w:rFonts w:hint="eastAsia"/>
          <w:kern w:val="2"/>
          <w:szCs w:val="24"/>
          <w:lang w:val="en-US"/>
        </w:rPr>
        <w:t>《城市居住区热环境设计标准》</w:t>
      </w:r>
      <w:r w:rsidR="0065187B">
        <w:rPr>
          <w:kern w:val="2"/>
          <w:szCs w:val="24"/>
          <w:lang w:val="en-US"/>
        </w:rPr>
        <w:t>JGJ 286-2013</w:t>
      </w:r>
      <w:bookmarkStart w:id="25" w:name="_GoBack"/>
      <w:bookmarkEnd w:id="25"/>
    </w:p>
    <w:p w:rsidR="00E70834" w:rsidRDefault="00E70834" w:rsidP="00E70834">
      <w:pPr>
        <w:pStyle w:val="1"/>
      </w:pPr>
      <w:r>
        <w:rPr>
          <w:rFonts w:hint="eastAsia"/>
        </w:rPr>
        <w:t>计算规定</w:t>
      </w:r>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6" w:name="_Toc16494769"/>
      <w:r w:rsidRPr="009F0094">
        <w:rPr>
          <w:rFonts w:hint="eastAsia"/>
        </w:rPr>
        <w:t>强制条文</w:t>
      </w:r>
      <w:bookmarkEnd w:id="26"/>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b"/>
        <w:shd w:val="clear" w:color="auto" w:fill="FFFFFF"/>
        <w:spacing w:before="0" w:beforeAutospacing="0" w:after="0" w:afterAutospacing="0" w:line="360" w:lineRule="auto"/>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1</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居住区的夏季平均迎风面积比（</w:t>
      </w:r>
      <w:r>
        <w:rPr>
          <w:rStyle w:val="ac"/>
          <w:rFonts w:ascii="Arial" w:hAnsi="Arial" w:cs="Arial"/>
          <w:color w:val="333333"/>
          <w:sz w:val="21"/>
          <w:szCs w:val="21"/>
        </w:rPr>
        <w:t>ζ</w:t>
      </w:r>
      <w:r>
        <w:rPr>
          <w:rStyle w:val="ac"/>
          <w:rFonts w:ascii="Arial" w:hAnsi="Arial" w:cs="Arial"/>
          <w:color w:val="333333"/>
          <w:sz w:val="21"/>
          <w:szCs w:val="21"/>
          <w:vertAlign w:val="subscript"/>
        </w:rPr>
        <w:t>s</w:t>
      </w:r>
      <w:r>
        <w:rPr>
          <w:rStyle w:val="ac"/>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b"/>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b"/>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b"/>
        <w:shd w:val="clear" w:color="auto" w:fill="FFFFFF"/>
        <w:spacing w:before="0" w:beforeAutospacing="0" w:after="0" w:afterAutospacing="0"/>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2</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居住区活动场地的遮阳覆盖率限值</w:t>
      </w:r>
      <w:r>
        <w:rPr>
          <w:rStyle w:val="ac"/>
          <w:rFonts w:ascii="Arial" w:hAnsi="Arial" w:cs="Arial"/>
          <w:color w:val="333333"/>
          <w:sz w:val="21"/>
          <w:szCs w:val="21"/>
        </w:rPr>
        <w:t>(</w:t>
      </w:r>
      <w:r>
        <w:rPr>
          <w:rStyle w:val="ac"/>
          <w:rFonts w:ascii="Arial" w:hAnsi="Arial" w:cs="Arial"/>
          <w:color w:val="333333"/>
          <w:sz w:val="21"/>
          <w:szCs w:val="21"/>
        </w:rPr>
        <w:t>％</w:t>
      </w:r>
      <w:r>
        <w:rPr>
          <w:rStyle w:val="ac"/>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7" w:name="_Toc16494771"/>
      <w:r>
        <w:rPr>
          <w:rFonts w:hint="eastAsia"/>
        </w:rPr>
        <w:t>评价性设计</w:t>
      </w:r>
      <w:bookmarkEnd w:id="27"/>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28" w:name="_Toc16494748"/>
      <w:r w:rsidRPr="00141106">
        <w:rPr>
          <w:rFonts w:hint="eastAsia"/>
        </w:rPr>
        <w:t>计算方法</w:t>
      </w:r>
      <w:bookmarkEnd w:id="28"/>
    </w:p>
    <w:p w:rsidR="00C32022" w:rsidRPr="00DB2ADE" w:rsidRDefault="00C32022" w:rsidP="00C32022">
      <w:pPr>
        <w:widowControl w:val="0"/>
        <w:spacing w:line="360" w:lineRule="auto"/>
        <w:jc w:val="both"/>
        <w:rPr>
          <w:kern w:val="2"/>
          <w:szCs w:val="21"/>
          <w:lang w:val="en-US"/>
        </w:rPr>
      </w:pPr>
      <w:bookmarkStart w:id="29" w:name="计算方法"/>
      <w:bookmarkEnd w:id="29"/>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05pt" o:ole="">
            <v:imagedata r:id="rId10" o:title=""/>
          </v:shape>
          <o:OLEObject Type="Embed" ProgID="Equation.DSMT4" ShapeID="_x0000_i1025" DrawAspect="Content" ObjectID="_1646488884" r:id="rId11"/>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19pt" o:ole="">
            <v:imagedata r:id="rId12" o:title=""/>
          </v:shape>
          <o:OLEObject Type="Embed" ProgID="Equation.DSMT4" ShapeID="_x0000_i1026" DrawAspect="Content" ObjectID="_1646488885" r:id="rId13"/>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8.85pt;height:18.35pt" o:ole="">
            <v:imagedata r:id="rId14" o:title=""/>
          </v:shape>
          <o:OLEObject Type="Embed" ProgID="Equation.DSMT4" ShapeID="_x0000_i1027" DrawAspect="Content" ObjectID="_1646488886" r:id="rId15"/>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18.35pt" o:ole="">
            <v:imagedata r:id="rId16" o:title=""/>
          </v:shape>
          <o:OLEObject Type="Embed" ProgID="Equation.DSMT4" ShapeID="_x0000_i1028" DrawAspect="Content" ObjectID="_1646488887" r:id="rId17"/>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8.85pt;height:13.6pt" o:ole="">
            <v:imagedata r:id="rId18" o:title=""/>
          </v:shape>
          <o:OLEObject Type="Embed" ProgID="Equation.DSMT4" ShapeID="_x0000_i1029" DrawAspect="Content" ObjectID="_1646488888" r:id="rId19"/>
        </w:object>
      </w:r>
      <w:r>
        <w:rPr>
          <w:lang w:val="en-US"/>
        </w:rPr>
        <w:t xml:space="preserve"> </w:t>
      </w:r>
      <w:r w:rsidRPr="00BA5474">
        <w:rPr>
          <w:position w:val="-28"/>
          <w:lang w:val="en-US"/>
        </w:rPr>
        <w:object w:dxaOrig="2200" w:dyaOrig="680">
          <v:shape id="_x0000_i1030" type="#_x0000_t75" style="width:110.05pt;height:33.95pt" o:ole="">
            <v:imagedata r:id="rId20" o:title=""/>
          </v:shape>
          <o:OLEObject Type="Embed" ProgID="Equation.DSMT4" ShapeID="_x0000_i1030" DrawAspect="Content" ObjectID="_1646488889" r:id="rId21"/>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7.15pt;height:18.35pt" o:ole="">
            <v:imagedata r:id="rId22" o:title=""/>
          </v:shape>
          <o:OLEObject Type="Embed" ProgID="Equation.DSMT4" ShapeID="_x0000_i1031" DrawAspect="Content" ObjectID="_1646488890" r:id="rId23"/>
        </w:object>
      </w:r>
      <w:r>
        <w:rPr>
          <w:rFonts w:hint="eastAsia"/>
          <w:lang w:val="en-US"/>
        </w:rPr>
        <w:t>——</w:t>
      </w:r>
      <w:r w:rsidRPr="00BA5474">
        <w:rPr>
          <w:position w:val="-6"/>
          <w:lang w:val="en-US"/>
        </w:rPr>
        <w:object w:dxaOrig="200" w:dyaOrig="220">
          <v:shape id="_x0000_i1032" type="#_x0000_t75" style="width:10.2pt;height:10.85pt" o:ole="">
            <v:imagedata r:id="rId24" o:title=""/>
          </v:shape>
          <o:OLEObject Type="Embed" ProgID="Equation.DSMT4" ShapeID="_x0000_i1032" DrawAspect="Content" ObjectID="_1646488891" r:id="rId25"/>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30.55pt;height:18.35pt" o:ole="">
            <v:imagedata r:id="rId26" o:title=""/>
          </v:shape>
          <o:OLEObject Type="Embed" ProgID="Equation.DSMT4" ShapeID="_x0000_i1033" DrawAspect="Content" ObjectID="_1646488892" r:id="rId27"/>
        </w:object>
      </w:r>
      <w:r>
        <w:rPr>
          <w:rFonts w:hint="eastAsia"/>
          <w:lang w:val="en-US"/>
        </w:rPr>
        <w:t>——</w:t>
      </w:r>
      <w:r w:rsidRPr="00BA5474">
        <w:rPr>
          <w:position w:val="-6"/>
          <w:lang w:val="en-US"/>
        </w:rPr>
        <w:object w:dxaOrig="200" w:dyaOrig="220">
          <v:shape id="_x0000_i1034" type="#_x0000_t75" style="width:10.2pt;height:10.85pt" o:ole="">
            <v:imagedata r:id="rId24" o:title=""/>
          </v:shape>
          <o:OLEObject Type="Embed" ProgID="Equation.DSMT4" ShapeID="_x0000_i1034" DrawAspect="Content" ObjectID="_1646488893" r:id="rId28"/>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6.85pt;height:18.35pt" o:ole="">
            <v:imagedata r:id="rId29" o:title=""/>
          </v:shape>
          <o:OLEObject Type="Embed" ProgID="Equation.DSMT4" ShapeID="_x0000_i1035" DrawAspect="Content" ObjectID="_1646488894" r:id="rId30"/>
        </w:object>
      </w:r>
      <w:r>
        <w:rPr>
          <w:rFonts w:hint="eastAsia"/>
          <w:sz w:val="24"/>
          <w:szCs w:val="24"/>
          <w:lang w:val="en-US"/>
        </w:rPr>
        <w:t>——</w:t>
      </w:r>
      <w:r w:rsidRPr="00BA5474">
        <w:rPr>
          <w:position w:val="-6"/>
          <w:lang w:val="en-US"/>
        </w:rPr>
        <w:object w:dxaOrig="200" w:dyaOrig="220">
          <v:shape id="_x0000_i1036" type="#_x0000_t75" style="width:10.2pt;height:10.85pt" o:ole="">
            <v:imagedata r:id="rId24" o:title=""/>
          </v:shape>
          <o:OLEObject Type="Embed" ProgID="Equation.DSMT4" ShapeID="_x0000_i1036" DrawAspect="Content" ObjectID="_1646488895" r:id="rId31"/>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45pt;height:18.35pt" o:ole="">
            <v:imagedata r:id="rId32" o:title=""/>
          </v:shape>
          <o:OLEObject Type="Embed" ProgID="Equation.DSMT4" ShapeID="_x0000_i1037" DrawAspect="Content" ObjectID="_1646488896" r:id="rId33"/>
        </w:object>
      </w:r>
      <w:r>
        <w:rPr>
          <w:rFonts w:hint="eastAsia"/>
          <w:sz w:val="24"/>
          <w:szCs w:val="24"/>
          <w:lang w:val="en-US"/>
        </w:rPr>
        <w:t>——</w:t>
      </w:r>
      <w:r w:rsidRPr="00BA5474">
        <w:rPr>
          <w:position w:val="-6"/>
          <w:lang w:val="en-US"/>
        </w:rPr>
        <w:object w:dxaOrig="200" w:dyaOrig="220">
          <v:shape id="_x0000_i1038" type="#_x0000_t75" style="width:10.2pt;height:10.85pt" o:ole="">
            <v:imagedata r:id="rId24" o:title=""/>
          </v:shape>
          <o:OLEObject Type="Embed" ProgID="Equation.DSMT4" ShapeID="_x0000_i1038" DrawAspect="Content" ObjectID="_1646488897" r:id="rId34"/>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31.9pt;height:18.35pt" o:ole="">
            <v:imagedata r:id="rId35" o:title=""/>
          </v:shape>
          <o:OLEObject Type="Embed" ProgID="Equation.DSMT4" ShapeID="_x0000_i1039" DrawAspect="Content" ObjectID="_1646488898" r:id="rId36"/>
        </w:object>
      </w:r>
      <w:r>
        <w:rPr>
          <w:rFonts w:hint="eastAsia"/>
          <w:lang w:val="en-US"/>
        </w:rPr>
        <w:t>——</w:t>
      </w:r>
      <w:r w:rsidRPr="00BA5474">
        <w:rPr>
          <w:position w:val="-6"/>
          <w:lang w:val="en-US"/>
        </w:rPr>
        <w:object w:dxaOrig="200" w:dyaOrig="220">
          <v:shape id="_x0000_i1040" type="#_x0000_t75" style="width:10.2pt;height:10.85pt" o:ole="">
            <v:imagedata r:id="rId24" o:title=""/>
          </v:shape>
          <o:OLEObject Type="Embed" ProgID="Equation.DSMT4" ShapeID="_x0000_i1040" DrawAspect="Content" ObjectID="_1646488899" r:id="rId37"/>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2.1pt;height:18.35pt" o:ole="">
            <v:imagedata r:id="rId38" o:title=""/>
          </v:shape>
          <o:OLEObject Type="Embed" ProgID="Equation.DSMT4" ShapeID="_x0000_i1041" DrawAspect="Content" ObjectID="_1646488900" r:id="rId39"/>
        </w:object>
      </w:r>
      <w:r>
        <w:rPr>
          <w:rFonts w:hint="eastAsia"/>
          <w:lang w:val="en-US"/>
        </w:rPr>
        <w:t>——</w:t>
      </w:r>
      <w:r w:rsidRPr="00BA5474">
        <w:rPr>
          <w:position w:val="-6"/>
          <w:lang w:val="en-US"/>
        </w:rPr>
        <w:object w:dxaOrig="200" w:dyaOrig="220">
          <v:shape id="_x0000_i1042" type="#_x0000_t75" style="width:10.2pt;height:10.85pt" o:ole="">
            <v:imagedata r:id="rId24" o:title=""/>
          </v:shape>
          <o:OLEObject Type="Embed" ProgID="Equation.DSMT4" ShapeID="_x0000_i1042" DrawAspect="Content" ObjectID="_1646488901" r:id="rId40"/>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7.9pt;height:18.35pt" o:ole="">
            <v:imagedata r:id="rId41" o:title=""/>
          </v:shape>
          <o:OLEObject Type="Embed" ProgID="Equation.DSMT4" ShapeID="_x0000_i1043" DrawAspect="Content" ObjectID="_1646488902" r:id="rId42"/>
        </w:object>
      </w:r>
      <w:r>
        <w:rPr>
          <w:rFonts w:hint="eastAsia"/>
          <w:sz w:val="24"/>
          <w:szCs w:val="24"/>
          <w:lang w:val="en-US"/>
        </w:rPr>
        <w:t>——</w:t>
      </w:r>
      <w:r w:rsidRPr="00BA5474">
        <w:rPr>
          <w:position w:val="-6"/>
          <w:lang w:val="en-US"/>
        </w:rPr>
        <w:object w:dxaOrig="200" w:dyaOrig="220">
          <v:shape id="_x0000_i1044" type="#_x0000_t75" style="width:10.2pt;height:10.85pt" o:ole="">
            <v:imagedata r:id="rId24" o:title=""/>
          </v:shape>
          <o:OLEObject Type="Embed" ProgID="Equation.DSMT4" ShapeID="_x0000_i1044" DrawAspect="Content" ObjectID="_1646488903" r:id="rId43"/>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7.35pt;height:18.35pt" o:ole="">
            <v:imagedata r:id="rId44" o:title=""/>
          </v:shape>
          <o:OLEObject Type="Embed" ProgID="Equation.DSMT4" ShapeID="_x0000_i1045" DrawAspect="Content" ObjectID="_1646488904" r:id="rId45"/>
        </w:object>
      </w:r>
      <w:r>
        <w:rPr>
          <w:rFonts w:hint="eastAsia"/>
          <w:lang w:val="en-US"/>
        </w:rPr>
        <w:t>——</w:t>
      </w:r>
      <w:r w:rsidRPr="00BA5474">
        <w:rPr>
          <w:position w:val="-6"/>
          <w:lang w:val="en-US"/>
        </w:rPr>
        <w:object w:dxaOrig="200" w:dyaOrig="220">
          <v:shape id="_x0000_i1046" type="#_x0000_t75" style="width:10.2pt;height:10.85pt" o:ole="">
            <v:imagedata r:id="rId24" o:title=""/>
          </v:shape>
          <o:OLEObject Type="Embed" ProgID="Equation.DSMT4" ShapeID="_x0000_i1046" DrawAspect="Content" ObjectID="_1646488905" r:id="rId46"/>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5.15pt;height:18.35pt" o:ole="">
            <v:imagedata r:id="rId47" o:title=""/>
          </v:shape>
          <o:OLEObject Type="Embed" ProgID="Equation.DSMT4" ShapeID="_x0000_i1047" DrawAspect="Content" ObjectID="_1646488906" r:id="rId48"/>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2.25pt;height:13.6pt" o:ole="">
            <v:imagedata r:id="rId49" o:title=""/>
          </v:shape>
          <o:OLEObject Type="Embed" ProgID="Equation.DSMT4" ShapeID="_x0000_i1048" DrawAspect="Content" ObjectID="_1646488907" r:id="rId50"/>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10.2pt;height:10.85pt" o:ole="">
            <v:imagedata r:id="rId51" o:title=""/>
          </v:shape>
          <o:OLEObject Type="Embed" ProgID="Equation.DSMT4" ShapeID="_x0000_i1049" DrawAspect="Content" ObjectID="_1646488908" r:id="rId52"/>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7.15pt;height:18.35pt" o:ole="">
            <v:imagedata r:id="rId53" o:title=""/>
          </v:shape>
          <o:OLEObject Type="Embed" ProgID="Equation.DSMT4" ShapeID="_x0000_i1050" DrawAspect="Content" ObjectID="_1646488909" r:id="rId54"/>
        </w:object>
      </w:r>
      <w:r>
        <w:rPr>
          <w:rFonts w:hint="eastAsia"/>
          <w:lang w:val="en-US"/>
        </w:rPr>
        <w:t>——第</w:t>
      </w:r>
      <w:r w:rsidRPr="00897909">
        <w:rPr>
          <w:position w:val="-6"/>
          <w:lang w:val="en-US"/>
        </w:rPr>
        <w:object w:dxaOrig="139" w:dyaOrig="260">
          <v:shape id="_x0000_i1051" type="#_x0000_t75" style="width:6.8pt;height:13.6pt" o:ole="">
            <v:imagedata r:id="rId55" o:title=""/>
          </v:shape>
          <o:OLEObject Type="Embed" ProgID="Equation.DSMT4" ShapeID="_x0000_i1051" DrawAspect="Content" ObjectID="_1646488910" r:id="rId56"/>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6.8pt;height:13.6pt" o:ole="">
            <v:imagedata r:id="rId55" o:title=""/>
          </v:shape>
          <o:OLEObject Type="Embed" ProgID="Equation.DSMT4" ShapeID="_x0000_i1052" DrawAspect="Content" ObjectID="_1646488911" r:id="rId57"/>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19.7pt;height:10.85pt" o:ole="">
            <v:imagedata r:id="rId58" o:title=""/>
          </v:shape>
          <o:OLEObject Type="Embed" ProgID="Equation.DSMT4" ShapeID="_x0000_i1053" DrawAspect="Content" ObjectID="_1646488912" r:id="rId59"/>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0" w:name="_Toc16494749"/>
      <w:r>
        <w:rPr>
          <w:rFonts w:hint="eastAsia"/>
        </w:rPr>
        <w:t>计算参数</w:t>
      </w:r>
      <w:bookmarkEnd w:id="30"/>
    </w:p>
    <w:p w:rsidR="00116794" w:rsidRDefault="00613298" w:rsidP="009C3CAA">
      <w:pPr>
        <w:pStyle w:val="2"/>
      </w:pPr>
      <w:bookmarkStart w:id="31" w:name="_Toc16494750"/>
      <w:r>
        <w:rPr>
          <w:rFonts w:hint="eastAsia"/>
        </w:rPr>
        <w:t>典型气象日</w:t>
      </w:r>
      <w:r w:rsidR="009C3CAA">
        <w:rPr>
          <w:rFonts w:hint="eastAsia"/>
        </w:rPr>
        <w:t>气象参数</w:t>
      </w:r>
      <w:bookmarkEnd w:id="31"/>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18.7</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val="restart"/>
          </w:tcPr>
          <w:p>
            <w:pPr>
              <w:jc w:val="center"/>
            </w:pPr>
            <w:r>
              <w:t>南</w:t>
            </w:r>
          </w:p>
        </w:tc>
      </w:tr>
      <w:tr>
        <w:tc>
          <w:tcPr>
            <w:vAlign w:val="center"/>
            <w:shd w:val="clear" w:color="auto" w:fill="E6E6E6"/>
          </w:tcPr>
          <w:p>
            <w:pPr>
              <w:jc w:val="center"/>
            </w:pPr>
            <w:r>
              <w:t>1</w:t>
            </w:r>
          </w:p>
        </w:tc>
        <w:tc>
          <w:tcPr>
            <w:vAlign w:val="center"/>
          </w:tcPr>
          <w:p>
            <w:pPr>
              <w:jc w:val="center"/>
            </w:pPr>
            <w:r>
              <w:t>18.5</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18.3</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18.1</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17.9</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1.2</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17.8</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1.2</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17.7</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17.8</w:t>
            </w:r>
          </w:p>
        </w:tc>
        <w:tc>
          <w:tcPr>
            <w:vAlign w:val="center"/>
          </w:tcPr>
          <w:p>
            <w:pPr>
              <w:jc w:val="center"/>
            </w:pPr>
            <w:r>
              <w:t>91</w:t>
            </w:r>
          </w:p>
        </w:tc>
        <w:tc>
          <w:tcPr>
            <w:vAlign w:val="center"/>
          </w:tcPr>
          <w:p>
            <w:pPr>
              <w:jc w:val="center"/>
            </w:pPr>
            <w:r>
              <w:t>3.00</w:t>
            </w:r>
          </w:p>
        </w:tc>
        <w:tc>
          <w:tcPr>
            <w:vAlign w:val="center"/>
          </w:tcPr>
          <w:p>
            <w:pPr>
              <w:jc w:val="center"/>
            </w:pPr>
            <w:r>
              <w:t>3.00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18.1</w:t>
            </w:r>
          </w:p>
        </w:tc>
        <w:tc>
          <w:tcPr>
            <w:vAlign w:val="center"/>
          </w:tcPr>
          <w:p>
            <w:pPr>
              <w:jc w:val="center"/>
            </w:pPr>
            <w:r>
              <w:t>89</w:t>
            </w:r>
          </w:p>
        </w:tc>
        <w:tc>
          <w:tcPr>
            <w:vAlign w:val="center"/>
          </w:tcPr>
          <w:p>
            <w:pPr>
              <w:jc w:val="center"/>
            </w:pPr>
            <w:r>
              <w:t>105.00</w:t>
            </w:r>
          </w:p>
        </w:tc>
        <w:tc>
          <w:tcPr>
            <w:vAlign w:val="center"/>
          </w:tcPr>
          <w:p>
            <w:pPr>
              <w:jc w:val="center"/>
            </w:pPr>
            <w:r>
              <w:t>89.00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18.9</w:t>
            </w:r>
          </w:p>
        </w:tc>
        <w:tc>
          <w:tcPr>
            <w:vAlign w:val="center"/>
          </w:tcPr>
          <w:p>
            <w:pPr>
              <w:jc w:val="center"/>
            </w:pPr>
            <w:r>
              <w:t>85</w:t>
            </w:r>
          </w:p>
        </w:tc>
        <w:tc>
          <w:tcPr>
            <w:vAlign w:val="center"/>
          </w:tcPr>
          <w:p>
            <w:pPr>
              <w:jc w:val="center"/>
            </w:pPr>
            <w:r>
              <w:t>234.00</w:t>
            </w:r>
          </w:p>
        </w:tc>
        <w:tc>
          <w:tcPr>
            <w:vAlign w:val="center"/>
          </w:tcPr>
          <w:p>
            <w:pPr>
              <w:jc w:val="center"/>
            </w:pPr>
            <w:r>
              <w:t>189.00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19.7</w:t>
            </w:r>
          </w:p>
        </w:tc>
        <w:tc>
          <w:tcPr>
            <w:vAlign w:val="center"/>
          </w:tcPr>
          <w:p>
            <w:pPr>
              <w:jc w:val="center"/>
            </w:pPr>
            <w:r>
              <w:t>81</w:t>
            </w:r>
          </w:p>
        </w:tc>
        <w:tc>
          <w:tcPr>
            <w:vAlign w:val="center"/>
          </w:tcPr>
          <w:p>
            <w:pPr>
              <w:jc w:val="center"/>
            </w:pPr>
            <w:r>
              <w:t>358.00</w:t>
            </w:r>
          </w:p>
        </w:tc>
        <w:tc>
          <w:tcPr>
            <w:vAlign w:val="center"/>
          </w:tcPr>
          <w:p>
            <w:pPr>
              <w:jc w:val="center"/>
            </w:pPr>
            <w:r>
              <w:t>275.00</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20.6</w:t>
            </w:r>
          </w:p>
        </w:tc>
        <w:tc>
          <w:tcPr>
            <w:vAlign w:val="center"/>
          </w:tcPr>
          <w:p>
            <w:pPr>
              <w:jc w:val="center"/>
            </w:pPr>
            <w:r>
              <w:t>78</w:t>
            </w:r>
          </w:p>
        </w:tc>
        <w:tc>
          <w:tcPr>
            <w:vAlign w:val="center"/>
          </w:tcPr>
          <w:p>
            <w:pPr>
              <w:jc w:val="center"/>
            </w:pPr>
            <w:r>
              <w:t>476.00</w:t>
            </w:r>
          </w:p>
        </w:tc>
        <w:tc>
          <w:tcPr>
            <w:vAlign w:val="center"/>
          </w:tcPr>
          <w:p>
            <w:pPr>
              <w:jc w:val="center"/>
            </w:pPr>
            <w:r>
              <w:t>349.00</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21.3</w:t>
            </w:r>
          </w:p>
        </w:tc>
        <w:tc>
          <w:tcPr>
            <w:vAlign w:val="center"/>
          </w:tcPr>
          <w:p>
            <w:pPr>
              <w:jc w:val="center"/>
            </w:pPr>
            <w:r>
              <w:t>75</w:t>
            </w:r>
          </w:p>
        </w:tc>
        <w:tc>
          <w:tcPr>
            <w:vAlign w:val="center"/>
          </w:tcPr>
          <w:p>
            <w:pPr>
              <w:jc w:val="center"/>
            </w:pPr>
            <w:r>
              <w:t>535.00</w:t>
            </w:r>
          </w:p>
        </w:tc>
        <w:tc>
          <w:tcPr>
            <w:vAlign w:val="center"/>
          </w:tcPr>
          <w:p>
            <w:pPr>
              <w:jc w:val="center"/>
            </w:pPr>
            <w:r>
              <w:t>396.00</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21.8</w:t>
            </w:r>
          </w:p>
        </w:tc>
        <w:tc>
          <w:tcPr>
            <w:vAlign w:val="center"/>
          </w:tcPr>
          <w:p>
            <w:pPr>
              <w:jc w:val="center"/>
            </w:pPr>
            <w:r>
              <w:t>74</w:t>
            </w:r>
          </w:p>
        </w:tc>
        <w:tc>
          <w:tcPr>
            <w:vAlign w:val="center"/>
          </w:tcPr>
          <w:p>
            <w:pPr>
              <w:jc w:val="center"/>
            </w:pPr>
            <w:r>
              <w:t>531.00</w:t>
            </w:r>
          </w:p>
        </w:tc>
        <w:tc>
          <w:tcPr>
            <w:vAlign w:val="center"/>
          </w:tcPr>
          <w:p>
            <w:pPr>
              <w:jc w:val="center"/>
            </w:pPr>
            <w:r>
              <w:t>408.00</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22.1</w:t>
            </w:r>
          </w:p>
        </w:tc>
        <w:tc>
          <w:tcPr>
            <w:vAlign w:val="center"/>
          </w:tcPr>
          <w:p>
            <w:pPr>
              <w:jc w:val="center"/>
            </w:pPr>
            <w:r>
              <w:t>73</w:t>
            </w:r>
          </w:p>
        </w:tc>
        <w:tc>
          <w:tcPr>
            <w:vAlign w:val="center"/>
          </w:tcPr>
          <w:p>
            <w:pPr>
              <w:jc w:val="center"/>
            </w:pPr>
            <w:r>
              <w:t>523.00</w:t>
            </w:r>
          </w:p>
        </w:tc>
        <w:tc>
          <w:tcPr>
            <w:vAlign w:val="center"/>
          </w:tcPr>
          <w:p>
            <w:pPr>
              <w:jc w:val="center"/>
            </w:pPr>
            <w:r>
              <w:t>401.00</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22.4</w:t>
            </w:r>
          </w:p>
        </w:tc>
        <w:tc>
          <w:tcPr>
            <w:vAlign w:val="center"/>
          </w:tcPr>
          <w:p>
            <w:pPr>
              <w:jc w:val="center"/>
            </w:pPr>
            <w:r>
              <w:t>72</w:t>
            </w:r>
          </w:p>
        </w:tc>
        <w:tc>
          <w:tcPr>
            <w:vAlign w:val="center"/>
          </w:tcPr>
          <w:p>
            <w:pPr>
              <w:jc w:val="center"/>
            </w:pPr>
            <w:r>
              <w:t>458.00</w:t>
            </w:r>
          </w:p>
        </w:tc>
        <w:tc>
          <w:tcPr>
            <w:vAlign w:val="center"/>
          </w:tcPr>
          <w:p>
            <w:pPr>
              <w:jc w:val="center"/>
            </w:pPr>
            <w:r>
              <w:t>364.00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22.5</w:t>
            </w:r>
          </w:p>
        </w:tc>
        <w:tc>
          <w:tcPr>
            <w:vAlign w:val="center"/>
          </w:tcPr>
          <w:p>
            <w:pPr>
              <w:jc w:val="center"/>
            </w:pPr>
            <w:r>
              <w:t>71</w:t>
            </w:r>
          </w:p>
        </w:tc>
        <w:tc>
          <w:tcPr>
            <w:vAlign w:val="center"/>
          </w:tcPr>
          <w:p>
            <w:pPr>
              <w:jc w:val="center"/>
            </w:pPr>
            <w:r>
              <w:t>365.00</w:t>
            </w:r>
          </w:p>
        </w:tc>
        <w:tc>
          <w:tcPr>
            <w:vAlign w:val="center"/>
          </w:tcPr>
          <w:p>
            <w:pPr>
              <w:jc w:val="center"/>
            </w:pPr>
            <w:r>
              <w:t>291.00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22.4</w:t>
            </w:r>
          </w:p>
        </w:tc>
        <w:tc>
          <w:tcPr>
            <w:vAlign w:val="center"/>
          </w:tcPr>
          <w:p>
            <w:pPr>
              <w:jc w:val="center"/>
            </w:pPr>
            <w:r>
              <w:t>72</w:t>
            </w:r>
          </w:p>
        </w:tc>
        <w:tc>
          <w:tcPr>
            <w:vAlign w:val="center"/>
          </w:tcPr>
          <w:p>
            <w:pPr>
              <w:jc w:val="center"/>
            </w:pPr>
            <w:r>
              <w:t>274.00</w:t>
            </w:r>
          </w:p>
        </w:tc>
        <w:tc>
          <w:tcPr>
            <w:vAlign w:val="center"/>
          </w:tcPr>
          <w:p>
            <w:pPr>
              <w:jc w:val="center"/>
            </w:pPr>
            <w:r>
              <w:t>215.00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21.9</w:t>
            </w:r>
          </w:p>
        </w:tc>
        <w:tc>
          <w:tcPr>
            <w:vAlign w:val="center"/>
          </w:tcPr>
          <w:p>
            <w:pPr>
              <w:jc w:val="center"/>
            </w:pPr>
            <w:r>
              <w:t>74</w:t>
            </w:r>
          </w:p>
        </w:tc>
        <w:tc>
          <w:tcPr>
            <w:vAlign w:val="center"/>
          </w:tcPr>
          <w:p>
            <w:pPr>
              <w:jc w:val="center"/>
            </w:pPr>
            <w:r>
              <w:t>151.00</w:t>
            </w:r>
          </w:p>
        </w:tc>
        <w:tc>
          <w:tcPr>
            <w:vAlign w:val="center"/>
          </w:tcPr>
          <w:p>
            <w:pPr>
              <w:jc w:val="center"/>
            </w:pPr>
            <w:r>
              <w:t>127.00</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21.2</w:t>
            </w:r>
          </w:p>
        </w:tc>
        <w:tc>
          <w:tcPr>
            <w:vAlign w:val="center"/>
          </w:tcPr>
          <w:p>
            <w:pPr>
              <w:jc w:val="center"/>
            </w:pPr>
            <w:r>
              <w:t>77</w:t>
            </w:r>
          </w:p>
        </w:tc>
        <w:tc>
          <w:tcPr>
            <w:vAlign w:val="center"/>
          </w:tcPr>
          <w:p>
            <w:pPr>
              <w:jc w:val="center"/>
            </w:pPr>
            <w:r>
              <w:t>35.00</w:t>
            </w:r>
          </w:p>
        </w:tc>
        <w:tc>
          <w:tcPr>
            <w:vAlign w:val="center"/>
          </w:tcPr>
          <w:p>
            <w:pPr>
              <w:jc w:val="center"/>
            </w:pPr>
            <w:r>
              <w:t>32.00</w:t>
            </w:r>
          </w:p>
        </w:tc>
        <w:tc>
          <w:tcPr>
            <w:vAlign w:val="center"/>
          </w:tcPr>
          <w:p>
            <w:pPr>
              <w:jc w:val="center"/>
            </w:pPr>
            <w:r>
              <w:t>2.4</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20.5</w:t>
            </w:r>
          </w:p>
        </w:tc>
        <w:tc>
          <w:tcPr>
            <w:vAlign w:val="center"/>
          </w:tcPr>
          <w:p>
            <w:pPr>
              <w:jc w:val="center"/>
            </w:pPr>
            <w:r>
              <w:t>80</w:t>
            </w:r>
          </w:p>
        </w:tc>
        <w:tc>
          <w:tcPr>
            <w:vAlign w:val="center"/>
          </w:tcPr>
          <w:p>
            <w:pPr>
              <w:jc w:val="center"/>
            </w:pPr>
            <w:r>
              <w:t>0.00</w:t>
            </w:r>
          </w:p>
        </w:tc>
        <w:tc>
          <w:tcPr>
            <w:vAlign w:val="center"/>
          </w:tcPr>
          <w:p>
            <w:pPr>
              <w:jc w:val="center"/>
            </w:pPr>
            <w:r>
              <w:t>0.00</w:t>
            </w:r>
          </w:p>
        </w:tc>
        <w:tc>
          <w:tcPr>
            <w:vAlign w:val="center"/>
          </w:tcPr>
          <w:p>
            <w:pPr>
              <w:jc w:val="center"/>
            </w:pPr>
            <w:r>
              <w:t>1.9</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19.8</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1.8</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19.3</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19.0</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19.8</w:t>
            </w:r>
          </w:p>
        </w:tc>
        <w:tc>
          <w:tcPr>
            <w:vAlign w:val="center"/>
          </w:tcPr>
          <w:p>
            <w:pPr>
              <w:jc w:val="center"/>
            </w:pPr>
            <w:r>
              <w:t>82</w:t>
            </w:r>
          </w:p>
        </w:tc>
        <w:tc>
          <w:tcPr>
            <w:vAlign w:val="center"/>
          </w:tcPr>
          <w:p>
            <w:pPr>
              <w:jc w:val="center"/>
            </w:pPr>
            <w:r>
              <w:t>168.67</w:t>
            </w:r>
          </w:p>
        </w:tc>
        <w:tc>
          <w:tcPr>
            <w:vAlign w:val="center"/>
          </w:tcPr>
          <w:p>
            <w:pPr>
              <w:jc w:val="center"/>
            </w:pPr>
            <w:r>
              <w:t>130.79</w:t>
            </w:r>
          </w:p>
        </w:tc>
        <w:tc>
          <w:tcPr>
            <w:vAlign w:val="center"/>
          </w:tcPr>
          <w:p>
            <w:pPr>
              <w:jc w:val="center"/>
            </w:pPr>
            <w:r>
              <w:t>2.0</w:t>
            </w:r>
          </w:p>
        </w:tc>
        <w:tc>
          <w:tcPr>
            <w:vAlign w:val="center"/>
            <w:vMerge/>
          </w:tcPr>
          <w:p>
            <w:pPr>
              <w:jc w:val="center"/>
            </w:pPr>
          </w:p>
        </w:tc>
      </w:tr>
    </w:tbl>
    <w:p w:rsidR="009C3CAA" w:rsidRPr="009C3CAA" w:rsidRDefault="009C3CAA" w:rsidP="009C3CAA">
      <w:pPr>
        <w:pStyle w:val="a0"/>
        <w:ind w:firstLineChars="0" w:firstLine="0"/>
        <w:rPr>
          <w:lang w:val="en-US"/>
        </w:rPr>
      </w:pPr>
      <w:bookmarkStart w:id="32" w:name="气象参数"/>
      <w:bookmarkEnd w:id="32"/>
    </w:p>
    <w:p w:rsidR="009C3CAA" w:rsidRDefault="00613298" w:rsidP="009C3CAA">
      <w:pPr>
        <w:pStyle w:val="2"/>
      </w:pPr>
      <w:bookmarkStart w:id="33" w:name="_Toc16494751"/>
      <w:r>
        <w:rPr>
          <w:rFonts w:hint="eastAsia"/>
        </w:rPr>
        <w:t>渗透面夏季</w:t>
      </w:r>
      <w:r w:rsidR="009C3CAA">
        <w:rPr>
          <w:rFonts w:hint="eastAsia"/>
        </w:rPr>
        <w:t>逐时蒸发量</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c>
          <w:tcPr>
            <w:vAlign w:val="center"/>
            <w:shd w:val="clear" w:color="auto" w:fill="E6E6E6"/>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c>
          <w:tcPr>
            <w:vAlign w:val="center"/>
            <w:shd w:val="clear" w:color="auto" w:fill="E6E6E6"/>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c>
          <w:tcPr>
            <w:vAlign w:val="center"/>
            <w:shd w:val="clear" w:color="auto" w:fill="E6E6E6"/>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c>
          <w:tcPr>
            <w:vAlign w:val="center"/>
            <w:shd w:val="clear" w:color="auto" w:fill="E6E6E6"/>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c>
          <w:tcPr>
            <w:vAlign w:val="center"/>
            <w:shd w:val="clear" w:color="auto" w:fill="E6E6E6"/>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c>
          <w:tcPr>
            <w:vAlign w:val="center"/>
            <w:shd w:val="clear" w:color="auto" w:fill="E6E6E6"/>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c>
          <w:tcPr>
            <w:vAlign w:val="center"/>
            <w:shd w:val="clear" w:color="auto" w:fill="E6E6E6"/>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c>
          <w:tcPr>
            <w:vAlign w:val="center"/>
            <w:shd w:val="clear" w:color="auto" w:fill="E6E6E6"/>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c>
          <w:tcPr>
            <w:vAlign w:val="center"/>
            <w:shd w:val="clear" w:color="auto" w:fill="E6E6E6"/>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c>
          <w:tcPr>
            <w:vAlign w:val="center"/>
            <w:shd w:val="clear" w:color="auto" w:fill="E6E6E6"/>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c>
          <w:tcPr>
            <w:vAlign w:val="center"/>
            <w:shd w:val="clear" w:color="auto" w:fill="E6E6E6"/>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c>
          <w:tcPr>
            <w:vAlign w:val="center"/>
            <w:shd w:val="clear" w:color="auto" w:fill="E6E6E6"/>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c>
          <w:tcPr>
            <w:vAlign w:val="center"/>
            <w:shd w:val="clear" w:color="auto" w:fill="E6E6E6"/>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c>
          <w:tcPr>
            <w:vAlign w:val="center"/>
            <w:shd w:val="clear" w:color="auto" w:fill="E6E6E6"/>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c>
          <w:tcPr>
            <w:vAlign w:val="center"/>
            <w:shd w:val="clear" w:color="auto" w:fill="E6E6E6"/>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c>
          <w:tcPr>
            <w:vAlign w:val="center"/>
            <w:shd w:val="clear" w:color="auto" w:fill="E6E6E6"/>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c>
          <w:tcPr>
            <w:vAlign w:val="center"/>
            <w:shd w:val="clear" w:color="auto" w:fill="E6E6E6"/>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c>
          <w:tcPr>
            <w:vAlign w:val="center"/>
            <w:shd w:val="clear" w:color="auto" w:fill="E6E6E6"/>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c>
          <w:tcPr>
            <w:vAlign w:val="center"/>
            <w:shd w:val="clear" w:color="auto" w:fill="E6E6E6"/>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c>
          <w:tcPr>
            <w:vAlign w:val="center"/>
            <w:shd w:val="clear" w:color="auto" w:fill="E6E6E6"/>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c>
          <w:tcPr>
            <w:vAlign w:val="center"/>
            <w:shd w:val="clear" w:color="auto" w:fill="E6E6E6"/>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rsidR="009C3CAA" w:rsidRPr="009C3CAA" w:rsidRDefault="009C3CAA" w:rsidP="009C3CAA">
      <w:pPr>
        <w:pStyle w:val="a0"/>
        <w:ind w:firstLineChars="0" w:firstLine="0"/>
        <w:rPr>
          <w:lang w:val="en-US"/>
        </w:rPr>
      </w:pPr>
      <w:bookmarkStart w:id="34" w:name="蒸发量参数"/>
      <w:bookmarkEnd w:id="34"/>
    </w:p>
    <w:p w:rsidR="000B2FE8" w:rsidRDefault="00AA7C65" w:rsidP="000B2FE8">
      <w:pPr>
        <w:pStyle w:val="1"/>
      </w:pPr>
      <w:bookmarkStart w:id="35" w:name="_Toc16494752"/>
      <w:r>
        <w:rPr>
          <w:rFonts w:hint="eastAsia"/>
        </w:rPr>
        <w:t>指标概览</w:t>
      </w:r>
      <w:bookmarkEnd w:id="35"/>
    </w:p>
    <w:p w:rsidR="00141106" w:rsidRDefault="00141106" w:rsidP="00141106">
      <w:pPr>
        <w:pStyle w:val="2"/>
      </w:pPr>
      <w:bookmarkStart w:id="36" w:name="_Toc16494753"/>
      <w:r>
        <w:rPr>
          <w:rFonts w:hint="eastAsia"/>
        </w:rPr>
        <w:t>建筑列表</w:t>
      </w:r>
      <w:bookmarkEnd w:id="36"/>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r>
        <w:tc>
          <w:tcPr>
            <w:vAlign w:val="center"/>
            <w:shd w:val="clear" w:color="auto" w:fill="E6E6E6"/>
          </w:tcPr>
          <w:p>
            <w:pPr/>
            <w:r>
              <w:t>土掌房</w:t>
            </w:r>
          </w:p>
        </w:tc>
        <w:tc>
          <w:tcPr>
            <w:vAlign w:val="center"/>
          </w:tcPr>
          <w:p>
            <w:pPr/>
            <w:r>
              <w:t>1073.1</w:t>
            </w:r>
          </w:p>
        </w:tc>
        <w:tc>
          <w:tcPr>
            <w:vAlign w:val="center"/>
          </w:tcPr>
          <w:p>
            <w:pPr/>
            <w:r>
              <w:t>11.3</w:t>
            </w:r>
          </w:p>
        </w:tc>
        <w:tc>
          <w:tcPr>
            <w:vAlign w:val="center"/>
          </w:tcPr>
          <w:p>
            <w:pPr/>
            <w:r>
              <w:t>795.7</w:t>
            </w:r>
          </w:p>
        </w:tc>
        <w:tc>
          <w:tcPr>
            <w:vAlign w:val="center"/>
          </w:tcPr>
          <w:p>
            <w:pPr/>
            <w:r>
              <w:t>0.77</w:t>
            </w:r>
          </w:p>
        </w:tc>
        <w:tc>
          <w:tcPr>
            <w:vAlign w:val="center"/>
          </w:tcPr>
          <w:p>
            <w:pPr/>
            <w:r>
              <w:t>2.8</w:t>
            </w:r>
          </w:p>
        </w:tc>
      </w:tr>
    </w:tbl>
    <w:p w:rsidR="00141106" w:rsidRPr="00141106" w:rsidRDefault="00141106" w:rsidP="00141106">
      <w:pPr>
        <w:pStyle w:val="a0"/>
        <w:ind w:firstLine="420"/>
        <w:rPr>
          <w:lang w:val="en-US"/>
        </w:rPr>
      </w:pPr>
      <w:bookmarkStart w:id="37" w:name="建筑列表"/>
      <w:bookmarkEnd w:id="37"/>
    </w:p>
    <w:p w:rsidR="00141106" w:rsidRPr="00141106" w:rsidRDefault="00141106" w:rsidP="00141106">
      <w:pPr>
        <w:pStyle w:val="2"/>
      </w:pPr>
      <w:bookmarkStart w:id="38" w:name="_Toc16494754"/>
      <w:r>
        <w:rPr>
          <w:rFonts w:hint="eastAsia"/>
        </w:rPr>
        <w:t>住区指标</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2938.08</w:t>
            </w:r>
          </w:p>
        </w:tc>
      </w:tr>
      <w:tr>
        <w:tc>
          <w:tcPr>
            <w:vAlign w:val="center"/>
            <w:shd w:val="clear" w:color="auto" w:fill="E6E6E6"/>
          </w:tcPr>
          <w:p>
            <w:pPr/>
            <w:r>
              <w:t>建筑密度</w:t>
            </w:r>
          </w:p>
        </w:tc>
        <w:tc>
          <w:tcPr>
            <w:vAlign w:val="center"/>
          </w:tcPr>
          <w:p>
            <w:pPr/>
            <w:r>
              <w:t>0.37</w:t>
            </w:r>
          </w:p>
        </w:tc>
      </w:tr>
      <w:tr>
        <w:tc>
          <w:tcPr>
            <w:vAlign w:val="center"/>
            <w:shd w:val="clear" w:color="auto" w:fill="E6E6E6"/>
          </w:tcPr>
          <w:p>
            <w:pPr/>
            <w:r>
              <w:t>室外面积(㎡)</w:t>
            </w:r>
          </w:p>
        </w:tc>
        <w:tc>
          <w:tcPr>
            <w:vAlign w:val="center"/>
          </w:tcPr>
          <w:p>
            <w:pPr/>
            <w:r>
              <w:t>1864.94</w:t>
            </w:r>
          </w:p>
        </w:tc>
      </w:tr>
      <w:tr>
        <w:tc>
          <w:tcPr>
            <w:vAlign w:val="center"/>
            <w:shd w:val="clear" w:color="auto" w:fill="E6E6E6"/>
          </w:tcPr>
          <w:p>
            <w:pPr/>
            <w:r>
              <w:t>广场面积(㎡)</w:t>
            </w:r>
          </w:p>
        </w:tc>
        <w:tc>
          <w:tcPr>
            <w:vAlign w:val="center"/>
          </w:tcPr>
          <w:p>
            <w:pPr/>
            <w:r>
              <w:t>0.00</w:t>
            </w:r>
          </w:p>
        </w:tc>
      </w:tr>
      <w:tr>
        <w:tc>
          <w:tcPr>
            <w:vAlign w:val="center"/>
            <w:shd w:val="clear" w:color="auto" w:fill="E6E6E6"/>
          </w:tcPr>
          <w:p>
            <w:pPr/>
            <w:r>
              <w:t>道路面积(㎡)</w:t>
            </w:r>
          </w:p>
        </w:tc>
        <w:tc>
          <w:tcPr>
            <w:vAlign w:val="center"/>
          </w:tcPr>
          <w:p>
            <w:pPr/>
            <w:r>
              <w:t>1413.15</w:t>
            </w:r>
          </w:p>
        </w:tc>
      </w:tr>
      <w:tr>
        <w:tc>
          <w:tcPr>
            <w:vAlign w:val="center"/>
            <w:shd w:val="clear" w:color="auto" w:fill="E6E6E6"/>
          </w:tcPr>
          <w:p>
            <w:pPr/>
            <w:r>
              <w:t>绿地面积(㎡)</w:t>
            </w:r>
          </w:p>
        </w:tc>
        <w:tc>
          <w:tcPr>
            <w:vAlign w:val="center"/>
          </w:tcPr>
          <w:p>
            <w:pPr/>
            <w:r>
              <w:t>0.00</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794.88</w:t>
            </w:r>
          </w:p>
        </w:tc>
      </w:tr>
      <w:tr>
        <w:tc>
          <w:tcPr>
            <w:vAlign w:val="center"/>
            <w:shd w:val="clear" w:color="auto" w:fill="E6E6E6"/>
          </w:tcPr>
          <w:p>
            <w:pPr/>
            <w:r>
              <w:t>乔木爬藤面积(㎡)</w:t>
            </w:r>
          </w:p>
        </w:tc>
        <w:tc>
          <w:tcPr>
            <w:vAlign w:val="center"/>
          </w:tcPr>
          <w:p>
            <w:pPr/>
            <w:r>
              <w:t>703.83</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693.15</w:t>
            </w:r>
          </w:p>
        </w:tc>
      </w:tr>
      <w:tr>
        <w:tc>
          <w:tcPr>
            <w:vAlign w:val="center"/>
            <w:shd w:val="clear" w:color="auto" w:fill="E6E6E6"/>
          </w:tcPr>
          <w:p>
            <w:pPr/>
            <w:r>
              <w:t>地表平均太阳辐射吸收系数</w:t>
            </w:r>
          </w:p>
        </w:tc>
        <w:tc>
          <w:tcPr>
            <w:vAlign w:val="center"/>
          </w:tcPr>
          <w:p>
            <w:pPr/>
            <w:r>
              <w:t>0.74</w:t>
            </w:r>
          </w:p>
        </w:tc>
      </w:tr>
      <w:tr>
        <w:tc>
          <w:tcPr>
            <w:vAlign w:val="center"/>
            <w:shd w:val="clear" w:color="auto" w:fill="E6E6E6"/>
          </w:tcPr>
          <w:p>
            <w:pPr/>
            <w:r>
              <w:t>地面粗糙系数</w:t>
            </w:r>
          </w:p>
        </w:tc>
        <w:tc>
          <w:tcPr>
            <w:vAlign w:val="center"/>
          </w:tcPr>
          <w:p>
            <w:pPr/>
            <w:r>
              <w:t>0.16</w:t>
            </w:r>
          </w:p>
        </w:tc>
      </w:tr>
      <w:tr>
        <w:tc>
          <w:tcPr>
            <w:vAlign w:val="center"/>
            <w:shd w:val="clear" w:color="auto" w:fill="E6E6E6"/>
          </w:tcPr>
          <w:p>
            <w:pPr/>
            <w:r>
              <w:t>平均迎风面积比</w:t>
            </w:r>
          </w:p>
        </w:tc>
        <w:tc>
          <w:tcPr>
            <w:vAlign w:val="center"/>
          </w:tcPr>
          <w:p>
            <w:pPr/>
            <w:r>
              <w:t>0.93</w:t>
            </w:r>
          </w:p>
        </w:tc>
      </w:tr>
      <w:tr>
        <w:tc>
          <w:tcPr>
            <w:vAlign w:val="center"/>
            <w:shd w:val="clear" w:color="auto" w:fill="E6E6E6"/>
          </w:tcPr>
          <w:p>
            <w:pPr/>
            <w:r>
              <w:t>CTTC居住区热时间常数(h)</w:t>
            </w:r>
          </w:p>
        </w:tc>
        <w:tc>
          <w:tcPr>
            <w:vAlign w:val="center"/>
          </w:tcPr>
          <w:p>
            <w:pPr/>
            <w:r>
              <w:t>9.20</w:t>
            </w:r>
          </w:p>
        </w:tc>
      </w:tr>
      <w:tr>
        <w:tc>
          <w:tcPr>
            <w:vAlign w:val="center"/>
            <w:shd w:val="clear" w:color="auto" w:fill="E6E6E6"/>
          </w:tcPr>
          <w:p>
            <w:pPr/>
            <w:r>
              <w:t>绿化遮阳覆盖率(%)</w:t>
            </w:r>
          </w:p>
        </w:tc>
        <w:tc>
          <w:tcPr>
            <w:vAlign w:val="center"/>
          </w:tcPr>
          <w:p>
            <w:pPr/>
            <w:r>
              <w:t>38</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0.74</w:t>
            </w:r>
          </w:p>
        </w:tc>
      </w:tr>
      <w:tr>
        <w:tc>
          <w:tcPr>
            <w:vAlign w:val="center"/>
            <w:shd w:val="clear" w:color="auto" w:fill="E6E6E6"/>
          </w:tcPr>
          <w:p>
            <w:pPr/>
            <w:r>
              <w:t>通风架空率(%)</w:t>
            </w:r>
          </w:p>
        </w:tc>
        <w:tc>
          <w:tcPr>
            <w:vAlign w:val="center"/>
          </w:tcPr>
          <w:p>
            <w:pPr/>
            <w:r>
              <w:t>12</w:t>
            </w:r>
          </w:p>
        </w:tc>
      </w:tr>
    </w:tbl>
    <w:p w:rsidR="00C3317F" w:rsidRDefault="00C3317F" w:rsidP="00C3317F">
      <w:pPr>
        <w:pStyle w:val="a0"/>
        <w:ind w:firstLine="420"/>
        <w:rPr>
          <w:lang w:val="en-US"/>
        </w:rPr>
      </w:pPr>
      <w:bookmarkStart w:id="39" w:name="住区指标概览"/>
      <w:bookmarkEnd w:id="39"/>
    </w:p>
    <w:p w:rsidR="00B60BAD" w:rsidRDefault="00FC105B" w:rsidP="00B60BAD">
      <w:pPr>
        <w:pStyle w:val="1"/>
      </w:pPr>
      <w:bookmarkStart w:id="40" w:name="_Toc16494776"/>
      <w:r>
        <w:rPr>
          <w:rFonts w:hint="eastAsia"/>
        </w:rPr>
        <w:t>强</w:t>
      </w:r>
      <w:bookmarkEnd w:id="40"/>
      <w:r>
        <w:rPr>
          <w:rFonts w:hint="eastAsia"/>
        </w:rPr>
        <w:t>条</w:t>
      </w:r>
      <w:r>
        <w:t>检查</w:t>
      </w:r>
    </w:p>
    <w:p w:rsidR="00B60BAD" w:rsidRDefault="00B60BAD" w:rsidP="00B60BAD">
      <w:pPr>
        <w:pStyle w:val="2"/>
      </w:pPr>
      <w:bookmarkStart w:id="41" w:name="_Toc16494777"/>
      <w:r>
        <w:rPr>
          <w:rFonts w:hint="eastAsia"/>
        </w:rPr>
        <w:t>平均迎风面积比</w:t>
      </w:r>
      <w:bookmarkEnd w:id="4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迎风面积(㎡)</w:t>
            </w:r>
          </w:p>
        </w:tc>
        <w:tc>
          <w:tcPr>
            <w:vAlign w:val="center"/>
            <w:shd w:val="clear" w:color="auto" w:fill="E6E6E6"/>
          </w:tcPr>
          <w:p>
            <w:pPr>
              <w:jc w:val="center"/>
            </w:pPr>
            <w:r>
              <w:t>最大可能</w:t>
            </w:r>
            <w:r>
              <w:br/>
            </w:r>
            <w:r>
              <w:t>迎风面积(㎡)</w:t>
            </w:r>
          </w:p>
        </w:tc>
        <w:tc>
          <w:tcPr>
            <w:vAlign w:val="center"/>
            <w:shd w:val="clear" w:color="auto" w:fill="E6E6E6"/>
          </w:tcPr>
          <w:p>
            <w:pPr>
              <w:jc w:val="center"/>
            </w:pPr>
            <w:r>
              <w:t>最大可能</w:t>
            </w:r>
            <w:r>
              <w:br/>
            </w:r>
            <w:r>
              <w:t>迎风方向(°)</w:t>
            </w:r>
          </w:p>
        </w:tc>
        <w:tc>
          <w:tcPr>
            <w:vAlign w:val="center"/>
            <w:shd w:val="clear" w:color="auto" w:fill="E6E6E6"/>
          </w:tcPr>
          <w:p>
            <w:pPr>
              <w:jc w:val="center"/>
            </w:pPr>
            <w:r>
              <w:t>迎风面积比</w:t>
            </w:r>
          </w:p>
        </w:tc>
      </w:tr>
      <w:tr>
        <w:tc>
          <w:tcPr>
            <w:vAlign w:val="center"/>
            <w:shd w:val="clear" w:color="auto" w:fill="E6E6E6"/>
          </w:tcPr>
          <w:p>
            <w:pPr/>
            <w:r>
              <w:t>土掌房</w:t>
            </w:r>
          </w:p>
        </w:tc>
        <w:tc>
          <w:tcPr>
            <w:vAlign w:val="center"/>
          </w:tcPr>
          <w:p>
            <w:pPr/>
            <w:r>
              <w:t>295.88</w:t>
            </w:r>
          </w:p>
        </w:tc>
        <w:tc>
          <w:tcPr>
            <w:vAlign w:val="center"/>
          </w:tcPr>
          <w:p>
            <w:pPr/>
            <w:r>
              <w:t>385.27</w:t>
            </w:r>
          </w:p>
        </w:tc>
        <w:tc>
          <w:tcPr>
            <w:vAlign w:val="center"/>
          </w:tcPr>
          <w:p>
            <w:pPr/>
            <w:r>
              <w:t>60.00</w:t>
            </w:r>
          </w:p>
        </w:tc>
        <w:tc>
          <w:tcPr>
            <w:vAlign w:val="center"/>
          </w:tcPr>
          <w:p>
            <w:pPr/>
            <w:r>
              <w:t>0.7680</w:t>
            </w:r>
          </w:p>
        </w:tc>
      </w:tr>
      <w:tr>
        <w:tc>
          <w:tcPr>
            <w:vAlign w:val="center"/>
            <w:shd w:val="clear" w:color="auto" w:fill="E6E6E6"/>
          </w:tcPr>
          <w:p>
            <w:pPr/>
            <w:r>
              <w:t>平均迎风面积比</w:t>
            </w:r>
          </w:p>
        </w:tc>
        <w:tc>
          <w:tcPr>
            <w:vAlign w:val="center"/>
            <w:gridSpan w:val="4"/>
          </w:tcPr>
          <w:p>
            <w:pPr/>
            <w:r>
              <w:rPr>
                <w:b/>
              </w:rPr>
              <w:t>0.768</w:t>
            </w:r>
          </w:p>
        </w:tc>
      </w:tr>
      <w:tr>
        <w:tc>
          <w:tcPr>
            <w:vAlign w:val="center"/>
            <w:shd w:val="clear" w:color="auto" w:fill="E6E6E6"/>
          </w:tcPr>
          <w:p>
            <w:pPr/>
            <w:r>
              <w:t>依据</w:t>
            </w:r>
          </w:p>
        </w:tc>
        <w:tc>
          <w:tcPr>
            <w:vAlign w:val="center"/>
            <w:gridSpan w:val="4"/>
          </w:tcPr>
          <w:p>
            <w:pPr/>
            <w:r>
              <w:rPr>
                <w:b/>
              </w:rPr>
              <w:t>《城市居住区热环境设计标准》4.1.1条</w:t>
            </w:r>
          </w:p>
        </w:tc>
      </w:tr>
      <w:tr>
        <w:tc>
          <w:tcPr>
            <w:vAlign w:val="center"/>
            <w:shd w:val="clear" w:color="auto" w:fill="E6E6E6"/>
          </w:tcPr>
          <w:p>
            <w:pPr/>
            <w:r>
              <w:t>标准要求</w:t>
            </w:r>
          </w:p>
        </w:tc>
        <w:tc>
          <w:tcPr>
            <w:vAlign w:val="center"/>
            <w:gridSpan w:val="4"/>
          </w:tcPr>
          <w:p>
            <w:pPr/>
            <w:r>
              <w:rPr>
                <w:b/>
              </w:rPr>
              <w:t>平均迎风面积比≤0.80</w:t>
            </w:r>
          </w:p>
        </w:tc>
      </w:tr>
      <w:tr>
        <w:tc>
          <w:tcPr>
            <w:vAlign w:val="center"/>
            <w:shd w:val="clear" w:color="auto" w:fill="E6E6E6"/>
          </w:tcPr>
          <w:p>
            <w:pPr/>
            <w:r>
              <w:t>结论</w:t>
            </w:r>
          </w:p>
        </w:tc>
        <w:tc>
          <w:tcPr>
            <w:vAlign w:val="center"/>
            <w:gridSpan w:val="4"/>
          </w:tcPr>
          <w:p>
            <w:pPr/>
            <w:r>
              <w:rPr>
                <w:b/>
              </w:rPr>
              <w:t>满足</w:t>
            </w:r>
          </w:p>
        </w:tc>
      </w:tr>
    </w:tbl>
    <w:p w:rsidR="00B60BAD" w:rsidRPr="00B107D2" w:rsidRDefault="00B60BAD" w:rsidP="00B60BAD">
      <w:pPr>
        <w:pStyle w:val="a0"/>
        <w:ind w:firstLine="420"/>
        <w:rPr>
          <w:lang w:val="en-US"/>
        </w:rPr>
      </w:pPr>
      <w:bookmarkStart w:id="42" w:name="平均迎风面积比"/>
      <w:bookmarkEnd w:id="42"/>
    </w:p>
    <w:p w:rsidR="00B60BAD" w:rsidRDefault="00B60BAD" w:rsidP="00B60BAD">
      <w:pPr>
        <w:pStyle w:val="2"/>
      </w:pPr>
      <w:bookmarkStart w:id="43" w:name="_Toc16494778"/>
      <w:r>
        <w:rPr>
          <w:rFonts w:hint="eastAsia"/>
        </w:rPr>
        <w:t>活动场地遮阳覆盖率</w:t>
      </w:r>
      <w:bookmarkEnd w:id="4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场地</w:t>
            </w:r>
          </w:p>
        </w:tc>
        <w:tc>
          <w:tcPr>
            <w:vAlign w:val="center"/>
            <w:shd w:val="clear" w:color="auto" w:fill="E6E6E6"/>
          </w:tcPr>
          <w:p>
            <w:pPr>
              <w:jc w:val="center"/>
            </w:pPr>
            <w:r>
              <w:t>遮阳面积(㎡)</w:t>
            </w:r>
          </w:p>
        </w:tc>
        <w:tc>
          <w:tcPr>
            <w:vAlign w:val="center"/>
            <w:shd w:val="clear" w:color="auto" w:fill="E6E6E6"/>
          </w:tcPr>
          <w:p>
            <w:pPr>
              <w:jc w:val="center"/>
            </w:pPr>
            <w:r>
              <w:t>场地面积(㎡)</w:t>
            </w:r>
          </w:p>
        </w:tc>
        <w:tc>
          <w:tcPr>
            <w:vAlign w:val="center"/>
            <w:shd w:val="clear" w:color="auto" w:fill="E6E6E6"/>
          </w:tcPr>
          <w:p>
            <w:pPr>
              <w:jc w:val="center"/>
            </w:pPr>
            <w:r>
              <w:t>遮阳覆盖率(%)</w:t>
            </w:r>
          </w:p>
        </w:tc>
        <w:tc>
          <w:tcPr>
            <w:vAlign w:val="center"/>
            <w:shd w:val="clear" w:color="auto" w:fill="E6E6E6"/>
          </w:tcPr>
          <w:p>
            <w:pPr>
              <w:jc w:val="center"/>
            </w:pPr>
            <w:r>
              <w:t>覆盖率限值(%)</w:t>
            </w:r>
          </w:p>
        </w:tc>
      </w:tr>
      <w:tr>
        <w:tc>
          <w:tcPr>
            <w:vAlign w:val="center"/>
            <w:shd w:val="clear" w:color="auto" w:fill="E6E6E6"/>
          </w:tcPr>
          <w:p>
            <w:pPr/>
            <w:r>
              <w:t>人行道</w:t>
            </w:r>
          </w:p>
        </w:tc>
        <w:tc>
          <w:tcPr>
            <w:vAlign w:val="center"/>
          </w:tcPr>
          <w:p>
            <w:pPr/>
            <w:r>
              <w:t>415.8</w:t>
            </w:r>
          </w:p>
        </w:tc>
        <w:tc>
          <w:tcPr>
            <w:vAlign w:val="center"/>
          </w:tcPr>
          <w:p>
            <w:pPr/>
            <w:r>
              <w:t>693.1</w:t>
            </w:r>
          </w:p>
        </w:tc>
        <w:tc>
          <w:tcPr>
            <w:vAlign w:val="center"/>
          </w:tcPr>
          <w:p>
            <w:pPr/>
            <w:r>
              <w:t>60</w:t>
            </w:r>
          </w:p>
        </w:tc>
        <w:tc>
          <w:tcPr>
            <w:vAlign w:val="center"/>
          </w:tcPr>
          <w:p>
            <w:pPr/>
            <w:r>
              <w:t>50</w:t>
            </w:r>
          </w:p>
        </w:tc>
      </w:tr>
      <w:tr>
        <w:tc>
          <w:tcPr>
            <w:vAlign w:val="center"/>
            <w:shd w:val="clear" w:color="auto" w:fill="E6E6E6"/>
          </w:tcPr>
          <w:p>
            <w:pPr/>
            <w:r>
              <w:t>依据</w:t>
            </w:r>
          </w:p>
        </w:tc>
        <w:tc>
          <w:tcPr>
            <w:vAlign w:val="center"/>
            <w:gridSpan w:val="4"/>
          </w:tcPr>
          <w:p>
            <w:pPr/>
            <w:r>
              <w:rPr>
                <w:b/>
              </w:rPr>
              <w:t>《城市居住区热环境设计标准》4.2.1条</w:t>
            </w:r>
          </w:p>
        </w:tc>
      </w:tr>
      <w:tr>
        <w:tc>
          <w:tcPr>
            <w:vAlign w:val="center"/>
            <w:shd w:val="clear" w:color="auto" w:fill="E6E6E6"/>
          </w:tcPr>
          <w:p>
            <w:pPr/>
            <w:r>
              <w:t>标准要求</w:t>
            </w:r>
          </w:p>
        </w:tc>
        <w:tc>
          <w:tcPr>
            <w:vAlign w:val="center"/>
            <w:gridSpan w:val="4"/>
          </w:tcPr>
          <w:p>
            <w:pPr/>
            <w:r>
              <w:rPr>
                <w:b/>
              </w:rPr>
              <w:t>各类活动场地遮阳覆盖率不得低于标准要求限值</w:t>
            </w:r>
          </w:p>
        </w:tc>
      </w:tr>
      <w:tr>
        <w:tc>
          <w:tcPr>
            <w:vAlign w:val="center"/>
            <w:shd w:val="clear" w:color="auto" w:fill="E6E6E6"/>
          </w:tcPr>
          <w:p>
            <w:pPr/>
            <w:r>
              <w:t>结论</w:t>
            </w:r>
          </w:p>
        </w:tc>
        <w:tc>
          <w:tcPr>
            <w:vAlign w:val="center"/>
            <w:gridSpan w:val="4"/>
          </w:tcPr>
          <w:p>
            <w:pPr/>
            <w:r>
              <w:rPr>
                <w:b/>
              </w:rPr>
              <w:t>满足</w:t>
            </w:r>
          </w:p>
        </w:tc>
      </w:tr>
    </w:tbl>
    <w:p w:rsidR="00B60BAD" w:rsidRPr="002B4464" w:rsidRDefault="00B60BAD" w:rsidP="00B60BAD">
      <w:pPr>
        <w:pStyle w:val="a0"/>
        <w:ind w:firstLine="420"/>
        <w:rPr>
          <w:lang w:val="en-US"/>
        </w:rPr>
      </w:pPr>
      <w:bookmarkStart w:id="44" w:name="活动场地遮阳覆盖率"/>
      <w:bookmarkEnd w:id="44"/>
    </w:p>
    <w:p w:rsidR="00B60BAD" w:rsidRDefault="00B60BAD" w:rsidP="00C3317F">
      <w:pPr>
        <w:pStyle w:val="a0"/>
        <w:ind w:firstLine="420"/>
        <w:rPr>
          <w:lang w:val="en-US"/>
        </w:rPr>
      </w:pPr>
    </w:p>
    <w:p w:rsidR="00C02441" w:rsidRDefault="00C02441" w:rsidP="00C02441">
      <w:pPr>
        <w:pStyle w:val="1"/>
      </w:pPr>
      <w:bookmarkStart w:id="45" w:name="_Toc16494783"/>
      <w:r>
        <w:rPr>
          <w:rFonts w:hint="eastAsia"/>
        </w:rPr>
        <w:lastRenderedPageBreak/>
        <w:t>评价性设计</w:t>
      </w:r>
      <w:bookmarkEnd w:id="45"/>
    </w:p>
    <w:p w:rsidR="00C02441" w:rsidRDefault="00C02441" w:rsidP="00C02441">
      <w:pPr>
        <w:pStyle w:val="2"/>
      </w:pPr>
      <w:bookmarkStart w:id="46" w:name="_Toc16494784"/>
      <w:r>
        <w:rPr>
          <w:rFonts w:hint="eastAsia"/>
        </w:rPr>
        <w:t>平均热岛强度</w:t>
      </w:r>
      <w:bookmarkEnd w:id="4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9:00</w:t>
            </w:r>
          </w:p>
        </w:tc>
        <w:tc>
          <w:tcPr>
            <w:vAlign w:val="center"/>
          </w:tcPr>
          <w:p>
            <w:pPr/>
            <w:r>
              <w:t>19.9</w:t>
            </w:r>
          </w:p>
        </w:tc>
        <w:tc>
          <w:tcPr>
            <w:vAlign w:val="center"/>
          </w:tcPr>
          <w:p>
            <w:pPr/>
            <w:r>
              <w:t>1.4</w:t>
            </w:r>
          </w:p>
        </w:tc>
        <w:tc>
          <w:tcPr>
            <w:vAlign w:val="center"/>
          </w:tcPr>
          <w:p>
            <w:pPr/>
            <w:r>
              <w:t>3.9</w:t>
            </w:r>
          </w:p>
        </w:tc>
        <w:tc>
          <w:tcPr>
            <w:vAlign w:val="center"/>
          </w:tcPr>
          <w:p>
            <w:pPr/>
            <w:r>
              <w:t>0.7</w:t>
            </w:r>
          </w:p>
        </w:tc>
        <w:tc>
          <w:tcPr>
            <w:vAlign w:val="center"/>
          </w:tcPr>
          <w:p>
            <w:pPr/>
            <w:r>
              <w:t>16.7</w:t>
            </w:r>
          </w:p>
        </w:tc>
        <w:tc>
          <w:tcPr>
            <w:vAlign w:val="center"/>
          </w:tcPr>
          <w:p>
            <w:pPr/>
            <w:r>
              <w:t>19.4</w:t>
            </w:r>
          </w:p>
        </w:tc>
        <w:tc>
          <w:tcPr>
            <w:vAlign w:val="center"/>
          </w:tcPr>
          <w:p>
            <w:pPr/>
            <w:r>
              <w:t>-2.740</w:t>
            </w:r>
          </w:p>
        </w:tc>
      </w:tr>
      <w:tr>
        <w:tc>
          <w:tcPr>
            <w:vAlign w:val="center"/>
            <w:shd w:val="clear" w:color="auto" w:fill="E6E6E6"/>
          </w:tcPr>
          <w:p>
            <w:pPr/>
            <w:r>
              <w:t>10:00</w:t>
            </w:r>
          </w:p>
        </w:tc>
        <w:tc>
          <w:tcPr>
            <w:vAlign w:val="center"/>
          </w:tcPr>
          <w:p>
            <w:pPr/>
            <w:r>
              <w:t>19.9</w:t>
            </w:r>
          </w:p>
        </w:tc>
        <w:tc>
          <w:tcPr>
            <w:vAlign w:val="center"/>
          </w:tcPr>
          <w:p>
            <w:pPr/>
            <w:r>
              <w:t>2.4</w:t>
            </w:r>
          </w:p>
        </w:tc>
        <w:tc>
          <w:tcPr>
            <w:vAlign w:val="center"/>
          </w:tcPr>
          <w:p>
            <w:pPr/>
            <w:r>
              <w:t>3.5</w:t>
            </w:r>
          </w:p>
        </w:tc>
        <w:tc>
          <w:tcPr>
            <w:vAlign w:val="center"/>
          </w:tcPr>
          <w:p>
            <w:pPr/>
            <w:r>
              <w:t>0.7</w:t>
            </w:r>
          </w:p>
        </w:tc>
        <w:tc>
          <w:tcPr>
            <w:vAlign w:val="center"/>
          </w:tcPr>
          <w:p>
            <w:pPr/>
            <w:r>
              <w:t>18.1</w:t>
            </w:r>
          </w:p>
        </w:tc>
        <w:tc>
          <w:tcPr>
            <w:vAlign w:val="center"/>
          </w:tcPr>
          <w:p>
            <w:pPr/>
            <w:r>
              <w:t>20.3</w:t>
            </w:r>
          </w:p>
        </w:tc>
        <w:tc>
          <w:tcPr>
            <w:vAlign w:val="center"/>
          </w:tcPr>
          <w:p>
            <w:pPr/>
            <w:r>
              <w:t>-2.221</w:t>
            </w:r>
          </w:p>
        </w:tc>
      </w:tr>
      <w:tr>
        <w:tc>
          <w:tcPr>
            <w:vAlign w:val="center"/>
            <w:shd w:val="clear" w:color="auto" w:fill="E6E6E6"/>
          </w:tcPr>
          <w:p>
            <w:pPr/>
            <w:r>
              <w:t>11:00</w:t>
            </w:r>
          </w:p>
        </w:tc>
        <w:tc>
          <w:tcPr>
            <w:vAlign w:val="center"/>
          </w:tcPr>
          <w:p>
            <w:pPr/>
            <w:r>
              <w:t>19.9</w:t>
            </w:r>
          </w:p>
        </w:tc>
        <w:tc>
          <w:tcPr>
            <w:vAlign w:val="center"/>
          </w:tcPr>
          <w:p>
            <w:pPr/>
            <w:r>
              <w:t>3.6</w:t>
            </w:r>
          </w:p>
        </w:tc>
        <w:tc>
          <w:tcPr>
            <w:vAlign w:val="center"/>
          </w:tcPr>
          <w:p>
            <w:pPr/>
            <w:r>
              <w:t>3.5</w:t>
            </w:r>
          </w:p>
        </w:tc>
        <w:tc>
          <w:tcPr>
            <w:vAlign w:val="center"/>
          </w:tcPr>
          <w:p>
            <w:pPr/>
            <w:r>
              <w:t>0.7</w:t>
            </w:r>
          </w:p>
        </w:tc>
        <w:tc>
          <w:tcPr>
            <w:vAlign w:val="center"/>
          </w:tcPr>
          <w:p>
            <w:pPr/>
            <w:r>
              <w:t>19.3</w:t>
            </w:r>
          </w:p>
        </w:tc>
        <w:tc>
          <w:tcPr>
            <w:vAlign w:val="center"/>
          </w:tcPr>
          <w:p>
            <w:pPr/>
            <w:r>
              <w:t>21.1</w:t>
            </w:r>
          </w:p>
        </w:tc>
        <w:tc>
          <w:tcPr>
            <w:vAlign w:val="center"/>
          </w:tcPr>
          <w:p>
            <w:pPr/>
            <w:r>
              <w:t>-1.841</w:t>
            </w:r>
          </w:p>
        </w:tc>
      </w:tr>
      <w:tr>
        <w:tc>
          <w:tcPr>
            <w:vAlign w:val="center"/>
            <w:shd w:val="clear" w:color="auto" w:fill="E6E6E6"/>
          </w:tcPr>
          <w:p>
            <w:pPr/>
            <w:r>
              <w:t>12:00</w:t>
            </w:r>
          </w:p>
        </w:tc>
        <w:tc>
          <w:tcPr>
            <w:vAlign w:val="center"/>
          </w:tcPr>
          <w:p>
            <w:pPr/>
            <w:r>
              <w:t>19.9</w:t>
            </w:r>
          </w:p>
        </w:tc>
        <w:tc>
          <w:tcPr>
            <w:vAlign w:val="center"/>
          </w:tcPr>
          <w:p>
            <w:pPr/>
            <w:r>
              <w:t>4.8</w:t>
            </w:r>
          </w:p>
        </w:tc>
        <w:tc>
          <w:tcPr>
            <w:vAlign w:val="center"/>
          </w:tcPr>
          <w:p>
            <w:pPr/>
            <w:r>
              <w:t>3.5</w:t>
            </w:r>
          </w:p>
        </w:tc>
        <w:tc>
          <w:tcPr>
            <w:vAlign w:val="center"/>
          </w:tcPr>
          <w:p>
            <w:pPr/>
            <w:r>
              <w:t>0.7</w:t>
            </w:r>
          </w:p>
        </w:tc>
        <w:tc>
          <w:tcPr>
            <w:vAlign w:val="center"/>
          </w:tcPr>
          <w:p>
            <w:pPr/>
            <w:r>
              <w:t>20.6</w:t>
            </w:r>
          </w:p>
        </w:tc>
        <w:tc>
          <w:tcPr>
            <w:vAlign w:val="center"/>
          </w:tcPr>
          <w:p>
            <w:pPr/>
            <w:r>
              <w:t>21.8</w:t>
            </w:r>
          </w:p>
        </w:tc>
        <w:tc>
          <w:tcPr>
            <w:vAlign w:val="center"/>
          </w:tcPr>
          <w:p>
            <w:pPr/>
            <w:r>
              <w:t>-1.231</w:t>
            </w:r>
          </w:p>
        </w:tc>
      </w:tr>
      <w:tr>
        <w:tc>
          <w:tcPr>
            <w:vAlign w:val="center"/>
            <w:shd w:val="clear" w:color="auto" w:fill="E6E6E6"/>
          </w:tcPr>
          <w:p>
            <w:pPr/>
            <w:r>
              <w:t>13:00</w:t>
            </w:r>
          </w:p>
        </w:tc>
        <w:tc>
          <w:tcPr>
            <w:vAlign w:val="center"/>
          </w:tcPr>
          <w:p>
            <w:pPr/>
            <w:r>
              <w:t>19.9</w:t>
            </w:r>
          </w:p>
        </w:tc>
        <w:tc>
          <w:tcPr>
            <w:vAlign w:val="center"/>
          </w:tcPr>
          <w:p>
            <w:pPr/>
            <w:r>
              <w:t>6.0</w:t>
            </w:r>
          </w:p>
        </w:tc>
        <w:tc>
          <w:tcPr>
            <w:vAlign w:val="center"/>
          </w:tcPr>
          <w:p>
            <w:pPr/>
            <w:r>
              <w:t>3.5</w:t>
            </w:r>
          </w:p>
        </w:tc>
        <w:tc>
          <w:tcPr>
            <w:vAlign w:val="center"/>
          </w:tcPr>
          <w:p>
            <w:pPr/>
            <w:r>
              <w:t>0.6</w:t>
            </w:r>
          </w:p>
        </w:tc>
        <w:tc>
          <w:tcPr>
            <w:vAlign w:val="center"/>
          </w:tcPr>
          <w:p>
            <w:pPr/>
            <w:r>
              <w:t>21.8</w:t>
            </w:r>
          </w:p>
        </w:tc>
        <w:tc>
          <w:tcPr>
            <w:vAlign w:val="center"/>
          </w:tcPr>
          <w:p>
            <w:pPr/>
            <w:r>
              <w:t>22.3</w:t>
            </w:r>
          </w:p>
        </w:tc>
        <w:tc>
          <w:tcPr>
            <w:vAlign w:val="center"/>
          </w:tcPr>
          <w:p>
            <w:pPr/>
            <w:r>
              <w:t>-0.478</w:t>
            </w:r>
          </w:p>
        </w:tc>
      </w:tr>
      <w:tr>
        <w:tc>
          <w:tcPr>
            <w:vAlign w:val="center"/>
            <w:shd w:val="clear" w:color="auto" w:fill="E6E6E6"/>
          </w:tcPr>
          <w:p>
            <w:pPr/>
            <w:r>
              <w:t>14:00</w:t>
            </w:r>
          </w:p>
        </w:tc>
        <w:tc>
          <w:tcPr>
            <w:vAlign w:val="center"/>
          </w:tcPr>
          <w:p>
            <w:pPr/>
            <w:r>
              <w:t>19.9</w:t>
            </w:r>
          </w:p>
        </w:tc>
        <w:tc>
          <w:tcPr>
            <w:vAlign w:val="center"/>
          </w:tcPr>
          <w:p>
            <w:pPr/>
            <w:r>
              <w:t>6.9</w:t>
            </w:r>
          </w:p>
        </w:tc>
        <w:tc>
          <w:tcPr>
            <w:vAlign w:val="center"/>
          </w:tcPr>
          <w:p>
            <w:pPr/>
            <w:r>
              <w:t>3.5</w:t>
            </w:r>
          </w:p>
        </w:tc>
        <w:tc>
          <w:tcPr>
            <w:vAlign w:val="center"/>
          </w:tcPr>
          <w:p>
            <w:pPr/>
            <w:r>
              <w:t>0.4</w:t>
            </w:r>
          </w:p>
        </w:tc>
        <w:tc>
          <w:tcPr>
            <w:vAlign w:val="center"/>
          </w:tcPr>
          <w:p>
            <w:pPr/>
            <w:r>
              <w:t>22.9</w:t>
            </w:r>
          </w:p>
        </w:tc>
        <w:tc>
          <w:tcPr>
            <w:vAlign w:val="center"/>
          </w:tcPr>
          <w:p>
            <w:pPr/>
            <w:r>
              <w:t>22.5</w:t>
            </w:r>
          </w:p>
        </w:tc>
        <w:tc>
          <w:tcPr>
            <w:vAlign w:val="center"/>
          </w:tcPr>
          <w:p>
            <w:pPr/>
            <w:r>
              <w:t>0.449</w:t>
            </w:r>
          </w:p>
        </w:tc>
      </w:tr>
      <w:tr>
        <w:tc>
          <w:tcPr>
            <w:vAlign w:val="center"/>
            <w:shd w:val="clear" w:color="auto" w:fill="E6E6E6"/>
          </w:tcPr>
          <w:p>
            <w:pPr/>
            <w:r>
              <w:t>15:00</w:t>
            </w:r>
          </w:p>
        </w:tc>
        <w:tc>
          <w:tcPr>
            <w:vAlign w:val="center"/>
          </w:tcPr>
          <w:p>
            <w:pPr/>
            <w:r>
              <w:t>19.9</w:t>
            </w:r>
          </w:p>
        </w:tc>
        <w:tc>
          <w:tcPr>
            <w:vAlign w:val="center"/>
          </w:tcPr>
          <w:p>
            <w:pPr/>
            <w:r>
              <w:t>7.6</w:t>
            </w:r>
          </w:p>
        </w:tc>
        <w:tc>
          <w:tcPr>
            <w:vAlign w:val="center"/>
          </w:tcPr>
          <w:p>
            <w:pPr/>
            <w:r>
              <w:t>3.4</w:t>
            </w:r>
          </w:p>
        </w:tc>
        <w:tc>
          <w:tcPr>
            <w:vAlign w:val="center"/>
          </w:tcPr>
          <w:p>
            <w:pPr/>
            <w:r>
              <w:t>0.4</w:t>
            </w:r>
          </w:p>
        </w:tc>
        <w:tc>
          <w:tcPr>
            <w:vAlign w:val="center"/>
          </w:tcPr>
          <w:p>
            <w:pPr/>
            <w:r>
              <w:t>23.7</w:t>
            </w:r>
          </w:p>
        </w:tc>
        <w:tc>
          <w:tcPr>
            <w:vAlign w:val="center"/>
          </w:tcPr>
          <w:p>
            <w:pPr/>
            <w:r>
              <w:t>22.4</w:t>
            </w:r>
          </w:p>
        </w:tc>
        <w:tc>
          <w:tcPr>
            <w:vAlign w:val="center"/>
          </w:tcPr>
          <w:p>
            <w:pPr/>
            <w:r>
              <w:t>1.313</w:t>
            </w:r>
          </w:p>
        </w:tc>
      </w:tr>
      <w:tr>
        <w:tc>
          <w:tcPr>
            <w:vAlign w:val="center"/>
            <w:shd w:val="clear" w:color="auto" w:fill="E6E6E6"/>
          </w:tcPr>
          <w:p>
            <w:pPr/>
            <w:r>
              <w:t>16:00</w:t>
            </w:r>
          </w:p>
        </w:tc>
        <w:tc>
          <w:tcPr>
            <w:vAlign w:val="center"/>
          </w:tcPr>
          <w:p>
            <w:pPr/>
            <w:r>
              <w:t>19.9</w:t>
            </w:r>
          </w:p>
        </w:tc>
        <w:tc>
          <w:tcPr>
            <w:vAlign w:val="center"/>
          </w:tcPr>
          <w:p>
            <w:pPr/>
            <w:r>
              <w:t>7.9</w:t>
            </w:r>
          </w:p>
        </w:tc>
        <w:tc>
          <w:tcPr>
            <w:vAlign w:val="center"/>
          </w:tcPr>
          <w:p>
            <w:pPr/>
            <w:r>
              <w:t>3.4</w:t>
            </w:r>
          </w:p>
        </w:tc>
        <w:tc>
          <w:tcPr>
            <w:vAlign w:val="center"/>
          </w:tcPr>
          <w:p>
            <w:pPr/>
            <w:r>
              <w:t>0.3</w:t>
            </w:r>
          </w:p>
        </w:tc>
        <w:tc>
          <w:tcPr>
            <w:vAlign w:val="center"/>
          </w:tcPr>
          <w:p>
            <w:pPr/>
            <w:r>
              <w:t>24.1</w:t>
            </w:r>
          </w:p>
        </w:tc>
        <w:tc>
          <w:tcPr>
            <w:vAlign w:val="center"/>
          </w:tcPr>
          <w:p>
            <w:pPr/>
            <w:r>
              <w:t>22.2</w:t>
            </w:r>
          </w:p>
        </w:tc>
        <w:tc>
          <w:tcPr>
            <w:vAlign w:val="center"/>
          </w:tcPr>
          <w:p>
            <w:pPr/>
            <w:r>
              <w:t>1.947</w:t>
            </w:r>
          </w:p>
        </w:tc>
      </w:tr>
      <w:tr>
        <w:tc>
          <w:tcPr>
            <w:vAlign w:val="center"/>
            <w:shd w:val="clear" w:color="auto" w:fill="E6E6E6"/>
          </w:tcPr>
          <w:p>
            <w:pPr/>
            <w:r>
              <w:t>17:00</w:t>
            </w:r>
          </w:p>
        </w:tc>
        <w:tc>
          <w:tcPr>
            <w:vAlign w:val="center"/>
          </w:tcPr>
          <w:p>
            <w:pPr/>
            <w:r>
              <w:t>19.9</w:t>
            </w:r>
          </w:p>
        </w:tc>
        <w:tc>
          <w:tcPr>
            <w:vAlign w:val="center"/>
          </w:tcPr>
          <w:p>
            <w:pPr/>
            <w:r>
              <w:t>8.0</w:t>
            </w:r>
          </w:p>
        </w:tc>
        <w:tc>
          <w:tcPr>
            <w:vAlign w:val="center"/>
          </w:tcPr>
          <w:p>
            <w:pPr/>
            <w:r>
              <w:t>3.4</w:t>
            </w:r>
          </w:p>
        </w:tc>
        <w:tc>
          <w:tcPr>
            <w:vAlign w:val="center"/>
          </w:tcPr>
          <w:p>
            <w:pPr/>
            <w:r>
              <w:t>0.2</w:t>
            </w:r>
          </w:p>
        </w:tc>
        <w:tc>
          <w:tcPr>
            <w:vAlign w:val="center"/>
          </w:tcPr>
          <w:p>
            <w:pPr/>
            <w:r>
              <w:t>24.3</w:t>
            </w:r>
          </w:p>
        </w:tc>
        <w:tc>
          <w:tcPr>
            <w:vAlign w:val="center"/>
          </w:tcPr>
          <w:p>
            <w:pPr/>
            <w:r>
              <w:t>21.8</w:t>
            </w:r>
          </w:p>
        </w:tc>
        <w:tc>
          <w:tcPr>
            <w:vAlign w:val="center"/>
          </w:tcPr>
          <w:p>
            <w:pPr/>
            <w:r>
              <w:t>2.475</w:t>
            </w:r>
          </w:p>
        </w:tc>
      </w:tr>
      <w:tr>
        <w:tc>
          <w:tcPr>
            <w:vAlign w:val="center"/>
            <w:shd w:val="clear" w:color="auto" w:fill="E6E6E6"/>
          </w:tcPr>
          <w:p>
            <w:pPr/>
            <w:r>
              <w:t>18:00</w:t>
            </w:r>
          </w:p>
        </w:tc>
        <w:tc>
          <w:tcPr>
            <w:vAlign w:val="center"/>
          </w:tcPr>
          <w:p>
            <w:pPr/>
            <w:r>
              <w:t>19.9</w:t>
            </w:r>
          </w:p>
        </w:tc>
        <w:tc>
          <w:tcPr>
            <w:vAlign w:val="center"/>
          </w:tcPr>
          <w:p>
            <w:pPr/>
            <w:r>
              <w:t>7.7</w:t>
            </w:r>
          </w:p>
        </w:tc>
        <w:tc>
          <w:tcPr>
            <w:vAlign w:val="center"/>
          </w:tcPr>
          <w:p>
            <w:pPr/>
            <w:r>
              <w:t>3.4</w:t>
            </w:r>
          </w:p>
        </w:tc>
        <w:tc>
          <w:tcPr>
            <w:vAlign w:val="center"/>
          </w:tcPr>
          <w:p>
            <w:pPr/>
            <w:r>
              <w:t>0.1</w:t>
            </w:r>
          </w:p>
        </w:tc>
        <w:tc>
          <w:tcPr>
            <w:vAlign w:val="center"/>
          </w:tcPr>
          <w:p>
            <w:pPr/>
            <w:r>
              <w:t>24.1</w:t>
            </w:r>
          </w:p>
        </w:tc>
        <w:tc>
          <w:tcPr>
            <w:vAlign w:val="center"/>
          </w:tcPr>
          <w:p>
            <w:pPr/>
            <w:r>
              <w:t>21.3</w:t>
            </w:r>
          </w:p>
        </w:tc>
        <w:tc>
          <w:tcPr>
            <w:vAlign w:val="center"/>
          </w:tcPr>
          <w:p>
            <w:pPr/>
            <w:r>
              <w:t>2.769</w:t>
            </w:r>
          </w:p>
        </w:tc>
      </w:tr>
      <w:tr>
        <w:tc>
          <w:tcPr>
            <w:vAlign w:val="center"/>
            <w:shd w:val="clear" w:color="auto" w:fill="E6E6E6"/>
          </w:tcPr>
          <w:p>
            <w:pPr/>
            <w:r>
              <w:t>19:00</w:t>
            </w:r>
          </w:p>
        </w:tc>
        <w:tc>
          <w:tcPr>
            <w:vAlign w:val="center"/>
          </w:tcPr>
          <w:p>
            <w:pPr/>
            <w:r>
              <w:t>19.9</w:t>
            </w:r>
          </w:p>
        </w:tc>
        <w:tc>
          <w:tcPr>
            <w:vAlign w:val="center"/>
          </w:tcPr>
          <w:p>
            <w:pPr/>
            <w:r>
              <w:t>7.2</w:t>
            </w:r>
          </w:p>
        </w:tc>
        <w:tc>
          <w:tcPr>
            <w:vAlign w:val="center"/>
          </w:tcPr>
          <w:p>
            <w:pPr/>
            <w:r>
              <w:t>3.4</w:t>
            </w:r>
          </w:p>
        </w:tc>
        <w:tc>
          <w:tcPr>
            <w:vAlign w:val="center"/>
          </w:tcPr>
          <w:p>
            <w:pPr/>
            <w:r>
              <w:t>0.1</w:t>
            </w:r>
          </w:p>
        </w:tc>
        <w:tc>
          <w:tcPr>
            <w:vAlign w:val="center"/>
          </w:tcPr>
          <w:p>
            <w:pPr/>
            <w:r>
              <w:t>23.6</w:t>
            </w:r>
          </w:p>
        </w:tc>
        <w:tc>
          <w:tcPr>
            <w:vAlign w:val="center"/>
          </w:tcPr>
          <w:p>
            <w:pPr/>
            <w:r>
              <w:t>20.8</w:t>
            </w:r>
          </w:p>
        </w:tc>
        <w:tc>
          <w:tcPr>
            <w:vAlign w:val="center"/>
          </w:tcPr>
          <w:p>
            <w:pPr/>
            <w:r>
              <w:t>2.795</w:t>
            </w:r>
          </w:p>
        </w:tc>
      </w:tr>
      <w:tr>
        <w:tc>
          <w:tcPr>
            <w:vAlign w:val="center"/>
            <w:shd w:val="clear" w:color="auto" w:fill="E6E6E6"/>
          </w:tcPr>
          <w:p>
            <w:pPr/>
            <w:r>
              <w:t>平均热岛</w:t>
            </w:r>
            <w:r>
              <w:br/>
            </w:r>
            <w:r>
              <w:t>强度(℃)</w:t>
            </w:r>
          </w:p>
        </w:tc>
        <w:tc>
          <w:tcPr>
            <w:vAlign w:val="center"/>
            <w:gridSpan w:val="7"/>
          </w:tcPr>
          <w:p>
            <w:pPr/>
            <w:r>
              <w:t>0.29</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C02441" w:rsidRDefault="00C02441" w:rsidP="00C02441">
      <w:pPr>
        <w:pStyle w:val="a0"/>
        <w:ind w:firstLine="420"/>
        <w:rPr>
          <w:lang w:val="en-US"/>
        </w:rPr>
      </w:pPr>
      <w:bookmarkStart w:id="47" w:name="平均热岛强度"/>
      <w:bookmarkEnd w:id="47"/>
    </w:p>
    <w:p w:rsidR="00C02441" w:rsidRPr="001D6C1E" w:rsidRDefault="00C02441" w:rsidP="00C02441">
      <w:pPr>
        <w:pStyle w:val="a0"/>
        <w:ind w:firstLineChars="0" w:firstLine="0"/>
        <w:rPr>
          <w:lang w:val="en-US"/>
        </w:rPr>
      </w:pPr>
      <w:bookmarkStart w:id="48" w:name="平均热岛强度图片"/>
      <w:bookmarkEnd w:id="48"/>
      <w:r xmlns:w="http://schemas.openxmlformats.org/wordprocessingml/2006/main">
        <drawing xmlns="http://schemas.openxmlformats.org/wordprocessingml/2006/main">
          <wp:inline xmlns:wp="http://schemas.openxmlformats.org/drawingml/2006/wordprocessingDrawing" distT="0" distB="0" distL="0" distR="0">
            <wp:extent cx="5667375" cy="2857500"/>
            <wp:effectExtent l="0" t="0" r="0" b="0"/>
            <wp:docPr id="6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6cd7b3e3b344ac"/>
                    <a:stretch>
                      <a:fillRect/>
                    </a:stretch>
                  </pic:blipFill>
                  <pic:spPr>
                    <a:xfrm>
                      <a:off x="0" y="0"/>
                      <a:ext cx="5667375" cy="2857500"/>
                    </a:xfrm>
                    <a:prstGeom prst="rect">
                      <a:avLst/>
                    </a:prstGeom>
                  </pic:spPr>
                </pic:pic>
              </a:graphicData>
            </a:graphic>
          </wp:inline>
        </drawing>
      </w:r>
    </w:p>
    <w:p w:rsidR="00C02441" w:rsidRDefault="00C02441" w:rsidP="00C02441">
      <w:pPr>
        <w:pStyle w:val="2"/>
      </w:pPr>
      <w:bookmarkStart w:id="49" w:name="_Toc16494785"/>
      <w:r>
        <w:rPr>
          <w:rFonts w:hint="eastAsia"/>
        </w:rPr>
        <w:t>湿球黑球温度</w:t>
      </w:r>
      <w:bookmarkEnd w:id="49"/>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时刻</w:t>
            </w:r>
          </w:p>
        </w:tc>
        <w:tc>
          <w:tcPr>
            <w:vAlign w:val="center"/>
            <w:shd w:val="clear" w:color="auto" w:fill="E6E6E6"/>
          </w:tcPr>
          <w:p>
            <w:pPr>
              <w:jc w:val="center"/>
            </w:pPr>
            <w:r>
              <w:t>居住区温度</w:t>
            </w:r>
            <w:r>
              <w:br/>
            </w:r>
            <w:r>
              <w:t>(℃)</w:t>
            </w:r>
          </w:p>
        </w:tc>
        <w:tc>
          <w:tcPr>
            <w:vAlign w:val="center"/>
            <w:shd w:val="clear" w:color="auto" w:fill="E6E6E6"/>
          </w:tcPr>
          <w:p>
            <w:pPr>
              <w:jc w:val="center"/>
            </w:pPr>
            <w:r>
              <w:t>空气相对湿度</w:t>
            </w:r>
          </w:p>
        </w:tc>
        <w:tc>
          <w:tcPr>
            <w:vAlign w:val="center"/>
            <w:shd w:val="clear" w:color="auto" w:fill="E6E6E6"/>
          </w:tcPr>
          <w:p>
            <w:pPr>
              <w:jc w:val="center"/>
            </w:pPr>
            <w:r>
              <w:t>太阳辐射照度</w:t>
            </w:r>
            <w:r>
              <w:br/>
            </w:r>
            <w:r>
              <w:t>(W/㎡)</w:t>
            </w:r>
          </w:p>
        </w:tc>
        <w:tc>
          <w:tcPr>
            <w:vAlign w:val="center"/>
            <w:shd w:val="clear" w:color="auto" w:fill="E6E6E6"/>
          </w:tcPr>
          <w:p>
            <w:pPr>
              <w:jc w:val="center"/>
            </w:pPr>
            <w:r>
              <w:t>地表短波辐射</w:t>
            </w:r>
            <w:r>
              <w:br/>
            </w:r>
            <w:r>
              <w:t>(W/㎡)</w:t>
            </w:r>
          </w:p>
        </w:tc>
        <w:tc>
          <w:tcPr>
            <w:vAlign w:val="center"/>
            <w:shd w:val="clear" w:color="auto" w:fill="E6E6E6"/>
          </w:tcPr>
          <w:p>
            <w:pPr>
              <w:jc w:val="center"/>
            </w:pPr>
            <w:r>
              <w:t>湿球黑球温度</w:t>
            </w:r>
            <w:r>
              <w:br/>
            </w:r>
            <w:r>
              <w:t>(℃)</w:t>
            </w:r>
          </w:p>
        </w:tc>
      </w:tr>
      <w:tr>
        <w:tc>
          <w:tcPr>
            <w:vAlign w:val="center"/>
            <w:shd w:val="clear" w:color="auto" w:fill="E6E6E6"/>
          </w:tcPr>
          <w:p>
            <w:pPr/>
            <w:r>
              <w:t>9:00</w:t>
            </w:r>
          </w:p>
        </w:tc>
        <w:tc>
          <w:tcPr>
            <w:vAlign w:val="center"/>
          </w:tcPr>
          <w:p>
            <w:pPr/>
            <w:r>
              <w:t>16.7</w:t>
            </w:r>
          </w:p>
        </w:tc>
        <w:tc>
          <w:tcPr>
            <w:vAlign w:val="center"/>
          </w:tcPr>
          <w:p>
            <w:pPr/>
            <w:r>
              <w:t>1.0</w:t>
            </w:r>
          </w:p>
        </w:tc>
        <w:tc>
          <w:tcPr>
            <w:vAlign w:val="center"/>
          </w:tcPr>
          <w:p>
            <w:pPr/>
            <w:r>
              <w:t>151.1</w:t>
            </w:r>
          </w:p>
        </w:tc>
        <w:tc>
          <w:tcPr>
            <w:vAlign w:val="center"/>
          </w:tcPr>
          <w:p>
            <w:pPr/>
            <w:r>
              <w:t>43.7</w:t>
            </w:r>
          </w:p>
        </w:tc>
        <w:tc>
          <w:tcPr>
            <w:vAlign w:val="center"/>
          </w:tcPr>
          <w:p>
            <w:pPr/>
            <w:r>
              <w:t>17.2</w:t>
            </w:r>
          </w:p>
        </w:tc>
      </w:tr>
      <w:tr>
        <w:tc>
          <w:tcPr>
            <w:vAlign w:val="center"/>
            <w:shd w:val="clear" w:color="auto" w:fill="E6E6E6"/>
          </w:tcPr>
          <w:p>
            <w:pPr/>
            <w:r>
              <w:t>10:00</w:t>
            </w:r>
          </w:p>
        </w:tc>
        <w:tc>
          <w:tcPr>
            <w:vAlign w:val="center"/>
          </w:tcPr>
          <w:p>
            <w:pPr/>
            <w:r>
              <w:t>18.1</w:t>
            </w:r>
          </w:p>
        </w:tc>
        <w:tc>
          <w:tcPr>
            <w:vAlign w:val="center"/>
          </w:tcPr>
          <w:p>
            <w:pPr/>
            <w:r>
              <w:t>1.0</w:t>
            </w:r>
          </w:p>
        </w:tc>
        <w:tc>
          <w:tcPr>
            <w:vAlign w:val="center"/>
          </w:tcPr>
          <w:p>
            <w:pPr/>
            <w:r>
              <w:t>213.9</w:t>
            </w:r>
          </w:p>
        </w:tc>
        <w:tc>
          <w:tcPr>
            <w:vAlign w:val="center"/>
          </w:tcPr>
          <w:p>
            <w:pPr/>
            <w:r>
              <w:t>61.9</w:t>
            </w:r>
          </w:p>
        </w:tc>
        <w:tc>
          <w:tcPr>
            <w:vAlign w:val="center"/>
          </w:tcPr>
          <w:p>
            <w:pPr/>
            <w:r>
              <w:t>18.0</w:t>
            </w:r>
          </w:p>
        </w:tc>
      </w:tr>
      <w:tr>
        <w:tc>
          <w:tcPr>
            <w:vAlign w:val="center"/>
            <w:shd w:val="clear" w:color="auto" w:fill="E6E6E6"/>
          </w:tcPr>
          <w:p>
            <w:pPr/>
            <w:r>
              <w:t>11:00</w:t>
            </w:r>
          </w:p>
        </w:tc>
        <w:tc>
          <w:tcPr>
            <w:vAlign w:val="center"/>
          </w:tcPr>
          <w:p>
            <w:pPr/>
            <w:r>
              <w:t>19.3</w:t>
            </w:r>
          </w:p>
        </w:tc>
        <w:tc>
          <w:tcPr>
            <w:vAlign w:val="center"/>
          </w:tcPr>
          <w:p>
            <w:pPr/>
            <w:r>
              <w:t>0.9</w:t>
            </w:r>
          </w:p>
        </w:tc>
        <w:tc>
          <w:tcPr>
            <w:vAlign w:val="center"/>
          </w:tcPr>
          <w:p>
            <w:pPr/>
            <w:r>
              <w:t>272.2</w:t>
            </w:r>
          </w:p>
        </w:tc>
        <w:tc>
          <w:tcPr>
            <w:vAlign w:val="center"/>
          </w:tcPr>
          <w:p>
            <w:pPr/>
            <w:r>
              <w:t>78.8</w:t>
            </w:r>
          </w:p>
        </w:tc>
        <w:tc>
          <w:tcPr>
            <w:vAlign w:val="center"/>
          </w:tcPr>
          <w:p>
            <w:pPr/>
            <w:r>
              <w:t>18.6</w:t>
            </w:r>
          </w:p>
        </w:tc>
      </w:tr>
      <w:tr>
        <w:tc>
          <w:tcPr>
            <w:vAlign w:val="center"/>
            <w:shd w:val="clear" w:color="auto" w:fill="E6E6E6"/>
          </w:tcPr>
          <w:p>
            <w:pPr/>
            <w:r>
              <w:t>12:00</w:t>
            </w:r>
          </w:p>
        </w:tc>
        <w:tc>
          <w:tcPr>
            <w:vAlign w:val="center"/>
          </w:tcPr>
          <w:p>
            <w:pPr/>
            <w:r>
              <w:t>20.6</w:t>
            </w:r>
          </w:p>
        </w:tc>
        <w:tc>
          <w:tcPr>
            <w:vAlign w:val="center"/>
          </w:tcPr>
          <w:p>
            <w:pPr/>
            <w:r>
              <w:t>0.9</w:t>
            </w:r>
          </w:p>
        </w:tc>
        <w:tc>
          <w:tcPr>
            <w:vAlign w:val="center"/>
          </w:tcPr>
          <w:p>
            <w:pPr/>
            <w:r>
              <w:t>313.0</w:t>
            </w:r>
          </w:p>
        </w:tc>
        <w:tc>
          <w:tcPr>
            <w:vAlign w:val="center"/>
          </w:tcPr>
          <w:p>
            <w:pPr/>
            <w:r>
              <w:t>90.6</w:t>
            </w:r>
          </w:p>
        </w:tc>
        <w:tc>
          <w:tcPr>
            <w:vAlign w:val="center"/>
          </w:tcPr>
          <w:p>
            <w:pPr/>
            <w:r>
              <w:t>19.3</w:t>
            </w:r>
          </w:p>
        </w:tc>
      </w:tr>
      <w:tr>
        <w:tc>
          <w:tcPr>
            <w:vAlign w:val="center"/>
            <w:shd w:val="clear" w:color="auto" w:fill="E6E6E6"/>
          </w:tcPr>
          <w:p>
            <w:pPr/>
            <w:r>
              <w:t>13:00</w:t>
            </w:r>
          </w:p>
        </w:tc>
        <w:tc>
          <w:tcPr>
            <w:vAlign w:val="center"/>
          </w:tcPr>
          <w:p>
            <w:pPr/>
            <w:r>
              <w:t>21.8</w:t>
            </w:r>
          </w:p>
        </w:tc>
        <w:tc>
          <w:tcPr>
            <w:vAlign w:val="center"/>
          </w:tcPr>
          <w:p>
            <w:pPr/>
            <w:r>
              <w:t>0.8</w:t>
            </w:r>
          </w:p>
        </w:tc>
        <w:tc>
          <w:tcPr>
            <w:vAlign w:val="center"/>
          </w:tcPr>
          <w:p>
            <w:pPr/>
            <w:r>
              <w:t>322.6</w:t>
            </w:r>
          </w:p>
        </w:tc>
        <w:tc>
          <w:tcPr>
            <w:vAlign w:val="center"/>
          </w:tcPr>
          <w:p>
            <w:pPr/>
            <w:r>
              <w:t>93.4</w:t>
            </w:r>
          </w:p>
        </w:tc>
        <w:tc>
          <w:tcPr>
            <w:vAlign w:val="center"/>
          </w:tcPr>
          <w:p>
            <w:pPr/>
            <w:r>
              <w:t>19.9</w:t>
            </w:r>
          </w:p>
        </w:tc>
      </w:tr>
      <w:tr>
        <w:tc>
          <w:tcPr>
            <w:vAlign w:val="center"/>
            <w:shd w:val="clear" w:color="auto" w:fill="E6E6E6"/>
          </w:tcPr>
          <w:p>
            <w:pPr/>
            <w:r>
              <w:t>14:00</w:t>
            </w:r>
          </w:p>
        </w:tc>
        <w:tc>
          <w:tcPr>
            <w:vAlign w:val="center"/>
          </w:tcPr>
          <w:p>
            <w:pPr/>
            <w:r>
              <w:t>22.9</w:t>
            </w:r>
          </w:p>
        </w:tc>
        <w:tc>
          <w:tcPr>
            <w:vAlign w:val="center"/>
          </w:tcPr>
          <w:p>
            <w:pPr/>
            <w:r>
              <w:t>0.8</w:t>
            </w:r>
          </w:p>
        </w:tc>
        <w:tc>
          <w:tcPr>
            <w:vAlign w:val="center"/>
          </w:tcPr>
          <w:p>
            <w:pPr/>
            <w:r>
              <w:t>304.8</w:t>
            </w:r>
          </w:p>
        </w:tc>
        <w:tc>
          <w:tcPr>
            <w:vAlign w:val="center"/>
          </w:tcPr>
          <w:p>
            <w:pPr/>
            <w:r>
              <w:t>88.2</w:t>
            </w:r>
          </w:p>
        </w:tc>
        <w:tc>
          <w:tcPr>
            <w:vAlign w:val="center"/>
          </w:tcPr>
          <w:p>
            <w:pPr/>
            <w:r>
              <w:t>20.3</w:t>
            </w:r>
          </w:p>
        </w:tc>
      </w:tr>
      <w:tr>
        <w:tc>
          <w:tcPr>
            <w:vAlign w:val="center"/>
            <w:shd w:val="clear" w:color="auto" w:fill="E6E6E6"/>
          </w:tcPr>
          <w:p>
            <w:pPr/>
            <w:r>
              <w:t>15:00</w:t>
            </w:r>
          </w:p>
        </w:tc>
        <w:tc>
          <w:tcPr>
            <w:vAlign w:val="center"/>
          </w:tcPr>
          <w:p>
            <w:pPr/>
            <w:r>
              <w:t>23.7</w:t>
            </w:r>
          </w:p>
        </w:tc>
        <w:tc>
          <w:tcPr>
            <w:vAlign w:val="center"/>
          </w:tcPr>
          <w:p>
            <w:pPr/>
            <w:r>
              <w:t>0.7</w:t>
            </w:r>
          </w:p>
        </w:tc>
        <w:tc>
          <w:tcPr>
            <w:vAlign w:val="center"/>
          </w:tcPr>
          <w:p>
            <w:pPr/>
            <w:r>
              <w:t>263.5</w:t>
            </w:r>
          </w:p>
        </w:tc>
        <w:tc>
          <w:tcPr>
            <w:vAlign w:val="center"/>
          </w:tcPr>
          <w:p>
            <w:pPr/>
            <w:r>
              <w:t>76.3</w:t>
            </w:r>
          </w:p>
        </w:tc>
        <w:tc>
          <w:tcPr>
            <w:vAlign w:val="center"/>
          </w:tcPr>
          <w:p>
            <w:pPr/>
            <w:r>
              <w:t>20.6</w:t>
            </w:r>
          </w:p>
        </w:tc>
      </w:tr>
      <w:tr>
        <w:tc>
          <w:tcPr>
            <w:vAlign w:val="center"/>
            <w:shd w:val="clear" w:color="auto" w:fill="E6E6E6"/>
          </w:tcPr>
          <w:p>
            <w:pPr/>
            <w:r>
              <w:t>16:00</w:t>
            </w:r>
          </w:p>
        </w:tc>
        <w:tc>
          <w:tcPr>
            <w:vAlign w:val="center"/>
          </w:tcPr>
          <w:p>
            <w:pPr/>
            <w:r>
              <w:t>24.1</w:t>
            </w:r>
          </w:p>
        </w:tc>
        <w:tc>
          <w:tcPr>
            <w:vAlign w:val="center"/>
          </w:tcPr>
          <w:p>
            <w:pPr/>
            <w:r>
              <w:t>0.7</w:t>
            </w:r>
          </w:p>
        </w:tc>
        <w:tc>
          <w:tcPr>
            <w:vAlign w:val="center"/>
          </w:tcPr>
          <w:p>
            <w:pPr/>
            <w:r>
              <w:t>209.9</w:t>
            </w:r>
          </w:p>
        </w:tc>
        <w:tc>
          <w:tcPr>
            <w:vAlign w:val="center"/>
          </w:tcPr>
          <w:p>
            <w:pPr/>
            <w:r>
              <w:t>60.8</w:t>
            </w:r>
          </w:p>
        </w:tc>
        <w:tc>
          <w:tcPr>
            <w:vAlign w:val="center"/>
          </w:tcPr>
          <w:p>
            <w:pPr/>
            <w:r>
              <w:t>20.6</w:t>
            </w:r>
          </w:p>
        </w:tc>
      </w:tr>
      <w:tr>
        <w:tc>
          <w:tcPr>
            <w:vAlign w:val="center"/>
            <w:shd w:val="clear" w:color="auto" w:fill="E6E6E6"/>
          </w:tcPr>
          <w:p>
            <w:pPr/>
            <w:r>
              <w:t>17:00</w:t>
            </w:r>
          </w:p>
        </w:tc>
        <w:tc>
          <w:tcPr>
            <w:vAlign w:val="center"/>
          </w:tcPr>
          <w:p>
            <w:pPr/>
            <w:r>
              <w:t>24.3</w:t>
            </w:r>
          </w:p>
        </w:tc>
        <w:tc>
          <w:tcPr>
            <w:vAlign w:val="center"/>
          </w:tcPr>
          <w:p>
            <w:pPr/>
            <w:r>
              <w:t>0.7</w:t>
            </w:r>
          </w:p>
        </w:tc>
        <w:tc>
          <w:tcPr>
            <w:vAlign w:val="center"/>
          </w:tcPr>
          <w:p>
            <w:pPr/>
            <w:r>
              <w:t>152.3</w:t>
            </w:r>
          </w:p>
        </w:tc>
        <w:tc>
          <w:tcPr>
            <w:vAlign w:val="center"/>
          </w:tcPr>
          <w:p>
            <w:pPr/>
            <w:r>
              <w:t>44.1</w:t>
            </w:r>
          </w:p>
        </w:tc>
        <w:tc>
          <w:tcPr>
            <w:vAlign w:val="center"/>
          </w:tcPr>
          <w:p>
            <w:pPr/>
            <w:r>
              <w:t>20.5</w:t>
            </w:r>
          </w:p>
        </w:tc>
      </w:tr>
      <w:tr>
        <w:tc>
          <w:tcPr>
            <w:vAlign w:val="center"/>
            <w:shd w:val="clear" w:color="auto" w:fill="E6E6E6"/>
          </w:tcPr>
          <w:p>
            <w:pPr/>
            <w:r>
              <w:t>18:00</w:t>
            </w:r>
          </w:p>
        </w:tc>
        <w:tc>
          <w:tcPr>
            <w:vAlign w:val="center"/>
          </w:tcPr>
          <w:p>
            <w:pPr/>
            <w:r>
              <w:t>24.1</w:t>
            </w:r>
          </w:p>
        </w:tc>
        <w:tc>
          <w:tcPr>
            <w:vAlign w:val="center"/>
          </w:tcPr>
          <w:p>
            <w:pPr/>
            <w:r>
              <w:t>0.7</w:t>
            </w:r>
          </w:p>
        </w:tc>
        <w:tc>
          <w:tcPr>
            <w:vAlign w:val="center"/>
          </w:tcPr>
          <w:p>
            <w:pPr/>
            <w:r>
              <w:t>90.3</w:t>
            </w:r>
          </w:p>
        </w:tc>
        <w:tc>
          <w:tcPr>
            <w:vAlign w:val="center"/>
          </w:tcPr>
          <w:p>
            <w:pPr/>
            <w:r>
              <w:t>26.1</w:t>
            </w:r>
          </w:p>
        </w:tc>
        <w:tc>
          <w:tcPr>
            <w:vAlign w:val="center"/>
          </w:tcPr>
          <w:p>
            <w:pPr/>
            <w:r>
              <w:t>20.1</w:t>
            </w:r>
          </w:p>
        </w:tc>
      </w:tr>
      <w:tr>
        <w:tc>
          <w:tcPr>
            <w:vAlign w:val="center"/>
            <w:shd w:val="clear" w:color="auto" w:fill="E6E6E6"/>
          </w:tcPr>
          <w:p>
            <w:pPr/>
            <w:r>
              <w:t>19:00</w:t>
            </w:r>
          </w:p>
        </w:tc>
        <w:tc>
          <w:tcPr>
            <w:vAlign w:val="center"/>
          </w:tcPr>
          <w:p>
            <w:pPr/>
            <w:r>
              <w:t>23.6</w:t>
            </w:r>
          </w:p>
        </w:tc>
        <w:tc>
          <w:tcPr>
            <w:vAlign w:val="center"/>
          </w:tcPr>
          <w:p>
            <w:pPr/>
            <w:r>
              <w:t>0.7</w:t>
            </w:r>
          </w:p>
        </w:tc>
        <w:tc>
          <w:tcPr>
            <w:vAlign w:val="center"/>
          </w:tcPr>
          <w:p>
            <w:pPr/>
            <w:r>
              <w:t>35.0</w:t>
            </w:r>
          </w:p>
        </w:tc>
        <w:tc>
          <w:tcPr>
            <w:vAlign w:val="center"/>
          </w:tcPr>
          <w:p>
            <w:pPr/>
            <w:r>
              <w:t>10.1</w:t>
            </w:r>
          </w:p>
        </w:tc>
        <w:tc>
          <w:tcPr>
            <w:vAlign w:val="center"/>
          </w:tcPr>
          <w:p>
            <w:pPr/>
            <w:r>
              <w:t>19.6</w:t>
            </w:r>
          </w:p>
        </w:tc>
      </w:tr>
      <w:tr>
        <w:tc>
          <w:tcPr>
            <w:vAlign w:val="center"/>
            <w:shd w:val="clear" w:color="auto" w:fill="E6E6E6"/>
          </w:tcPr>
          <w:p>
            <w:pPr/>
            <w:r>
              <w:t>最大湿球</w:t>
            </w:r>
            <w:r>
              <w:br/>
            </w:r>
            <w:r>
              <w:t>黑球强度(℃)</w:t>
            </w:r>
          </w:p>
        </w:tc>
        <w:tc>
          <w:tcPr>
            <w:vAlign w:val="center"/>
            <w:gridSpan w:val="5"/>
          </w:tcPr>
          <w:p>
            <w:pPr/>
            <w:r>
              <w:t>20.59</w:t>
            </w:r>
          </w:p>
        </w:tc>
      </w:tr>
      <w:tr>
        <w:tc>
          <w:tcPr>
            <w:vAlign w:val="center"/>
            <w:shd w:val="clear" w:color="auto" w:fill="E6E6E6"/>
          </w:tcPr>
          <w:p>
            <w:pPr/>
            <w:r>
              <w:t>依据</w:t>
            </w:r>
          </w:p>
        </w:tc>
        <w:tc>
          <w:tcPr>
            <w:vAlign w:val="center"/>
            <w:gridSpan w:val="5"/>
          </w:tcPr>
          <w:p>
            <w:pPr/>
            <w:r>
              <w:t>《城市居住区热环境设计标准》3.3.1条规定指标，按照5.0.1条的公式计算</w:t>
            </w:r>
          </w:p>
        </w:tc>
      </w:tr>
      <w:tr>
        <w:tc>
          <w:tcPr>
            <w:vAlign w:val="center"/>
            <w:shd w:val="clear" w:color="auto" w:fill="E6E6E6"/>
          </w:tcPr>
          <w:p>
            <w:pPr/>
            <w:r>
              <w:t>标准要求</w:t>
            </w:r>
          </w:p>
        </w:tc>
        <w:tc>
          <w:tcPr>
            <w:vAlign w:val="center"/>
            <w:gridSpan w:val="5"/>
          </w:tcPr>
          <w:p>
            <w:pPr/>
            <w:r>
              <w:t>居住区逐时湿球黑球温度不应大于33℃</w:t>
            </w:r>
          </w:p>
        </w:tc>
      </w:tr>
      <w:tr>
        <w:tc>
          <w:tcPr>
            <w:vAlign w:val="center"/>
            <w:shd w:val="clear" w:color="auto" w:fill="E6E6E6"/>
          </w:tcPr>
          <w:p>
            <w:pPr/>
            <w:r>
              <w:t>结论</w:t>
            </w:r>
          </w:p>
        </w:tc>
        <w:tc>
          <w:tcPr>
            <w:vAlign w:val="center"/>
            <w:gridSpan w:val="5"/>
          </w:tcPr>
          <w:p>
            <w:pPr/>
            <w:r>
              <w:t>满足</w:t>
            </w:r>
          </w:p>
        </w:tc>
      </w:tr>
    </w:tbl>
    <w:p w:rsidR="00C02441" w:rsidRDefault="00C02441" w:rsidP="00C02441">
      <w:pPr>
        <w:pStyle w:val="a0"/>
        <w:ind w:firstLine="420"/>
        <w:rPr>
          <w:lang w:val="en-US"/>
        </w:rPr>
      </w:pPr>
      <w:bookmarkStart w:id="50" w:name="湿球黑球温度"/>
      <w:bookmarkEnd w:id="50"/>
    </w:p>
    <w:p w:rsidR="00C02441" w:rsidRPr="00C22E6B" w:rsidRDefault="00C02441" w:rsidP="00C02441">
      <w:pPr>
        <w:pStyle w:val="a0"/>
        <w:ind w:firstLineChars="0" w:firstLine="0"/>
        <w:rPr>
          <w:lang w:val="en-US"/>
        </w:rPr>
      </w:pPr>
      <w:bookmarkStart w:id="51" w:name="湿球黑球温度图片"/>
      <w:bookmarkEnd w:id="51"/>
      <w:r xmlns:w="http://schemas.openxmlformats.org/wordprocessingml/2006/main">
        <drawing xmlns="http://schemas.openxmlformats.org/wordprocessingml/2006/main">
          <wp:inline xmlns:wp="http://schemas.openxmlformats.org/drawingml/2006/wordprocessingDrawing" distT="0" distB="0" distL="0" distR="0">
            <wp:extent cx="5667375" cy="3028950"/>
            <wp:effectExtent l="0" t="0" r="0" b="0"/>
            <wp:docPr id="6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5d8b541d0640b4"/>
                    <a:stretch>
                      <a:fillRect/>
                    </a:stretch>
                  </pic:blipFill>
                  <pic:spPr>
                    <a:xfrm>
                      <a:off x="0" y="0"/>
                      <a:ext cx="5667375" cy="3028950"/>
                    </a:xfrm>
                    <a:prstGeom prst="rect">
                      <a:avLst/>
                    </a:prstGeom>
                  </pic:spPr>
                </pic:pic>
              </a:graphicData>
            </a:graphic>
          </wp:inline>
        </drawing>
      </w:r>
    </w:p>
    <w:p w:rsidR="00C02441" w:rsidRDefault="00C02441" w:rsidP="00C02441">
      <w:pPr>
        <w:pStyle w:val="1"/>
      </w:pPr>
      <w:bookmarkStart w:id="52" w:name="_Toc16494786"/>
      <w:r>
        <w:rPr>
          <w:rFonts w:hint="eastAsia"/>
        </w:rPr>
        <w:t>结论</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53" w:name="结论"/>
            <w:bookmarkEnd w:id="53"/>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54" w:name="平均迎风面积比结论"/>
            <w:r w:rsidRPr="00CE4E4F">
              <w:rPr>
                <w:rFonts w:hint="eastAsia"/>
                <w:b/>
              </w:rPr>
              <w:t>满足</w:t>
            </w:r>
            <w:bookmarkEnd w:id="54"/>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55" w:name="活动场地遮阳覆盖率结论"/>
            <w:r w:rsidRPr="00CE4E4F">
              <w:rPr>
                <w:rFonts w:hint="eastAsia"/>
                <w:b/>
              </w:rPr>
              <w:t>满足</w:t>
            </w:r>
            <w:bookmarkEnd w:id="55"/>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56" w:name="平均热岛强度结论"/>
            <w:r>
              <w:t>满足</w:t>
            </w:r>
            <w:bookmarkEnd w:id="56"/>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57" w:name="湿球黑球温度结论"/>
            <w:r>
              <w:t>满足</w:t>
            </w:r>
            <w:bookmarkEnd w:id="57"/>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310F6D" w:rsidP="0003477B">
            <w:pPr>
              <w:rPr>
                <w:b/>
              </w:rPr>
            </w:pPr>
            <w:bookmarkStart w:id="58" w:name="总结论"/>
            <w:r w:rsidRPr="00CE4E4F">
              <w:rPr>
                <w:rFonts w:hint="eastAsia"/>
                <w:b/>
              </w:rPr>
              <w:t>满足</w:t>
            </w:r>
            <w:bookmarkEnd w:id="58"/>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087" w:rsidRDefault="00405087" w:rsidP="00203A7D">
      <w:r>
        <w:separator/>
      </w:r>
    </w:p>
  </w:endnote>
  <w:endnote w:type="continuationSeparator" w:id="0">
    <w:p w:rsidR="00405087" w:rsidRDefault="0040508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087" w:rsidRDefault="00405087" w:rsidP="00203A7D">
      <w:r>
        <w:separator/>
      </w:r>
    </w:p>
  </w:footnote>
  <w:footnote w:type="continuationSeparator" w:id="0">
    <w:p w:rsidR="00405087" w:rsidRDefault="0040508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Char"/>
    <w:qFormat/>
    <w:rsid w:val="00DD278F"/>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a"/>
    <w:rsid w:val="00DD278F"/>
    <w:rPr>
      <w:rFonts w:asciiTheme="majorHAnsi" w:hAnsiTheme="majorHAnsi" w:cstheme="majorBidi"/>
      <w:b/>
      <w:bCs/>
      <w:sz w:val="32"/>
      <w:szCs w:val="32"/>
      <w:lang w:val="en-GB"/>
    </w:rPr>
  </w:style>
  <w:style w:type="paragraph" w:styleId="ab">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c">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0.wmf" Id="rId26" /><Relationship Type="http://schemas.openxmlformats.org/officeDocument/2006/relationships/oleObject" Target="embeddings/oleObject6.bin" Id="rId21" /><Relationship Type="http://schemas.openxmlformats.org/officeDocument/2006/relationships/oleObject" Target="embeddings/oleObject19.bin" Id="rId42" /><Relationship Type="http://schemas.openxmlformats.org/officeDocument/2006/relationships/image" Target="media/image17.wmf" Id="rId47" /><Relationship Type="http://schemas.openxmlformats.org/officeDocument/2006/relationships/image" Target="media/image26.wmf" Id="rId63" /><Relationship Type="http://schemas.openxmlformats.org/officeDocument/2006/relationships/image" Target="media/image31.wmf" Id="rId68" /><Relationship Type="http://schemas.openxmlformats.org/officeDocument/2006/relationships/header" Target="header1.xml" Id="rId7" /><Relationship Type="http://schemas.openxmlformats.org/officeDocument/2006/relationships/fontTable" Target="fontTable.xml" Id="rId71" /><Relationship Type="http://schemas.openxmlformats.org/officeDocument/2006/relationships/styles" Target="styles.xml" Id="rId2" /><Relationship Type="http://schemas.openxmlformats.org/officeDocument/2006/relationships/image" Target="media/image5.wmf" Id="rId16" /><Relationship Type="http://schemas.openxmlformats.org/officeDocument/2006/relationships/image" Target="media/image11.wmf" Id="rId29" /><Relationship Type="http://schemas.openxmlformats.org/officeDocument/2006/relationships/oleObject" Target="embeddings/oleObject1.bin" Id="rId11" /><Relationship Type="http://schemas.openxmlformats.org/officeDocument/2006/relationships/image" Target="media/image9.wmf" Id="rId24" /><Relationship Type="http://schemas.openxmlformats.org/officeDocument/2006/relationships/image" Target="media/image12.wmf" Id="rId32" /><Relationship Type="http://schemas.openxmlformats.org/officeDocument/2006/relationships/oleObject" Target="embeddings/oleObject16.bin" Id="rId37" /><Relationship Type="http://schemas.openxmlformats.org/officeDocument/2006/relationships/oleObject" Target="embeddings/oleObject18.bin" Id="rId40" /><Relationship Type="http://schemas.openxmlformats.org/officeDocument/2006/relationships/oleObject" Target="embeddings/oleObject21.bin" Id="rId45" /><Relationship Type="http://schemas.openxmlformats.org/officeDocument/2006/relationships/image" Target="media/image20.wmf" Id="rId53" /><Relationship Type="http://schemas.openxmlformats.org/officeDocument/2006/relationships/image" Target="media/image22.wmf" Id="rId58" /><Relationship Type="http://schemas.openxmlformats.org/officeDocument/2006/relationships/image" Target="media/image29.wmf" Id="rId66" /><Relationship Type="http://schemas.openxmlformats.org/officeDocument/2006/relationships/footnotes" Target="footnotes.xml" Id="rId5" /><Relationship Type="http://schemas.openxmlformats.org/officeDocument/2006/relationships/image" Target="media/image24.wmf" Id="rId61" /><Relationship Type="http://schemas.openxmlformats.org/officeDocument/2006/relationships/oleObject" Target="embeddings/oleObject5.bin" Id="rId1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9.bin" Id="rId27" /><Relationship Type="http://schemas.openxmlformats.org/officeDocument/2006/relationships/oleObject" Target="embeddings/oleObject11.bin" Id="rId30" /><Relationship Type="http://schemas.openxmlformats.org/officeDocument/2006/relationships/image" Target="media/image13.wmf" Id="rId35" /><Relationship Type="http://schemas.openxmlformats.org/officeDocument/2006/relationships/oleObject" Target="embeddings/oleObject20.bin" Id="rId43" /><Relationship Type="http://schemas.openxmlformats.org/officeDocument/2006/relationships/oleObject" Target="embeddings/oleObject23.bin" Id="rId48" /><Relationship Type="http://schemas.openxmlformats.org/officeDocument/2006/relationships/oleObject" Target="embeddings/oleObject27.bin" Id="rId56" /><Relationship Type="http://schemas.openxmlformats.org/officeDocument/2006/relationships/image" Target="media/image27.wmf" Id="rId64" /><Relationship Type="http://schemas.openxmlformats.org/officeDocument/2006/relationships/image" Target="media/image32.wmf" Id="rId69" /><Relationship Type="http://schemas.openxmlformats.org/officeDocument/2006/relationships/footer" Target="footer1.xml" Id="rId8" /><Relationship Type="http://schemas.openxmlformats.org/officeDocument/2006/relationships/image" Target="media/image19.wmf" Id="rId51" /><Relationship Type="http://schemas.openxmlformats.org/officeDocument/2006/relationships/theme" Target="theme/theme1.xml" Id="rId72" /><Relationship Type="http://schemas.openxmlformats.org/officeDocument/2006/relationships/settings" Target="settings.xml" Id="rId3" /><Relationship Type="http://schemas.openxmlformats.org/officeDocument/2006/relationships/image" Target="media/image3.wmf" Id="rId12" /><Relationship Type="http://schemas.openxmlformats.org/officeDocument/2006/relationships/oleObject" Target="embeddings/oleObject4.bin" Id="rId17" /><Relationship Type="http://schemas.openxmlformats.org/officeDocument/2006/relationships/oleObject" Target="embeddings/oleObject8.bin" Id="rId25" /><Relationship Type="http://schemas.openxmlformats.org/officeDocument/2006/relationships/oleObject" Target="embeddings/oleObject13.bin" Id="rId33" /><Relationship Type="http://schemas.openxmlformats.org/officeDocument/2006/relationships/image" Target="media/image14.wmf" Id="rId38" /><Relationship Type="http://schemas.openxmlformats.org/officeDocument/2006/relationships/oleObject" Target="embeddings/oleObject22.bin" Id="rId46" /><Relationship Type="http://schemas.openxmlformats.org/officeDocument/2006/relationships/oleObject" Target="embeddings/oleObject29.bin" Id="rId59" /><Relationship Type="http://schemas.openxmlformats.org/officeDocument/2006/relationships/image" Target="media/image30.wmf" Id="rId67" /><Relationship Type="http://schemas.openxmlformats.org/officeDocument/2006/relationships/image" Target="media/image7.wmf" Id="rId20" /><Relationship Type="http://schemas.openxmlformats.org/officeDocument/2006/relationships/image" Target="media/image15.wmf" Id="rId41" /><Relationship Type="http://schemas.openxmlformats.org/officeDocument/2006/relationships/oleObject" Target="embeddings/oleObject26.bin" Id="rId54" /><Relationship Type="http://schemas.openxmlformats.org/officeDocument/2006/relationships/image" Target="media/image25.wmf" Id="rId62" /><Relationship Type="http://schemas.openxmlformats.org/officeDocument/2006/relationships/image" Target="media/image33.wmf" Id="rId7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oleObject" Target="embeddings/oleObject3.bin" Id="rId15" /><Relationship Type="http://schemas.openxmlformats.org/officeDocument/2006/relationships/oleObject" Target="embeddings/oleObject7.bin" Id="rId23" /><Relationship Type="http://schemas.openxmlformats.org/officeDocument/2006/relationships/oleObject" Target="embeddings/oleObject10.bin" Id="rId28" /><Relationship Type="http://schemas.openxmlformats.org/officeDocument/2006/relationships/oleObject" Target="embeddings/oleObject15.bin" Id="rId36" /><Relationship Type="http://schemas.openxmlformats.org/officeDocument/2006/relationships/image" Target="media/image18.wmf" Id="rId49" /><Relationship Type="http://schemas.openxmlformats.org/officeDocument/2006/relationships/oleObject" Target="embeddings/oleObject28.bin" Id="rId57" /><Relationship Type="http://schemas.openxmlformats.org/officeDocument/2006/relationships/image" Target="media/image2.wmf" Id="rId10" /><Relationship Type="http://schemas.openxmlformats.org/officeDocument/2006/relationships/oleObject" Target="embeddings/oleObject12.bin" Id="rId31" /><Relationship Type="http://schemas.openxmlformats.org/officeDocument/2006/relationships/image" Target="media/image16.wmf" Id="rId44" /><Relationship Type="http://schemas.openxmlformats.org/officeDocument/2006/relationships/oleObject" Target="embeddings/oleObject25.bin" Id="rId52" /><Relationship Type="http://schemas.openxmlformats.org/officeDocument/2006/relationships/image" Target="media/image23.wmf" Id="rId60" /><Relationship Type="http://schemas.openxmlformats.org/officeDocument/2006/relationships/image" Target="media/image28.wmf" Id="rId65"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oleObject" Target="embeddings/oleObject2.bin" Id="rId13" /><Relationship Type="http://schemas.openxmlformats.org/officeDocument/2006/relationships/image" Target="media/image6.wmf" Id="rId18" /><Relationship Type="http://schemas.openxmlformats.org/officeDocument/2006/relationships/oleObject" Target="embeddings/oleObject17.bin" Id="rId39" /><Relationship Type="http://schemas.openxmlformats.org/officeDocument/2006/relationships/oleObject" Target="embeddings/oleObject14.bin" Id="rId34" /><Relationship Type="http://schemas.openxmlformats.org/officeDocument/2006/relationships/oleObject" Target="embeddings/oleObject24.bin" Id="rId50" /><Relationship Type="http://schemas.openxmlformats.org/officeDocument/2006/relationships/image" Target="media/image21.wmf" Id="rId55" /><Relationship Type="http://schemas.openxmlformats.org/officeDocument/2006/relationships/image" Target="/word/media/5bdca3d3-a144-4a93-ab8d-edf8f2b15a4f.png" Id="R1e516820c65f439d" /><Relationship Type="http://schemas.openxmlformats.org/officeDocument/2006/relationships/image" Target="/word/media/08f077a4-6ac9-473e-acda-7a49f4485ca3.png" Id="Rbc1366fac11d420c" /><Relationship Type="http://schemas.openxmlformats.org/officeDocument/2006/relationships/image" Target="/word/media/2d4c5930-c30d-4f50-ade8-165456d18637.png" Id="R7198a70a570e4021" /><Relationship Type="http://schemas.openxmlformats.org/officeDocument/2006/relationships/image" Target="/word/media/c0083c7d-072f-49ed-8ca9-b471f37b1e02.png" Id="R2f6cd7b3e3b344ac" /><Relationship Type="http://schemas.openxmlformats.org/officeDocument/2006/relationships/image" Target="/word/media/bbbbc75b-497b-491b-8de4-773649e5654d.png" Id="Rc35d8b541d0640b4"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住区热环境(评价性设计)计算书.dotx</Template>
  <TotalTime>1</TotalTime>
  <Pages>7</Pages>
  <Words>507</Words>
  <Characters>2891</Characters>
  <Application>Microsoft Office Word</Application>
  <DocSecurity>0</DocSecurity>
  <Lines>24</Lines>
  <Paragraphs>6</Paragraphs>
  <ScaleCrop>false</ScaleCrop>
  <Company>ths</Company>
  <LinksUpToDate>false</LinksUpToDate>
  <CharactersWithSpaces>3392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human</dc:creator>
  <cp:keywords/>
  <cp:lastModifiedBy>human</cp:lastModifiedBy>
  <cp:revision>1</cp:revision>
  <cp:lastPrinted>1899-12-31T16:00:00Z</cp:lastPrinted>
  <dcterms:created xsi:type="dcterms:W3CDTF">2020-03-23T09:14:00Z</dcterms:created>
  <dcterms:modified xsi:type="dcterms:W3CDTF">2020-03-23T09:15:00Z</dcterms:modified>
</cp:coreProperties>
</file>