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供暖空调房间通外室外的门：</w:t>
      </w:r>
      <w:r>
        <w:rPr>
          <w:color w:val="0000FF"/>
          <w:kern w:val="2"/>
          <w:szCs w:val="21"/>
          <w:lang w:val="en-US"/>
        </w:rPr>
        <w:t>双层阳台木制外门：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传热系数1.095W/m^2.K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6＋12A＋6高透低辐射玻璃：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传热系数1.700W/m^2.K，自身遮阳系数0.460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6＋12A＋6中透低辐射玻璃：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传热系数1.700W/m^2.K，自身遮阳系数0.240</w:t>
      </w:r>
    </w:p>
    <w:p>
      <w:pPr>
        <w:pStyle w:val="2"/>
        <w:widowControl w:val="0"/>
        <w:numPr>
          <w:numId w:val="0"/>
        </w:numPr>
        <w:ind w:leftChars="0"/>
        <w:rPr>
          <w:kern w:val="2"/>
        </w:rPr>
      </w:pPr>
      <w:bookmarkStart w:id="1" w:name="_GoBack"/>
      <w:bookmarkEnd w:id="1"/>
      <w:bookmarkStart w:id="0" w:name="_Toc19659"/>
      <w:r>
        <w:rPr>
          <w:kern w:val="2"/>
        </w:rPr>
        <w:t>外窗气密性</w:t>
      </w:r>
      <w:bookmarkEnd w:id="0"/>
    </w:p>
    <w:tbl>
      <w:tblPr>
        <w:tblStyle w:val="4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535"/>
        <w:gridCol w:w="35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层数</w:t>
            </w:r>
          </w:p>
        </w:tc>
        <w:tc>
          <w:tcPr>
            <w:tcW w:w="3534" w:type="dxa"/>
            <w:vAlign w:val="center"/>
          </w:tcPr>
          <w:p>
            <w:r>
              <w:t>1～6层</w:t>
            </w:r>
          </w:p>
        </w:tc>
        <w:tc>
          <w:tcPr>
            <w:tcW w:w="3534" w:type="dxa"/>
            <w:vAlign w:val="center"/>
          </w:tcPr>
          <w:p>
            <w:r>
              <w:t>7层以上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tcW w:w="3534" w:type="dxa"/>
            <w:vAlign w:val="center"/>
          </w:tcPr>
          <w:p>
            <w:r>
              <w:t>7级  C8888</w:t>
            </w:r>
          </w:p>
        </w:tc>
        <w:tc>
          <w:tcPr>
            <w:tcW w:w="3534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外窗气密性措施</w:t>
            </w:r>
          </w:p>
        </w:tc>
        <w:tc>
          <w:tcPr>
            <w:tcW w:w="3534" w:type="dxa"/>
            <w:vAlign w:val="center"/>
          </w:tcPr>
          <w:p/>
        </w:tc>
        <w:tc>
          <w:tcPr>
            <w:tcW w:w="3534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3534" w:type="dxa"/>
            <w:vAlign w:val="center"/>
          </w:tcPr>
          <w:p>
            <w:r>
              <w:t>《四川省居住建筑节能设计标准》DB51/5027-2019第5.1.7条，分级与检测方法《建筑外门窗气密，水密，抗风压性能分级及检测方法》（GB/T 7106-2008）</w:t>
            </w:r>
          </w:p>
        </w:tc>
        <w:tc>
          <w:tcPr>
            <w:tcW w:w="3534" w:type="dxa"/>
            <w:vAlign w:val="center"/>
          </w:tcPr>
          <w:p>
            <w:r>
              <w:t>《四川省居住建筑节能设计标准》DB51/5027-2019第5.1.7条，分级与检测方法《建筑外门窗气密，水密，抗风压性能分级及检测方法》（GB/T 7106-2008）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3534" w:type="dxa"/>
            <w:vAlign w:val="center"/>
          </w:tcPr>
          <w:p>
            <w:r>
              <w:t>外窗气密性不应低于《建筑外门窗气密，水密，抗风压性能分级及检测方法》（GB/T 7106-2008）的4级</w:t>
            </w:r>
          </w:p>
        </w:tc>
        <w:tc>
          <w:tcPr>
            <w:tcW w:w="3534" w:type="dxa"/>
            <w:vAlign w:val="center"/>
          </w:tcPr>
          <w:p>
            <w:r>
              <w:t>外窗气密性不应低于《建筑外门窗气密，水密，抗风压性能分级及检测方法》（GB/T 7106-2008）的6级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3534" w:type="dxa"/>
            <w:vAlign w:val="center"/>
          </w:tcPr>
          <w:p>
            <w:r>
              <w:t>满足</w:t>
            </w:r>
          </w:p>
        </w:tc>
        <w:tc>
          <w:tcPr>
            <w:tcW w:w="3534" w:type="dxa"/>
            <w:vAlign w:val="center"/>
          </w:tcPr>
          <w:p>
            <w:r>
              <w:t>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2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756B1"/>
    <w:rsid w:val="5197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2021-03-01T13:31:00Z</dcterms:created>
  <dc:creator>user</dc:creator>
  <cp:lastModifiedBy>user</cp:lastModifiedBy>
  <dcterms:modified xsi:type="dcterms:W3CDTF">2021-03-01T13:34:12Z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