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绿色建筑设计评价标识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</w:tblPr>
      <w:tr>
        <w:tc>
          <w:tcPr>
            <w:tcW w:w="3000" w:type="dxa"/>
            <w:vAlign w:val="center"/>
          </w:tcPr>
          <w:p>
            <w:pPr>
              <w:jc w:val="righ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申报项目名称：</w:t>
            </w:r>
          </w:p>
        </w:tc>
        <w:tc>
          <w:tcPr>
            <w:tcW w:w="2000" w:type="dxa"/>
            <w:hMerge w:val="restart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红楼的绿色重生之路</w:t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</w:tr>
      <w:tr>
        <w:tc>
          <w:tcPr>
            <w:tcW w:w="3000" w:type="dxa"/>
            <w:vAlign w:val="center"/>
          </w:tcPr>
          <w:p>
            <w:pPr>
              <w:jc w:val="righ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申报单位名称：</w:t>
            </w:r>
          </w:p>
        </w:tc>
        <w:tc>
          <w:tcPr>
            <w:tcW w:w="2000" w:type="dxa"/>
            <w:hMerge w:val="restart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青岛理工大学</w:t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</w:tr>
      <w:tr>
        <w:tc>
          <w:tcPr>
            <w:tcW w:w="3000" w:type="dxa"/>
            <w:vAlign w:val="center"/>
          </w:tcPr>
          <w:p>
            <w:pPr>
              <w:jc w:val="righ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建筑类型：</w:t>
            </w:r>
          </w:p>
        </w:tc>
        <w:tc>
          <w:tcPr>
            <w:tcW w:w="2000" w:type="dxa"/>
            <w:hMerge w:val="restart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公共建筑</w:t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</w:tr>
      <w:tr>
        <w:tc>
          <w:tcPr>
            <w:tcW w:w="3000" w:type="dxa"/>
            <w:vAlign w:val="center"/>
          </w:tcPr>
          <w:p>
            <w:pPr>
              <w:jc w:val="righ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目标星级：</w:t>
            </w:r>
          </w:p>
        </w:tc>
        <w:tc>
          <w:tcPr>
            <w:tcW w:w="2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★★</w:t>
            </w:r>
          </w:p>
        </w:tc>
        <w:tc>
          <w:tcPr>
            <w:tcW w:w="2000" w:type="dxa"/>
            <w:vAlign w:val="center"/>
          </w:tcPr>
          <w:p>
            <w:pPr>
              <w:jc w:val="righ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分数：</w:t>
            </w:r>
          </w:p>
        </w:tc>
        <w:tc>
          <w:tcPr>
            <w:tcW w:w="2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82.14</w:t>
            </w:r>
          </w:p>
        </w:tc>
      </w:tr>
      <w:tr>
        <w:tc>
          <w:tcPr>
            <w:tcW w:w="3000" w:type="dxa"/>
            <w:vAlign w:val="center"/>
          </w:tcPr>
          <w:p>
            <w:pPr>
              <w:jc w:val="righ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自评依据：</w:t>
            </w:r>
          </w:p>
        </w:tc>
        <w:tc>
          <w:tcPr>
            <w:tcW w:w="2000" w:type="dxa"/>
            <w:hMerge w:val="restart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《绿色建筑评价标准》GB/T 50378-2014</w:t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住房和城乡建设部科技发展促进中心 组织编制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2021年3月11日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	本报告用于申请绿色建筑设计评价标识，由申报单位填写；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	 “得分自评”项的填写方式：在自评得分分类对应的表格中，填写符合项目情况的得分，不达标的条文，自评得分填写“0”；不参评的条文填写“不参评”，注明理由，并在“实际提交材料”中提供证明材料，其得分处理方式按相关规定执行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	“实际提交材料”中列表填写对应条文实际提交的材料的全称、查阅路径；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4、	填写本报告时，可进行编辑性修改，但不应自行删除技术内容和要求。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   项目概况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项目的基本信息：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1、项目名称：红楼的绿色重生之路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2、项目地址：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3、项目建设单位：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4、项目建筑类型及数量：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建筑类型：□住宅、√办公、□商业、□旅馆、□养老、□幼儿园、□医院、□其他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数量：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　　　　</w:t>
      </w:r>
      <w:r>
        <w:rPr>
          <w:rFonts w:hint="eastAsia" w:ascii="宋体" w:hAnsi="宋体"/>
          <w:bCs/>
          <w:color w:val="000000"/>
          <w:sz w:val="24"/>
          <w:szCs w:val="24"/>
        </w:rPr>
        <w:t>栋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5、建筑面积：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项目用地面积：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5900</w:t>
      </w:r>
      <w:r>
        <w:rPr>
          <w:rFonts w:hint="eastAsia" w:ascii="宋体" w:hAnsi="宋体"/>
          <w:bCs/>
          <w:color w:val="000000"/>
          <w:sz w:val="24"/>
          <w:szCs w:val="24"/>
        </w:rPr>
        <w:t>（平方米），总建筑面积：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7200</w:t>
      </w:r>
      <w:r>
        <w:rPr>
          <w:rFonts w:hint="eastAsia" w:ascii="宋体" w:hAnsi="宋体"/>
          <w:bCs/>
          <w:color w:val="000000"/>
          <w:sz w:val="24"/>
          <w:szCs w:val="24"/>
        </w:rPr>
        <w:t>（平方米），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地上建筑面积：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7200.0</w:t>
      </w:r>
      <w:r>
        <w:rPr>
          <w:rFonts w:hint="eastAsia" w:ascii="宋体" w:hAnsi="宋体"/>
          <w:bCs/>
          <w:color w:val="000000"/>
          <w:sz w:val="24"/>
          <w:szCs w:val="24"/>
        </w:rPr>
        <w:t>（平方米），地下建筑面积：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0.0</w:t>
      </w:r>
      <w:r>
        <w:rPr>
          <w:rFonts w:hint="eastAsia" w:ascii="宋体" w:hAnsi="宋体"/>
          <w:bCs/>
          <w:color w:val="000000"/>
          <w:sz w:val="24"/>
          <w:szCs w:val="24"/>
        </w:rPr>
        <w:t>（平方米）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6、建筑层数：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地上层数：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　　　　</w:t>
      </w:r>
      <w:r>
        <w:rPr>
          <w:rFonts w:hint="eastAsia" w:ascii="宋体" w:hAnsi="宋体"/>
          <w:bCs/>
          <w:color w:val="000000"/>
          <w:sz w:val="24"/>
          <w:szCs w:val="24"/>
        </w:rPr>
        <w:t>（层），地下层数：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　　　　</w:t>
      </w:r>
      <w:r>
        <w:rPr>
          <w:rFonts w:hint="eastAsia" w:ascii="宋体" w:hAnsi="宋体"/>
          <w:bCs/>
          <w:color w:val="000000"/>
          <w:sz w:val="24"/>
          <w:szCs w:val="24"/>
        </w:rPr>
        <w:t>（层）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7、项目描述：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简要对项目的基本情况进行描述。（500字以内）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9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该项目位于山东省青岛市市北区抚顺路青岛理工大学，地处山东路和抚顺路交界路口，建筑占地面积约为3000㎡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三个申报星级评分要求分别为50/60/80分。经自评估，本项目的控制项全部达标，每类指标评分项得分均不小于40分，评分项与加分项的加权总得分达到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　3　</w:t>
      </w:r>
      <w:r>
        <w:rPr>
          <w:rFonts w:hint="eastAsia" w:ascii="宋体" w:hAnsi="宋体"/>
          <w:bCs/>
          <w:color w:val="000000"/>
          <w:sz w:val="24"/>
          <w:szCs w:val="24"/>
        </w:rPr>
        <w:t>星级的标准。各章节得分情况见表1：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表1项目自评得分情况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/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节地与室外环境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节能与能源利用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节水与水资源利用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节材与材料资源利用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室内环境质量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总分值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—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最低分值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—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不参评分值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26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68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69.0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54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59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74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13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换算得分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70.10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71.90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62.80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79.70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75.50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10.00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居住建筑权重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0.21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0.24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0.20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0.18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—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公共建筑权重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0.28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0.18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0.19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—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加权得分</w:t>
            </w:r>
          </w:p>
        </w:tc>
        <w:tc>
          <w:tcPr>
            <w:tcW w:w="12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11.22</w:t>
            </w:r>
          </w:p>
        </w:tc>
        <w:tc>
          <w:tcPr>
            <w:tcW w:w="12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20.13</w:t>
            </w:r>
          </w:p>
        </w:tc>
        <w:tc>
          <w:tcPr>
            <w:tcW w:w="12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11.30</w:t>
            </w:r>
          </w:p>
        </w:tc>
        <w:tc>
          <w:tcPr>
            <w:tcW w:w="14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15.14</w:t>
            </w:r>
          </w:p>
        </w:tc>
        <w:tc>
          <w:tcPr>
            <w:tcW w:w="12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14.35</w:t>
            </w:r>
          </w:p>
        </w:tc>
        <w:tc>
          <w:tcPr>
            <w:tcW w:w="1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10.00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自评总分：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　82.14　</w:t>
      </w:r>
      <w:r>
        <w:rPr>
          <w:rFonts w:hint="eastAsia" w:ascii="宋体" w:hAnsi="宋体"/>
          <w:bCs/>
          <w:color w:val="000000"/>
          <w:sz w:val="24"/>
          <w:szCs w:val="24"/>
        </w:rPr>
        <w:t>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本项目星级：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60</w:t>
      </w:r>
      <w:r>
        <w:rPr>
          <w:rFonts w:hint="eastAsia" w:ascii="宋体" w:hAnsi="宋体"/>
          <w:bCs/>
          <w:color w:val="000000"/>
          <w:sz w:val="24"/>
          <w:szCs w:val="24"/>
        </w:rPr>
        <w:t>；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二、项目效果图（需标示申报范围）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项目地理位置、建筑面积、层数、高度、主要功能等概述：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节地与室外环境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不参评分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选址合规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无超标污染源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日照标准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节约集约用地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绿化用地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地下空间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2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光污染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环境噪声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风环境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2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热岛强度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2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公共交通设施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无障碍设计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4.2.10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停车场所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公共服务设施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生态补偿措施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绿色雨水设施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径流总量控制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绿化方式与植物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101.0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68.0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