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939"/>
        <w:gridCol w:w="2427"/>
        <w:gridCol w:w="1575"/>
        <w:gridCol w:w="1333"/>
      </w:tblGrid>
      <w:tr w:rsidR="00DE2A5C" w:rsidRPr="00547320" w:rsidTr="00E46C9A">
        <w:trPr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Content>
            <w:tc>
              <w:tcPr>
                <w:tcW w:w="833" w:type="pct"/>
                <w:vMerge w:val="restart"/>
                <w:vAlign w:val="center"/>
              </w:tcPr>
              <w:p w:rsidR="00DE2A5C" w:rsidRPr="00547320" w:rsidRDefault="0031287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3 </w:t>
                </w:r>
              </w:p>
            </w:tc>
          </w:sdtContent>
        </w:sdt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E2A5C" w:rsidRPr="00547320" w:rsidTr="00E46C9A">
        <w:trPr>
          <w:trHeight w:val="2343"/>
          <w:jc w:val="center"/>
        </w:trPr>
        <w:tc>
          <w:tcPr>
            <w:tcW w:w="9356" w:type="dxa"/>
          </w:tcPr>
          <w:p w:rsidR="00DE2A5C" w:rsidRPr="00547320" w:rsidRDefault="00312874" w:rsidP="005A4BEF">
            <w:pPr>
              <w:rPr>
                <w:szCs w:val="21"/>
              </w:rPr>
            </w:pPr>
            <w:r>
              <w:t>热致调光玻璃是一种新型智能玻璃遮阳产品。当阳光照射热致调光玻璃时，来自阳光的能量使玻璃变暖中间层变暖后雾化，产生磨砂效果。当阳光消失后，</w:t>
            </w:r>
            <w:r>
              <w:t> </w:t>
            </w:r>
            <w:r>
              <w:t>中间层冷却，玻璃又回到一个清晰的状态</w:t>
            </w:r>
            <w:r>
              <w:t>，</w:t>
            </w:r>
            <w:r>
              <w:rPr>
                <w:rFonts w:hint="eastAsia"/>
              </w:rPr>
              <w:t>应用于食堂用餐区域等需要大空间的部位</w:t>
            </w:r>
          </w:p>
        </w:tc>
      </w:tr>
    </w:tbl>
    <w:p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个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54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Content>
            <w:tc>
              <w:tcPr>
                <w:tcW w:w="708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南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Content>
            <w:tc>
              <w:tcPr>
                <w:tcW w:w="71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Content>
            <w:tc>
              <w:tcPr>
                <w:tcW w:w="713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Content>
            <w:tc>
              <w:tcPr>
                <w:tcW w:w="60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10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Content>
            <w:tc>
              <w:tcPr>
                <w:tcW w:w="1054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10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30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Content>
            <w:tc>
              <w:tcPr>
                <w:tcW w:w="708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西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Content>
            <w:tc>
              <w:tcPr>
                <w:tcW w:w="71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1.8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Content>
            <w:tc>
              <w:tcPr>
                <w:tcW w:w="713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1.5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Content>
            <w:tc>
              <w:tcPr>
                <w:tcW w:w="60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Content>
            <w:tc>
              <w:tcPr>
                <w:tcW w:w="1054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16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30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Content>
            <w:tc>
              <w:tcPr>
                <w:tcW w:w="708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北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Content>
            <w:tc>
              <w:tcPr>
                <w:tcW w:w="71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Content>
            <w:tc>
              <w:tcPr>
                <w:tcW w:w="713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3.5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Content>
            <w:tc>
              <w:tcPr>
                <w:tcW w:w="60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Content>
            <w:tc>
              <w:tcPr>
                <w:tcW w:w="1054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25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Content>
            <w:tc>
              <w:tcPr>
                <w:tcW w:w="708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东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Content>
            <w:tc>
              <w:tcPr>
                <w:tcW w:w="71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1.8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Content>
            <w:tc>
              <w:tcPr>
                <w:tcW w:w="713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2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Content>
            <w:tc>
              <w:tcPr>
                <w:tcW w:w="602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20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Content>
            <w:tc>
              <w:tcPr>
                <w:tcW w:w="1054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30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Content>
            <w:tc>
              <w:tcPr>
                <w:tcW w:w="1211" w:type="pct"/>
                <w:vAlign w:val="center"/>
              </w:tcPr>
              <w:p w:rsidR="00DE2A5C" w:rsidRPr="006A5FF8" w:rsidRDefault="0031287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28.75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E2A5C" w:rsidRPr="00547320" w:rsidTr="00E46C9A">
        <w:trPr>
          <w:trHeight w:val="135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89" w:rsidRDefault="000C0989" w:rsidP="00DE2A5C">
      <w:r>
        <w:separator/>
      </w:r>
    </w:p>
  </w:endnote>
  <w:endnote w:type="continuationSeparator" w:id="0">
    <w:p w:rsidR="000C0989" w:rsidRDefault="000C0989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89" w:rsidRDefault="000C0989" w:rsidP="00DE2A5C">
      <w:r>
        <w:separator/>
      </w:r>
    </w:p>
  </w:footnote>
  <w:footnote w:type="continuationSeparator" w:id="0">
    <w:p w:rsidR="000C0989" w:rsidRDefault="000C0989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82"/>
    <w:rsid w:val="00074A38"/>
    <w:rsid w:val="000C0989"/>
    <w:rsid w:val="00312874"/>
    <w:rsid w:val="00465382"/>
    <w:rsid w:val="00902FBD"/>
    <w:rsid w:val="00DE2A5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A5C"/>
    <w:rPr>
      <w:sz w:val="18"/>
      <w:szCs w:val="18"/>
    </w:rPr>
  </w:style>
  <w:style w:type="character" w:customStyle="1" w:styleId="4Char">
    <w:name w:val="标题 4 Char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6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6">
    <w:name w:val="Table Grid"/>
    <w:basedOn w:val="a1"/>
    <w:uiPriority w:val="39"/>
    <w:rsid w:val="00DE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28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28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A5C"/>
    <w:rPr>
      <w:sz w:val="18"/>
      <w:szCs w:val="18"/>
    </w:rPr>
  </w:style>
  <w:style w:type="character" w:customStyle="1" w:styleId="4Char">
    <w:name w:val="标题 4 Char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6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6">
    <w:name w:val="Table Grid"/>
    <w:basedOn w:val="a1"/>
    <w:uiPriority w:val="39"/>
    <w:rsid w:val="00DE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28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2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97"/>
    <w:rsid w:val="000C4865"/>
    <w:rsid w:val="00126997"/>
    <w:rsid w:val="002D5B2E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4</cp:revision>
  <dcterms:created xsi:type="dcterms:W3CDTF">2019-07-12T07:55:00Z</dcterms:created>
  <dcterms:modified xsi:type="dcterms:W3CDTF">2021-03-12T15:30:00Z</dcterms:modified>
</cp:coreProperties>
</file>