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eastAsia="宋体" w:cs="宋体"/>
                <w:i w:val="0"/>
                <w:color w:val="000000"/>
                <w:kern w:val="0"/>
                <w:sz w:val="22"/>
                <w:szCs w:val="22"/>
                <w:u w:val="none"/>
                <w:lang w:val="en-US" w:eastAsia="zh-CN" w:bidi="ar"/>
              </w:rPr>
              <w:t>为教育填一方绿瓦—石家庄某教学楼改造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hint="default" w:ascii="宋体" w:hAnsi="宋体" w:eastAsia="宋体"/>
                <w:szCs w:val="21"/>
                <w:lang w:val="en-US" w:eastAsia="zh-CN"/>
              </w:rPr>
            </w:pPr>
            <w:bookmarkStart w:id="2" w:name="项目地点"/>
            <w:r>
              <w:rPr>
                <w:rFonts w:hint="eastAsia" w:ascii="宋体" w:hAnsi="宋体"/>
                <w:szCs w:val="21"/>
                <w:lang w:val="en-US" w:eastAsia="zh-CN"/>
              </w:rPr>
              <w:t>河北-石家庄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rPr>
                <w:rFonts w:hint="eastAsia" w:ascii="宋体" w:hAnsi="宋体" w:eastAsia="宋体" w:cs="宋体"/>
                <w:i w:val="0"/>
                <w:color w:val="000000"/>
                <w:kern w:val="0"/>
                <w:sz w:val="22"/>
                <w:szCs w:val="22"/>
                <w:u w:val="none"/>
                <w:lang w:val="en-US" w:eastAsia="zh-CN" w:bidi="ar"/>
              </w:rPr>
              <w:t>GZ30020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ascii="宋体" w:hAnsi="宋体"/>
                <w:sz w:val="21"/>
                <w:szCs w:val="21"/>
              </w:rPr>
              <w:t>石家庄铁路职业技术学院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2020年12月2</w:t>
            </w:r>
            <w:r>
              <w:rPr>
                <w:rFonts w:hint="eastAsia" w:ascii="宋体" w:hAnsi="宋体"/>
                <w:szCs w:val="21"/>
                <w:lang w:val="en-US" w:eastAsia="zh-CN"/>
              </w:rPr>
              <w:t>4</w:t>
            </w:r>
            <w:r>
              <w:rPr>
                <w:rFonts w:hint="eastAsia" w:ascii="宋体" w:hAnsi="宋体"/>
                <w:szCs w:val="21"/>
              </w:rPr>
              <w:t>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绿建斯维尔建筑通风计算软件Vent20</w:t>
            </w:r>
            <w:r>
              <w:rPr>
                <w:rFonts w:ascii="宋体" w:hAnsi="宋体"/>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_Toc3046 </w:instrText>
      </w:r>
      <w:r>
        <w:rPr>
          <w:rFonts w:ascii="宋体" w:hAnsi="宋体"/>
          <w:bCs w:val="0"/>
          <w:caps/>
        </w:rPr>
        <w:fldChar w:fldCharType="separate"/>
      </w:r>
      <w:r>
        <w:rPr>
          <w:rFonts w:hint="eastAsia"/>
        </w:rPr>
        <w:t>1 项目概况</w:t>
      </w:r>
      <w:r>
        <w:tab/>
      </w:r>
      <w:r>
        <w:fldChar w:fldCharType="begin"/>
      </w:r>
      <w:r>
        <w:instrText xml:space="preserve"> PAGEREF _Toc3046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_Toc5525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_Toc5525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_Toc1590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_Toc1590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_Toc9851 </w:instrText>
      </w:r>
      <w:r>
        <w:fldChar w:fldCharType="separate"/>
      </w:r>
      <w:r>
        <w:rPr>
          <w:rFonts w:hint="eastAsia"/>
        </w:rPr>
        <w:t>2 计算</w:t>
      </w:r>
      <w:r>
        <w:t>依据</w:t>
      </w:r>
      <w:r>
        <w:tab/>
      </w:r>
      <w:r>
        <w:fldChar w:fldCharType="begin"/>
      </w:r>
      <w:r>
        <w:instrText xml:space="preserve"> PAGEREF _Toc9851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_Toc23970 </w:instrText>
      </w:r>
      <w:r>
        <w:fldChar w:fldCharType="separate"/>
      </w:r>
      <w:r>
        <w:rPr>
          <w:rFonts w:hint="eastAsia"/>
        </w:rPr>
        <w:t>3 参考</w:t>
      </w:r>
      <w:r>
        <w:t>标准</w:t>
      </w:r>
      <w:r>
        <w:tab/>
      </w:r>
      <w:r>
        <w:fldChar w:fldCharType="begin"/>
      </w:r>
      <w:r>
        <w:instrText xml:space="preserve"> PAGEREF _Toc23970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_Toc25852 </w:instrText>
      </w:r>
      <w:r>
        <w:fldChar w:fldCharType="separate"/>
      </w:r>
      <w:r>
        <w:rPr>
          <w:rFonts w:hint="eastAsia"/>
        </w:rPr>
        <w:t>4 计算原理</w:t>
      </w:r>
      <w:r>
        <w:tab/>
      </w:r>
      <w:r>
        <w:fldChar w:fldCharType="begin"/>
      </w:r>
      <w:r>
        <w:instrText xml:space="preserve"> PAGEREF _Toc25852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_Toc10862 </w:instrText>
      </w:r>
      <w:r>
        <w:fldChar w:fldCharType="separate"/>
      </w:r>
      <w:r>
        <w:rPr>
          <w:rFonts w:hint="eastAsia"/>
          <w:lang w:val="en-GB"/>
        </w:rPr>
        <w:t xml:space="preserve">4.1 </w:t>
      </w:r>
      <w:r>
        <w:rPr>
          <w:rFonts w:hint="eastAsia"/>
        </w:rPr>
        <w:t>风场计算域</w:t>
      </w:r>
      <w:r>
        <w:tab/>
      </w:r>
      <w:r>
        <w:fldChar w:fldCharType="begin"/>
      </w:r>
      <w:r>
        <w:instrText xml:space="preserve"> PAGEREF _Toc10862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_Toc25031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_Toc25031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_Toc5666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_Toc5666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_Toc21898 </w:instrText>
      </w:r>
      <w:r>
        <w:fldChar w:fldCharType="separate"/>
      </w:r>
      <w:r>
        <w:rPr>
          <w:rFonts w:hint="eastAsia"/>
          <w:lang w:val="en-GB"/>
        </w:rPr>
        <w:t xml:space="preserve">4.2 </w:t>
      </w:r>
      <w:r>
        <w:rPr>
          <w:rFonts w:hint="eastAsia"/>
        </w:rPr>
        <w:t>网格划分</w:t>
      </w:r>
      <w:r>
        <w:tab/>
      </w:r>
      <w:r>
        <w:fldChar w:fldCharType="begin"/>
      </w:r>
      <w:r>
        <w:instrText xml:space="preserve"> PAGEREF _Toc21898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_Toc32467 </w:instrText>
      </w:r>
      <w:r>
        <w:fldChar w:fldCharType="separate"/>
      </w:r>
      <w:r>
        <w:rPr>
          <w:rFonts w:hint="eastAsia"/>
          <w:lang w:val="en-GB"/>
        </w:rPr>
        <w:t xml:space="preserve">4.3 </w:t>
      </w:r>
      <w:r>
        <w:rPr>
          <w:rFonts w:hint="eastAsia"/>
        </w:rPr>
        <w:t>边界条件</w:t>
      </w:r>
      <w:r>
        <w:tab/>
      </w:r>
      <w:r>
        <w:fldChar w:fldCharType="begin"/>
      </w:r>
      <w:r>
        <w:instrText xml:space="preserve"> PAGEREF _Toc32467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_Toc5543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_Toc5543 </w:instrText>
      </w:r>
      <w:r>
        <w:fldChar w:fldCharType="separate"/>
      </w:r>
      <w:r>
        <w:t>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_Toc32144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_Toc32144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_Toc21335 </w:instrText>
      </w:r>
      <w:r>
        <w:fldChar w:fldCharType="separate"/>
      </w:r>
      <w:r>
        <w:rPr>
          <w:rFonts w:hint="eastAsia"/>
          <w:lang w:val="en-GB"/>
        </w:rPr>
        <w:t xml:space="preserve">4.4 </w:t>
      </w:r>
      <w:r>
        <w:rPr>
          <w:rFonts w:hint="eastAsia"/>
        </w:rPr>
        <w:t>湍流模型</w:t>
      </w:r>
      <w:r>
        <w:tab/>
      </w:r>
      <w:r>
        <w:fldChar w:fldCharType="begin"/>
      </w:r>
      <w:r>
        <w:instrText xml:space="preserve"> PAGEREF _Toc21335 </w:instrText>
      </w:r>
      <w:r>
        <w:fldChar w:fldCharType="separate"/>
      </w:r>
      <w:r>
        <w:t>10</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_Toc12653 </w:instrText>
      </w:r>
      <w:r>
        <w:fldChar w:fldCharType="separate"/>
      </w:r>
      <w:r>
        <w:rPr>
          <w:rFonts w:hint="eastAsia"/>
          <w:lang w:val="en-GB"/>
        </w:rPr>
        <w:t xml:space="preserve">4.5 </w:t>
      </w:r>
      <w:r>
        <w:rPr>
          <w:rFonts w:hint="eastAsia"/>
        </w:rPr>
        <w:t>求解计算</w:t>
      </w:r>
      <w:r>
        <w:tab/>
      </w:r>
      <w:r>
        <w:fldChar w:fldCharType="begin"/>
      </w:r>
      <w:r>
        <w:instrText xml:space="preserve"> PAGEREF _Toc12653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_Toc8471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_Toc8471 </w:instrText>
      </w:r>
      <w:r>
        <w:fldChar w:fldCharType="separate"/>
      </w:r>
      <w:r>
        <w:t>12</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_Toc22614 </w:instrText>
      </w:r>
      <w:r>
        <w:fldChar w:fldCharType="separate"/>
      </w:r>
      <w:r>
        <w:rPr>
          <w:rFonts w:hint="eastAsia"/>
        </w:rPr>
        <w:t>5 结果</w:t>
      </w:r>
      <w:r>
        <w:t>分析</w:t>
      </w:r>
      <w:r>
        <w:tab/>
      </w:r>
      <w:r>
        <w:fldChar w:fldCharType="begin"/>
      </w:r>
      <w:r>
        <w:instrText xml:space="preserve"> PAGEREF _Toc22614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_Toc32692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_Toc32692 </w:instrText>
      </w:r>
      <w:r>
        <w:fldChar w:fldCharType="separate"/>
      </w:r>
      <w:r>
        <w:t>13</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_Toc2492 </w:instrText>
      </w:r>
      <w:r>
        <w:fldChar w:fldCharType="separate"/>
      </w:r>
      <w:r>
        <w:rPr>
          <w:rFonts w:hint="eastAsia"/>
          <w:lang w:val="en-GB"/>
        </w:rPr>
        <w:t xml:space="preserve">5.2 </w:t>
      </w:r>
      <w:r>
        <w:rPr>
          <w:rFonts w:hint="eastAsia"/>
        </w:rPr>
        <w:t>冬季工况</w:t>
      </w:r>
      <w:r>
        <w:tab/>
      </w:r>
      <w:r>
        <w:fldChar w:fldCharType="begin"/>
      </w:r>
      <w:r>
        <w:instrText xml:space="preserve"> PAGEREF _Toc2492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_Toc1449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_Toc1449 </w:instrText>
      </w:r>
      <w:r>
        <w:fldChar w:fldCharType="separate"/>
      </w:r>
      <w:r>
        <w:t>13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_Toc13446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_Toc13446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_Toc11766 </w:instrText>
      </w:r>
      <w:r>
        <w:fldChar w:fldCharType="separate"/>
      </w:r>
      <w:r>
        <w:rPr>
          <w:rFonts w:hint="eastAsia" w:eastAsia="宋体"/>
          <w:szCs w:val="24"/>
          <w:lang w:val="en-GB"/>
        </w:rPr>
        <w:t xml:space="preserve">5.2.3 </w:t>
      </w:r>
      <w:r>
        <w:rPr>
          <w:rFonts w:hint="eastAsia" w:cs="宋体"/>
          <w:lang w:val="en-GB"/>
        </w:rPr>
        <w:t>人行区域</w:t>
      </w:r>
      <w:r>
        <w:rPr>
          <w:rFonts w:hint="eastAsia"/>
        </w:rPr>
        <w:t>冬季工况风速/风速放大系数达标判定</w:t>
      </w:r>
      <w:r>
        <w:tab/>
      </w:r>
      <w:r>
        <w:fldChar w:fldCharType="begin"/>
      </w:r>
      <w:r>
        <w:instrText xml:space="preserve"> PAGEREF _Toc11766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_Toc9663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_Toc9663 </w:instrText>
      </w:r>
      <w:r>
        <w:fldChar w:fldCharType="separate"/>
      </w:r>
      <w:r>
        <w:t>17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_Toc28552 </w:instrText>
      </w:r>
      <w:r>
        <w:fldChar w:fldCharType="separate"/>
      </w:r>
      <w:r>
        <w:rPr>
          <w:rFonts w:hint="eastAsia"/>
          <w:lang w:val="en-GB"/>
        </w:rPr>
        <w:t xml:space="preserve">5.3 </w:t>
      </w:r>
      <w:r>
        <w:rPr>
          <w:rFonts w:hint="eastAsia"/>
        </w:rPr>
        <w:t>夏季工况</w:t>
      </w:r>
      <w:r>
        <w:tab/>
      </w:r>
      <w:r>
        <w:fldChar w:fldCharType="begin"/>
      </w:r>
      <w:r>
        <w:instrText xml:space="preserve"> PAGEREF _Toc28552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_Toc9836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_Toc9836 </w:instrText>
      </w:r>
      <w:r>
        <w:fldChar w:fldCharType="separate"/>
      </w:r>
      <w:r>
        <w:t>20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_Toc3576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_Toc3576 </w:instrText>
      </w:r>
      <w:r>
        <w:fldChar w:fldCharType="separate"/>
      </w:r>
      <w:r>
        <w:t>21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_Toc6108 </w:instrText>
      </w:r>
      <w:r>
        <w:fldChar w:fldCharType="separate"/>
      </w:r>
      <w:r>
        <w:rPr>
          <w:rFonts w:hint="eastAsia" w:eastAsia="宋体"/>
          <w:szCs w:val="24"/>
          <w:lang w:val="en-GB"/>
        </w:rPr>
        <w:t xml:space="preserve">5.3.3 </w:t>
      </w:r>
      <w:r>
        <w:rPr>
          <w:rFonts w:hint="eastAsia"/>
        </w:rPr>
        <w:t>人行区域旋涡区/无风区达标判定</w:t>
      </w:r>
      <w:r>
        <w:tab/>
      </w:r>
      <w:r>
        <w:fldChar w:fldCharType="begin"/>
      </w:r>
      <w:r>
        <w:instrText xml:space="preserve"> PAGEREF _Toc6108 </w:instrText>
      </w:r>
      <w:r>
        <w:fldChar w:fldCharType="separate"/>
      </w:r>
      <w:r>
        <w:t>22</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_Toc18692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_Toc18692 </w:instrText>
      </w:r>
      <w:r>
        <w:fldChar w:fldCharType="separate"/>
      </w:r>
      <w:r>
        <w:t>22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_Toc22464 </w:instrText>
      </w:r>
      <w:r>
        <w:fldChar w:fldCharType="separate"/>
      </w:r>
      <w:r>
        <w:rPr>
          <w:rFonts w:hint="eastAsia"/>
          <w:lang w:val="en-GB"/>
        </w:rPr>
        <w:t xml:space="preserve">5.4 </w:t>
      </w:r>
      <w:r>
        <w:rPr>
          <w:rFonts w:hint="eastAsia"/>
        </w:rPr>
        <w:t>结论</w:t>
      </w:r>
      <w:r>
        <w:tab/>
      </w:r>
      <w:r>
        <w:fldChar w:fldCharType="begin"/>
      </w:r>
      <w:r>
        <w:instrText xml:space="preserve"> PAGEREF _Toc22464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_Toc22752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_Toc22752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_Toc20918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_Toc20918 </w:instrText>
      </w:r>
      <w:r>
        <w:fldChar w:fldCharType="separate"/>
      </w:r>
      <w:r>
        <w:t>24</w:t>
      </w:r>
      <w:r>
        <w:fldChar w:fldCharType="end"/>
      </w:r>
      <w:r>
        <w:fldChar w:fldCharType="end"/>
      </w:r>
    </w:p>
    <w:p>
      <w:pPr>
        <w:pStyle w:val="19"/>
        <w:spacing w:line="240" w:lineRule="auto"/>
        <w:sectPr>
          <w:footerReference r:id="rId5" w:type="first"/>
          <w:headerReference r:id="rId3" w:type="default"/>
          <w:footerReference r:id="rId4"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3046"/>
      <w:bookmarkStart w:id="10" w:name="_Toc452108759"/>
      <w:r>
        <w:rPr>
          <w:rFonts w:hint="eastAsia"/>
        </w:rPr>
        <w:t>项目概况</w:t>
      </w:r>
      <w:bookmarkEnd w:id="9"/>
    </w:p>
    <w:p>
      <w:pPr>
        <w:pStyle w:val="3"/>
        <w:numPr>
          <w:ilvl w:val="0"/>
          <w:numId w:val="2"/>
        </w:numPr>
        <w:rPr>
          <w:rFonts w:hint="eastAsia"/>
          <w:lang w:val="en-US" w:eastAsia="zh-CN"/>
        </w:rPr>
      </w:pPr>
      <w:r>
        <w:rPr>
          <w:rFonts w:hint="eastAsia"/>
          <w:lang w:val="en-US" w:eastAsia="zh-CN"/>
        </w:rPr>
        <w:t>建设地点：河北省石家庄市</w:t>
      </w:r>
    </w:p>
    <w:p>
      <w:pPr>
        <w:pStyle w:val="3"/>
        <w:numPr>
          <w:ilvl w:val="0"/>
          <w:numId w:val="2"/>
        </w:numPr>
        <w:rPr>
          <w:rFonts w:hint="default"/>
          <w:lang w:val="en-US" w:eastAsia="zh-CN"/>
        </w:rPr>
      </w:pPr>
      <w:r>
        <w:rPr>
          <w:rFonts w:hint="eastAsia"/>
          <w:lang w:val="en-US" w:eastAsia="zh-CN"/>
        </w:rPr>
        <w:t>工程名称：</w:t>
      </w:r>
      <w:r>
        <w:rPr>
          <w:rFonts w:hint="eastAsia" w:ascii="宋体" w:hAnsi="宋体" w:eastAsia="宋体" w:cs="宋体"/>
          <w:i w:val="0"/>
          <w:color w:val="000000"/>
          <w:kern w:val="0"/>
          <w:sz w:val="22"/>
          <w:szCs w:val="22"/>
          <w:u w:val="none"/>
          <w:lang w:val="en-US" w:eastAsia="zh-CN" w:bidi="ar"/>
        </w:rPr>
        <w:t>为教育填一方绿瓦—石家庄某教学楼改造</w:t>
      </w:r>
    </w:p>
    <w:p>
      <w:pPr>
        <w:pStyle w:val="3"/>
        <w:numPr>
          <w:ilvl w:val="0"/>
          <w:numId w:val="2"/>
        </w:numPr>
        <w:rPr>
          <w:rFonts w:hint="default"/>
          <w:lang w:val="en-US" w:eastAsia="zh-CN"/>
        </w:rPr>
      </w:pPr>
      <w:r>
        <w:rPr>
          <w:rFonts w:hint="eastAsia"/>
          <w:lang w:val="en-US" w:eastAsia="zh-CN"/>
        </w:rPr>
        <w:t>建筑物建筑面积、层数、高度、结构型式及建筑性质：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266"/>
        <w:gridCol w:w="1424"/>
        <w:gridCol w:w="1424"/>
        <w:gridCol w:w="1269"/>
        <w:gridCol w:w="1199"/>
        <w:gridCol w:w="1270"/>
        <w:gridCol w:w="1213"/>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65" w:type="dxa"/>
            <w:vMerge w:val="restart"/>
          </w:tcPr>
          <w:p>
            <w:pPr>
              <w:pStyle w:val="3"/>
              <w:rPr>
                <w:rFonts w:hint="default" w:eastAsia="宋体"/>
                <w:vertAlign w:val="baseline"/>
                <w:lang w:val="en-US" w:eastAsia="zh-CN"/>
              </w:rPr>
            </w:pPr>
            <w:bookmarkStart w:id="11" w:name="项目概况"/>
          </w:p>
        </w:tc>
        <w:tc>
          <w:tcPr>
            <w:tcW w:w="1424" w:type="dxa"/>
            <w:vMerge w:val="restart"/>
          </w:tcPr>
          <w:p>
            <w:pPr>
              <w:pStyle w:val="3"/>
              <w:ind w:left="0" w:leftChars="0" w:firstLine="0" w:firstLineChars="0"/>
              <w:rPr>
                <w:rFonts w:hint="eastAsia"/>
                <w:vertAlign w:val="baseline"/>
                <w:lang w:val="en-US" w:eastAsia="zh-CN"/>
              </w:rPr>
            </w:pPr>
            <w:r>
              <w:rPr>
                <w:rFonts w:hint="eastAsia"/>
                <w:vertAlign w:val="baseline"/>
                <w:lang w:val="en-US" w:eastAsia="zh-CN"/>
              </w:rPr>
              <w:t>总建筑面积</w:t>
            </w:r>
          </w:p>
          <w:p>
            <w:pPr>
              <w:pStyle w:val="3"/>
              <w:ind w:left="0" w:leftChars="0" w:firstLine="0" w:firstLineChars="0"/>
              <w:rPr>
                <w:rFonts w:hint="eastAsia"/>
                <w:vertAlign w:val="baseline"/>
                <w:lang w:val="en-US" w:eastAsia="zh-CN"/>
              </w:rPr>
            </w:pPr>
            <w:r>
              <w:rPr>
                <w:rFonts w:hint="eastAsia"/>
                <w:vertAlign w:val="baseline"/>
                <w:lang w:val="en-US" w:eastAsia="zh-CN"/>
              </w:rPr>
              <w:t>（㎡）</w:t>
            </w:r>
          </w:p>
        </w:tc>
        <w:tc>
          <w:tcPr>
            <w:tcW w:w="2694" w:type="dxa"/>
            <w:gridSpan w:val="2"/>
          </w:tcPr>
          <w:p>
            <w:pPr>
              <w:pStyle w:val="3"/>
              <w:ind w:firstLine="630" w:firstLineChars="300"/>
              <w:rPr>
                <w:rFonts w:hint="default"/>
                <w:vertAlign w:val="baseline"/>
                <w:lang w:val="en-US" w:eastAsia="zh-CN"/>
              </w:rPr>
            </w:pPr>
            <w:r>
              <w:rPr>
                <w:rFonts w:hint="eastAsia"/>
                <w:vertAlign w:val="baseline"/>
                <w:lang w:val="en-US" w:eastAsia="zh-CN"/>
              </w:rPr>
              <w:t>建筑面积（㎡）</w:t>
            </w:r>
          </w:p>
        </w:tc>
        <w:tc>
          <w:tcPr>
            <w:tcW w:w="1199" w:type="dxa"/>
            <w:vMerge w:val="restart"/>
          </w:tcPr>
          <w:p>
            <w:pPr>
              <w:pStyle w:val="3"/>
              <w:ind w:left="0" w:leftChars="0" w:firstLine="0" w:firstLineChars="0"/>
              <w:rPr>
                <w:rFonts w:hint="eastAsia" w:eastAsia="宋体"/>
                <w:vertAlign w:val="baseline"/>
                <w:lang w:val="en-US" w:eastAsia="zh-CN"/>
              </w:rPr>
            </w:pPr>
            <w:r>
              <w:rPr>
                <w:rFonts w:hint="eastAsia"/>
                <w:vertAlign w:val="baseline"/>
                <w:lang w:val="en-US" w:eastAsia="zh-CN"/>
              </w:rPr>
              <w:t>建筑层数</w:t>
            </w:r>
          </w:p>
        </w:tc>
        <w:tc>
          <w:tcPr>
            <w:tcW w:w="1270" w:type="dxa"/>
            <w:vMerge w:val="restart"/>
          </w:tcPr>
          <w:p>
            <w:pPr>
              <w:pStyle w:val="3"/>
              <w:ind w:left="0" w:leftChars="0" w:firstLine="0" w:firstLineChars="0"/>
              <w:rPr>
                <w:rFonts w:hint="default" w:eastAsia="宋体"/>
                <w:vertAlign w:val="baseline"/>
                <w:lang w:val="en-US" w:eastAsia="zh-CN"/>
              </w:rPr>
            </w:pPr>
            <w:r>
              <w:rPr>
                <w:rFonts w:hint="eastAsia"/>
                <w:vertAlign w:val="baseline"/>
                <w:lang w:val="en-US" w:eastAsia="zh-CN"/>
              </w:rPr>
              <w:t>建筑高度</w:t>
            </w:r>
          </w:p>
        </w:tc>
        <w:tc>
          <w:tcPr>
            <w:tcW w:w="1213" w:type="dxa"/>
            <w:vMerge w:val="restart"/>
          </w:tcPr>
          <w:p>
            <w:pPr>
              <w:pStyle w:val="3"/>
              <w:ind w:left="0" w:leftChars="0" w:firstLine="0" w:firstLineChars="0"/>
              <w:rPr>
                <w:rFonts w:hint="default" w:eastAsia="宋体"/>
                <w:vertAlign w:val="baseline"/>
                <w:lang w:val="en-US" w:eastAsia="zh-CN"/>
              </w:rPr>
            </w:pPr>
            <w:r>
              <w:rPr>
                <w:rFonts w:hint="eastAsia"/>
                <w:vertAlign w:val="baseline"/>
                <w:lang w:val="en-US" w:eastAsia="zh-CN"/>
              </w:rPr>
              <w:t>建筑结构型式</w:t>
            </w:r>
          </w:p>
        </w:tc>
        <w:tc>
          <w:tcPr>
            <w:tcW w:w="1214" w:type="dxa"/>
            <w:vMerge w:val="restart"/>
          </w:tcPr>
          <w:p>
            <w:pPr>
              <w:pStyle w:val="3"/>
              <w:ind w:left="0" w:leftChars="0" w:firstLine="0" w:firstLineChars="0"/>
              <w:rPr>
                <w:rFonts w:hint="eastAsia" w:eastAsia="宋体"/>
                <w:vertAlign w:val="baseline"/>
                <w:lang w:val="en-US" w:eastAsia="zh-CN"/>
              </w:rPr>
            </w:pPr>
            <w:r>
              <w:rPr>
                <w:rFonts w:hint="eastAsia"/>
                <w:vertAlign w:val="baseline"/>
                <w:lang w:val="en-US" w:eastAsia="zh-CN"/>
              </w:rPr>
              <w:t>建筑性质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65" w:type="dxa"/>
            <w:vMerge w:val="continue"/>
            <w:tcBorders/>
          </w:tcPr>
          <w:p>
            <w:pPr>
              <w:pStyle w:val="3"/>
              <w:rPr>
                <w:rFonts w:hint="default" w:eastAsia="宋体"/>
                <w:vertAlign w:val="baseline"/>
                <w:lang w:val="en-US" w:eastAsia="zh-CN"/>
              </w:rPr>
            </w:pPr>
          </w:p>
        </w:tc>
        <w:tc>
          <w:tcPr>
            <w:tcW w:w="1424" w:type="dxa"/>
            <w:vMerge w:val="continue"/>
            <w:tcBorders/>
          </w:tcPr>
          <w:p>
            <w:pPr>
              <w:pStyle w:val="3"/>
              <w:rPr>
                <w:vertAlign w:val="baseline"/>
                <w:lang w:val="en-US"/>
              </w:rPr>
            </w:pPr>
          </w:p>
        </w:tc>
        <w:tc>
          <w:tcPr>
            <w:tcW w:w="1424" w:type="dxa"/>
            <w:tcBorders>
              <w:top w:val="single" w:color="auto" w:sz="4" w:space="0"/>
              <w:left w:val="single" w:color="auto" w:sz="4" w:space="0"/>
              <w:bottom w:val="single" w:color="auto" w:sz="4" w:space="0"/>
              <w:right w:val="single" w:color="auto" w:sz="4" w:space="0"/>
            </w:tcBorders>
            <w:vAlign w:val="top"/>
          </w:tcPr>
          <w:p>
            <w:pPr>
              <w:pStyle w:val="3"/>
              <w:rPr>
                <w:rFonts w:hint="default"/>
                <w:vertAlign w:val="baseline"/>
                <w:lang w:val="en-US" w:eastAsia="zh-CN"/>
              </w:rPr>
            </w:pPr>
            <w:r>
              <w:rPr>
                <w:rFonts w:hint="eastAsia"/>
                <w:vertAlign w:val="baseline"/>
                <w:lang w:val="en-US" w:eastAsia="zh-CN"/>
              </w:rPr>
              <w:t>地上</w:t>
            </w:r>
          </w:p>
          <w:p>
            <w:pPr>
              <w:pStyle w:val="3"/>
              <w:ind w:firstLine="630" w:firstLineChars="300"/>
              <w:rPr>
                <w:rFonts w:hint="eastAsia"/>
                <w:vertAlign w:val="baseline"/>
                <w:lang w:val="en-US" w:eastAsia="zh-CN"/>
              </w:rPr>
            </w:pPr>
          </w:p>
        </w:tc>
        <w:tc>
          <w:tcPr>
            <w:tcW w:w="1270" w:type="dxa"/>
          </w:tcPr>
          <w:p>
            <w:pPr>
              <w:pStyle w:val="3"/>
              <w:ind w:left="0" w:leftChars="0" w:firstLine="210" w:firstLineChars="100"/>
              <w:rPr>
                <w:rFonts w:hint="eastAsia" w:eastAsia="宋体"/>
                <w:vertAlign w:val="baseline"/>
                <w:lang w:val="en-US" w:eastAsia="zh-CN"/>
              </w:rPr>
            </w:pPr>
            <w:r>
              <w:rPr>
                <w:rFonts w:hint="eastAsia"/>
                <w:vertAlign w:val="baseline"/>
                <w:lang w:val="en-US" w:eastAsia="zh-CN"/>
              </w:rPr>
              <w:t>地下</w:t>
            </w:r>
          </w:p>
        </w:tc>
        <w:tc>
          <w:tcPr>
            <w:tcW w:w="1199" w:type="dxa"/>
            <w:vMerge w:val="continue"/>
            <w:tcBorders/>
          </w:tcPr>
          <w:p>
            <w:pPr>
              <w:pStyle w:val="3"/>
              <w:rPr>
                <w:vertAlign w:val="baseline"/>
                <w:lang w:val="en-US"/>
              </w:rPr>
            </w:pPr>
          </w:p>
        </w:tc>
        <w:tc>
          <w:tcPr>
            <w:tcW w:w="1270" w:type="dxa"/>
            <w:vMerge w:val="continue"/>
            <w:tcBorders/>
          </w:tcPr>
          <w:p>
            <w:pPr>
              <w:pStyle w:val="3"/>
              <w:rPr>
                <w:vertAlign w:val="baseline"/>
                <w:lang w:val="en-US"/>
              </w:rPr>
            </w:pPr>
          </w:p>
        </w:tc>
        <w:tc>
          <w:tcPr>
            <w:tcW w:w="1213" w:type="dxa"/>
            <w:vMerge w:val="continue"/>
            <w:tcBorders/>
          </w:tcPr>
          <w:p>
            <w:pPr>
              <w:pStyle w:val="3"/>
              <w:rPr>
                <w:vertAlign w:val="baseline"/>
                <w:lang w:val="en-US"/>
              </w:rPr>
            </w:pPr>
          </w:p>
        </w:tc>
        <w:tc>
          <w:tcPr>
            <w:tcW w:w="1214" w:type="dxa"/>
            <w:vMerge w:val="continue"/>
            <w:tcBorders/>
          </w:tcPr>
          <w:p>
            <w:pPr>
              <w:pStyle w:val="3"/>
              <w:rPr>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65" w:type="dxa"/>
          </w:tcPr>
          <w:p>
            <w:pPr>
              <w:pStyle w:val="3"/>
              <w:ind w:left="0" w:leftChars="0" w:firstLine="0" w:firstLineChars="0"/>
              <w:rPr>
                <w:rFonts w:hint="default"/>
                <w:vertAlign w:val="baseline"/>
                <w:lang w:val="en-US" w:eastAsia="zh-CN"/>
              </w:rPr>
            </w:pPr>
            <w:r>
              <w:rPr>
                <w:rFonts w:hint="eastAsia"/>
                <w:vertAlign w:val="baseline"/>
                <w:lang w:val="en-US" w:eastAsia="zh-CN"/>
              </w:rPr>
              <w:t>1#2#5#6#8#</w:t>
            </w:r>
          </w:p>
        </w:tc>
        <w:tc>
          <w:tcPr>
            <w:tcW w:w="1424" w:type="dxa"/>
          </w:tcPr>
          <w:p>
            <w:pPr>
              <w:pStyle w:val="3"/>
              <w:rPr>
                <w:rFonts w:hint="default" w:eastAsia="宋体"/>
                <w:vertAlign w:val="baseline"/>
                <w:lang w:val="en-US" w:eastAsia="zh-CN"/>
              </w:rPr>
            </w:pPr>
            <w:r>
              <w:rPr>
                <w:rFonts w:hint="eastAsia"/>
                <w:vertAlign w:val="baseline"/>
                <w:lang w:val="en-US" w:eastAsia="zh-CN"/>
              </w:rPr>
              <w:t>11503.90</w:t>
            </w:r>
          </w:p>
        </w:tc>
        <w:tc>
          <w:tcPr>
            <w:tcW w:w="1424" w:type="dxa"/>
            <w:tcBorders>
              <w:top w:val="single" w:color="auto" w:sz="4" w:space="0"/>
              <w:left w:val="single" w:color="auto" w:sz="4" w:space="0"/>
              <w:bottom w:val="single" w:color="auto" w:sz="4" w:space="0"/>
              <w:right w:val="single" w:color="auto" w:sz="4" w:space="0"/>
            </w:tcBorders>
            <w:vAlign w:val="top"/>
          </w:tcPr>
          <w:p>
            <w:pPr>
              <w:pStyle w:val="3"/>
              <w:rPr>
                <w:rFonts w:hint="default" w:eastAsia="宋体"/>
                <w:vertAlign w:val="baseline"/>
                <w:lang w:val="en-US" w:eastAsia="zh-CN"/>
              </w:rPr>
            </w:pPr>
            <w:r>
              <w:rPr>
                <w:rFonts w:hint="eastAsia"/>
                <w:vertAlign w:val="baseline"/>
                <w:lang w:val="en-US" w:eastAsia="zh-CN"/>
              </w:rPr>
              <w:t>11504.70</w:t>
            </w:r>
          </w:p>
        </w:tc>
        <w:tc>
          <w:tcPr>
            <w:tcW w:w="1270" w:type="dxa"/>
          </w:tcPr>
          <w:p>
            <w:pPr>
              <w:pStyle w:val="3"/>
              <w:rPr>
                <w:vertAlign w:val="baseline"/>
                <w:lang w:val="en-US"/>
              </w:rPr>
            </w:pPr>
          </w:p>
        </w:tc>
        <w:tc>
          <w:tcPr>
            <w:tcW w:w="1199" w:type="dxa"/>
          </w:tcPr>
          <w:p>
            <w:pPr>
              <w:pStyle w:val="3"/>
              <w:rPr>
                <w:rFonts w:hint="eastAsia" w:eastAsia="宋体"/>
                <w:vertAlign w:val="baseline"/>
                <w:lang w:val="en-US" w:eastAsia="zh-CN"/>
              </w:rPr>
            </w:pPr>
            <w:r>
              <w:rPr>
                <w:rFonts w:hint="eastAsia"/>
                <w:vertAlign w:val="baseline"/>
                <w:lang w:val="en-US" w:eastAsia="zh-CN"/>
              </w:rPr>
              <w:t>6</w:t>
            </w:r>
          </w:p>
        </w:tc>
        <w:tc>
          <w:tcPr>
            <w:tcW w:w="1270" w:type="dxa"/>
          </w:tcPr>
          <w:p>
            <w:pPr>
              <w:pStyle w:val="3"/>
              <w:rPr>
                <w:rFonts w:hint="default" w:eastAsia="宋体"/>
                <w:vertAlign w:val="baseline"/>
                <w:lang w:val="en-US" w:eastAsia="zh-CN"/>
              </w:rPr>
            </w:pPr>
            <w:r>
              <w:rPr>
                <w:rFonts w:hint="eastAsia"/>
                <w:vertAlign w:val="baseline"/>
                <w:lang w:val="en-US" w:eastAsia="zh-CN"/>
              </w:rPr>
              <w:t>23.95</w:t>
            </w:r>
          </w:p>
        </w:tc>
        <w:tc>
          <w:tcPr>
            <w:tcW w:w="1213" w:type="dxa"/>
            <w:vMerge w:val="restart"/>
          </w:tcPr>
          <w:p>
            <w:pPr>
              <w:pStyle w:val="3"/>
              <w:ind w:left="0" w:leftChars="0" w:firstLine="0" w:firstLineChars="0"/>
              <w:rPr>
                <w:rFonts w:hint="eastAsia"/>
                <w:vertAlign w:val="baseline"/>
                <w:lang w:val="en-US" w:eastAsia="zh-CN"/>
              </w:rPr>
            </w:pPr>
            <w:r>
              <w:rPr>
                <w:rFonts w:hint="eastAsia"/>
                <w:vertAlign w:val="baseline"/>
                <w:lang w:val="en-US" w:eastAsia="zh-CN"/>
              </w:rPr>
              <w:t xml:space="preserve">框 </w:t>
            </w:r>
          </w:p>
          <w:p>
            <w:pPr>
              <w:pStyle w:val="3"/>
              <w:ind w:left="0" w:leftChars="0" w:firstLine="0" w:firstLineChars="0"/>
              <w:rPr>
                <w:rFonts w:hint="eastAsia"/>
                <w:vertAlign w:val="baseline"/>
                <w:lang w:val="en-US" w:eastAsia="zh-CN"/>
              </w:rPr>
            </w:pPr>
            <w:r>
              <w:rPr>
                <w:rFonts w:hint="eastAsia"/>
                <w:vertAlign w:val="baseline"/>
                <w:lang w:val="en-US" w:eastAsia="zh-CN"/>
              </w:rPr>
              <w:t>架</w:t>
            </w:r>
          </w:p>
          <w:p>
            <w:pPr>
              <w:pStyle w:val="3"/>
              <w:ind w:left="0" w:leftChars="0" w:firstLine="0" w:firstLineChars="0"/>
              <w:rPr>
                <w:rFonts w:hint="eastAsia"/>
                <w:vertAlign w:val="baseline"/>
                <w:lang w:val="en-US" w:eastAsia="zh-CN"/>
              </w:rPr>
            </w:pPr>
            <w:r>
              <w:rPr>
                <w:rFonts w:hint="eastAsia"/>
                <w:vertAlign w:val="baseline"/>
                <w:lang w:val="en-US" w:eastAsia="zh-CN"/>
              </w:rPr>
              <w:t>结</w:t>
            </w:r>
          </w:p>
          <w:p>
            <w:pPr>
              <w:pStyle w:val="3"/>
              <w:ind w:left="0" w:leftChars="0" w:firstLine="0" w:firstLineChars="0"/>
              <w:rPr>
                <w:rFonts w:hint="default" w:eastAsia="宋体"/>
                <w:vertAlign w:val="baseline"/>
                <w:lang w:val="en-US" w:eastAsia="zh-CN"/>
              </w:rPr>
            </w:pPr>
            <w:r>
              <w:rPr>
                <w:rFonts w:hint="eastAsia"/>
                <w:vertAlign w:val="baseline"/>
                <w:lang w:val="en-US" w:eastAsia="zh-CN"/>
              </w:rPr>
              <w:t>构</w:t>
            </w:r>
          </w:p>
        </w:tc>
        <w:tc>
          <w:tcPr>
            <w:tcW w:w="1214" w:type="dxa"/>
          </w:tcPr>
          <w:p>
            <w:pPr>
              <w:pStyle w:val="3"/>
              <w:ind w:left="0" w:leftChars="0" w:firstLine="0" w:firstLineChars="0"/>
              <w:rPr>
                <w:rFonts w:hint="eastAsia" w:eastAsia="宋体"/>
                <w:vertAlign w:val="baseline"/>
                <w:lang w:val="en-US" w:eastAsia="zh-CN"/>
              </w:rPr>
            </w:pPr>
            <w:r>
              <w:rPr>
                <w:rFonts w:hint="eastAsia"/>
                <w:vertAlign w:val="baseline"/>
                <w:lang w:val="en-US" w:eastAsia="zh-CN"/>
              </w:rPr>
              <w:t>宿舍楼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65" w:type="dxa"/>
          </w:tcPr>
          <w:p>
            <w:pPr>
              <w:pStyle w:val="3"/>
              <w:rPr>
                <w:rFonts w:hint="default" w:eastAsia="宋体"/>
                <w:vertAlign w:val="baseline"/>
                <w:lang w:val="en-US" w:eastAsia="zh-CN"/>
              </w:rPr>
            </w:pPr>
            <w:r>
              <w:rPr>
                <w:rFonts w:hint="eastAsia"/>
                <w:vertAlign w:val="baseline"/>
                <w:lang w:val="en-US" w:eastAsia="zh-CN"/>
              </w:rPr>
              <w:t>3#7#</w:t>
            </w:r>
          </w:p>
        </w:tc>
        <w:tc>
          <w:tcPr>
            <w:tcW w:w="1424" w:type="dxa"/>
          </w:tcPr>
          <w:p>
            <w:pPr>
              <w:pStyle w:val="3"/>
              <w:rPr>
                <w:rFonts w:hint="default" w:eastAsia="宋体"/>
                <w:vertAlign w:val="baseline"/>
                <w:lang w:val="en-US" w:eastAsia="zh-CN"/>
              </w:rPr>
            </w:pPr>
            <w:r>
              <w:rPr>
                <w:rFonts w:hint="eastAsia"/>
                <w:vertAlign w:val="baseline"/>
                <w:lang w:val="en-US" w:eastAsia="zh-CN"/>
              </w:rPr>
              <w:t>17628.77</w:t>
            </w:r>
          </w:p>
        </w:tc>
        <w:tc>
          <w:tcPr>
            <w:tcW w:w="1424" w:type="dxa"/>
            <w:tcBorders>
              <w:top w:val="single" w:color="auto" w:sz="4" w:space="0"/>
              <w:left w:val="single" w:color="auto" w:sz="4" w:space="0"/>
              <w:bottom w:val="single" w:color="auto" w:sz="4" w:space="0"/>
              <w:right w:val="single" w:color="auto" w:sz="4" w:space="0"/>
            </w:tcBorders>
            <w:vAlign w:val="top"/>
          </w:tcPr>
          <w:p>
            <w:pPr>
              <w:pStyle w:val="3"/>
              <w:rPr>
                <w:rFonts w:hint="default" w:eastAsia="宋体"/>
                <w:vertAlign w:val="baseline"/>
                <w:lang w:val="en-US" w:eastAsia="zh-CN"/>
              </w:rPr>
            </w:pPr>
            <w:r>
              <w:rPr>
                <w:rFonts w:hint="eastAsia"/>
                <w:vertAlign w:val="baseline"/>
                <w:lang w:val="en-US" w:eastAsia="zh-CN"/>
              </w:rPr>
              <w:t>17628.77</w:t>
            </w:r>
          </w:p>
        </w:tc>
        <w:tc>
          <w:tcPr>
            <w:tcW w:w="1270" w:type="dxa"/>
          </w:tcPr>
          <w:p>
            <w:pPr>
              <w:pStyle w:val="3"/>
              <w:rPr>
                <w:vertAlign w:val="baseline"/>
                <w:lang w:val="en-US"/>
              </w:rPr>
            </w:pPr>
          </w:p>
        </w:tc>
        <w:tc>
          <w:tcPr>
            <w:tcW w:w="1199" w:type="dxa"/>
          </w:tcPr>
          <w:p>
            <w:pPr>
              <w:pStyle w:val="3"/>
              <w:rPr>
                <w:rFonts w:hint="eastAsia" w:eastAsia="宋体"/>
                <w:vertAlign w:val="baseline"/>
                <w:lang w:val="en-US" w:eastAsia="zh-CN"/>
              </w:rPr>
            </w:pPr>
            <w:r>
              <w:rPr>
                <w:rFonts w:hint="eastAsia"/>
                <w:vertAlign w:val="baseline"/>
                <w:lang w:val="en-US" w:eastAsia="zh-CN"/>
              </w:rPr>
              <w:t>5</w:t>
            </w:r>
          </w:p>
        </w:tc>
        <w:tc>
          <w:tcPr>
            <w:tcW w:w="1270" w:type="dxa"/>
          </w:tcPr>
          <w:p>
            <w:pPr>
              <w:pStyle w:val="3"/>
              <w:rPr>
                <w:rFonts w:hint="default" w:eastAsia="宋体"/>
                <w:vertAlign w:val="baseline"/>
                <w:lang w:val="en-US" w:eastAsia="zh-CN"/>
              </w:rPr>
            </w:pPr>
            <w:r>
              <w:rPr>
                <w:rFonts w:hint="eastAsia"/>
                <w:vertAlign w:val="baseline"/>
                <w:lang w:val="en-US" w:eastAsia="zh-CN"/>
              </w:rPr>
              <w:t>22.35</w:t>
            </w:r>
          </w:p>
        </w:tc>
        <w:tc>
          <w:tcPr>
            <w:tcW w:w="1213" w:type="dxa"/>
            <w:vMerge w:val="continue"/>
            <w:tcBorders/>
          </w:tcPr>
          <w:p>
            <w:pPr>
              <w:pStyle w:val="3"/>
              <w:rPr>
                <w:vertAlign w:val="baseline"/>
                <w:lang w:val="en-US"/>
              </w:rPr>
            </w:pPr>
          </w:p>
        </w:tc>
        <w:tc>
          <w:tcPr>
            <w:tcW w:w="1214" w:type="dxa"/>
          </w:tcPr>
          <w:p>
            <w:pPr>
              <w:pStyle w:val="3"/>
              <w:ind w:left="0" w:leftChars="0" w:firstLine="0" w:firstLineChars="0"/>
              <w:rPr>
                <w:rFonts w:hint="eastAsia" w:eastAsia="宋体"/>
                <w:vertAlign w:val="baseline"/>
                <w:lang w:val="en-US" w:eastAsia="zh-CN"/>
              </w:rPr>
            </w:pPr>
            <w:r>
              <w:rPr>
                <w:rFonts w:hint="eastAsia"/>
                <w:vertAlign w:val="baseline"/>
                <w:lang w:val="en-US" w:eastAsia="zh-CN"/>
              </w:rPr>
              <w:t>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65" w:type="dxa"/>
          </w:tcPr>
          <w:p>
            <w:pPr>
              <w:pStyle w:val="3"/>
              <w:rPr>
                <w:rFonts w:hint="default" w:eastAsia="宋体"/>
                <w:vertAlign w:val="baseline"/>
                <w:lang w:val="en-US" w:eastAsia="zh-CN"/>
              </w:rPr>
            </w:pPr>
            <w:r>
              <w:rPr>
                <w:rFonts w:hint="eastAsia"/>
                <w:vertAlign w:val="baseline"/>
                <w:lang w:val="en-US" w:eastAsia="zh-CN"/>
              </w:rPr>
              <w:t>4#</w:t>
            </w:r>
          </w:p>
        </w:tc>
        <w:tc>
          <w:tcPr>
            <w:tcW w:w="1424" w:type="dxa"/>
          </w:tcPr>
          <w:p>
            <w:pPr>
              <w:pStyle w:val="3"/>
              <w:rPr>
                <w:rFonts w:hint="default" w:eastAsia="宋体"/>
                <w:vertAlign w:val="baseline"/>
                <w:lang w:val="en-US" w:eastAsia="zh-CN"/>
              </w:rPr>
            </w:pPr>
            <w:r>
              <w:rPr>
                <w:rFonts w:hint="eastAsia"/>
                <w:vertAlign w:val="baseline"/>
                <w:lang w:val="en-US" w:eastAsia="zh-CN"/>
              </w:rPr>
              <w:t>18789.09</w:t>
            </w:r>
          </w:p>
        </w:tc>
        <w:tc>
          <w:tcPr>
            <w:tcW w:w="1424" w:type="dxa"/>
            <w:tcBorders>
              <w:top w:val="single" w:color="auto" w:sz="4" w:space="0"/>
              <w:left w:val="single" w:color="auto" w:sz="4" w:space="0"/>
              <w:bottom w:val="single" w:color="auto" w:sz="4" w:space="0"/>
              <w:right w:val="single" w:color="auto" w:sz="4" w:space="0"/>
            </w:tcBorders>
            <w:vAlign w:val="top"/>
          </w:tcPr>
          <w:p>
            <w:pPr>
              <w:pStyle w:val="3"/>
              <w:rPr>
                <w:rFonts w:hint="default" w:eastAsia="宋体"/>
                <w:vertAlign w:val="baseline"/>
                <w:lang w:val="en-US" w:eastAsia="zh-CN"/>
              </w:rPr>
            </w:pPr>
            <w:r>
              <w:rPr>
                <w:rFonts w:hint="eastAsia"/>
                <w:vertAlign w:val="baseline"/>
                <w:lang w:val="en-US" w:eastAsia="zh-CN"/>
              </w:rPr>
              <w:t>18789.09</w:t>
            </w:r>
          </w:p>
        </w:tc>
        <w:tc>
          <w:tcPr>
            <w:tcW w:w="1270" w:type="dxa"/>
          </w:tcPr>
          <w:p>
            <w:pPr>
              <w:pStyle w:val="3"/>
              <w:rPr>
                <w:vertAlign w:val="baseline"/>
                <w:lang w:val="en-US"/>
              </w:rPr>
            </w:pPr>
          </w:p>
        </w:tc>
        <w:tc>
          <w:tcPr>
            <w:tcW w:w="1199" w:type="dxa"/>
          </w:tcPr>
          <w:p>
            <w:pPr>
              <w:pStyle w:val="3"/>
              <w:rPr>
                <w:rFonts w:hint="eastAsia" w:eastAsia="宋体"/>
                <w:vertAlign w:val="baseline"/>
                <w:lang w:val="en-US" w:eastAsia="zh-CN"/>
              </w:rPr>
            </w:pPr>
            <w:r>
              <w:rPr>
                <w:rFonts w:hint="eastAsia"/>
                <w:vertAlign w:val="baseline"/>
                <w:lang w:val="en-US" w:eastAsia="zh-CN"/>
              </w:rPr>
              <w:t>6</w:t>
            </w:r>
          </w:p>
        </w:tc>
        <w:tc>
          <w:tcPr>
            <w:tcW w:w="1270" w:type="dxa"/>
          </w:tcPr>
          <w:p>
            <w:pPr>
              <w:pStyle w:val="3"/>
              <w:rPr>
                <w:rFonts w:hint="default" w:eastAsia="宋体"/>
                <w:vertAlign w:val="baseline"/>
                <w:lang w:val="en-US" w:eastAsia="zh-CN"/>
              </w:rPr>
            </w:pPr>
            <w:r>
              <w:rPr>
                <w:rFonts w:hint="eastAsia"/>
                <w:vertAlign w:val="baseline"/>
                <w:lang w:val="en-US" w:eastAsia="zh-CN"/>
              </w:rPr>
              <w:t>22.35</w:t>
            </w:r>
          </w:p>
        </w:tc>
        <w:tc>
          <w:tcPr>
            <w:tcW w:w="1213" w:type="dxa"/>
            <w:vMerge w:val="continue"/>
            <w:tcBorders/>
          </w:tcPr>
          <w:p>
            <w:pPr>
              <w:pStyle w:val="3"/>
              <w:rPr>
                <w:vertAlign w:val="baseline"/>
                <w:lang w:val="en-US"/>
              </w:rPr>
            </w:pPr>
          </w:p>
        </w:tc>
        <w:tc>
          <w:tcPr>
            <w:tcW w:w="1214" w:type="dxa"/>
          </w:tcPr>
          <w:p>
            <w:pPr>
              <w:pStyle w:val="3"/>
              <w:ind w:left="0" w:leftChars="0" w:firstLine="0" w:firstLineChars="0"/>
              <w:rPr>
                <w:rFonts w:hint="eastAsia" w:eastAsia="宋体"/>
                <w:vertAlign w:val="baseline"/>
                <w:lang w:val="en-US" w:eastAsia="zh-CN"/>
              </w:rPr>
            </w:pPr>
            <w:r>
              <w:rPr>
                <w:rFonts w:hint="eastAsia"/>
                <w:vertAlign w:val="baseline"/>
                <w:lang w:val="en-US" w:eastAsia="zh-CN"/>
              </w:rPr>
              <w:t>教学楼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265" w:type="dxa"/>
          </w:tcPr>
          <w:p>
            <w:pPr>
              <w:pStyle w:val="3"/>
              <w:rPr>
                <w:rFonts w:hint="default" w:eastAsia="宋体"/>
                <w:vertAlign w:val="baseline"/>
                <w:lang w:val="en-US" w:eastAsia="zh-CN"/>
              </w:rPr>
            </w:pPr>
            <w:r>
              <w:rPr>
                <w:rFonts w:hint="eastAsia"/>
                <w:vertAlign w:val="baseline"/>
                <w:lang w:val="en-US" w:eastAsia="zh-CN"/>
              </w:rPr>
              <w:t>9#</w:t>
            </w:r>
          </w:p>
        </w:tc>
        <w:tc>
          <w:tcPr>
            <w:tcW w:w="1424" w:type="dxa"/>
          </w:tcPr>
          <w:p>
            <w:pPr>
              <w:pStyle w:val="3"/>
              <w:rPr>
                <w:rFonts w:hint="default" w:eastAsia="宋体"/>
                <w:vertAlign w:val="baseline"/>
                <w:lang w:val="en-US" w:eastAsia="zh-CN"/>
              </w:rPr>
            </w:pPr>
            <w:r>
              <w:rPr>
                <w:rFonts w:hint="eastAsia"/>
                <w:vertAlign w:val="baseline"/>
                <w:lang w:val="en-US" w:eastAsia="zh-CN"/>
              </w:rPr>
              <w:t>13330.45</w:t>
            </w:r>
          </w:p>
        </w:tc>
        <w:tc>
          <w:tcPr>
            <w:tcW w:w="1424" w:type="dxa"/>
            <w:tcBorders>
              <w:top w:val="single" w:color="auto" w:sz="4" w:space="0"/>
              <w:left w:val="single" w:color="auto" w:sz="4" w:space="0"/>
              <w:bottom w:val="single" w:color="auto" w:sz="4" w:space="0"/>
              <w:right w:val="single" w:color="auto" w:sz="4" w:space="0"/>
            </w:tcBorders>
            <w:vAlign w:val="top"/>
          </w:tcPr>
          <w:p>
            <w:pPr>
              <w:pStyle w:val="3"/>
              <w:rPr>
                <w:rFonts w:hint="default" w:eastAsia="宋体"/>
                <w:vertAlign w:val="baseline"/>
                <w:lang w:val="en-US" w:eastAsia="zh-CN"/>
              </w:rPr>
            </w:pPr>
            <w:r>
              <w:rPr>
                <w:rFonts w:hint="eastAsia"/>
                <w:vertAlign w:val="baseline"/>
                <w:lang w:val="en-US" w:eastAsia="zh-CN"/>
              </w:rPr>
              <w:t>13330.45</w:t>
            </w:r>
          </w:p>
        </w:tc>
        <w:tc>
          <w:tcPr>
            <w:tcW w:w="1270" w:type="dxa"/>
          </w:tcPr>
          <w:p>
            <w:pPr>
              <w:pStyle w:val="3"/>
              <w:rPr>
                <w:vertAlign w:val="baseline"/>
                <w:lang w:val="en-US"/>
              </w:rPr>
            </w:pPr>
          </w:p>
        </w:tc>
        <w:tc>
          <w:tcPr>
            <w:tcW w:w="1199" w:type="dxa"/>
          </w:tcPr>
          <w:p>
            <w:pPr>
              <w:pStyle w:val="3"/>
              <w:rPr>
                <w:rFonts w:hint="eastAsia" w:eastAsia="宋体"/>
                <w:vertAlign w:val="baseline"/>
                <w:lang w:val="en-US" w:eastAsia="zh-CN"/>
              </w:rPr>
            </w:pPr>
            <w:r>
              <w:rPr>
                <w:rFonts w:hint="eastAsia"/>
                <w:vertAlign w:val="baseline"/>
                <w:lang w:val="en-US" w:eastAsia="zh-CN"/>
              </w:rPr>
              <w:t>3</w:t>
            </w:r>
          </w:p>
        </w:tc>
        <w:tc>
          <w:tcPr>
            <w:tcW w:w="1270" w:type="dxa"/>
          </w:tcPr>
          <w:p>
            <w:pPr>
              <w:pStyle w:val="3"/>
              <w:rPr>
                <w:rFonts w:hint="default" w:eastAsia="宋体"/>
                <w:vertAlign w:val="baseline"/>
                <w:lang w:val="en-US" w:eastAsia="zh-CN"/>
              </w:rPr>
            </w:pPr>
            <w:r>
              <w:rPr>
                <w:rFonts w:hint="eastAsia"/>
                <w:vertAlign w:val="baseline"/>
                <w:lang w:val="en-US" w:eastAsia="zh-CN"/>
              </w:rPr>
              <w:t>10.80</w:t>
            </w:r>
          </w:p>
        </w:tc>
        <w:tc>
          <w:tcPr>
            <w:tcW w:w="1213" w:type="dxa"/>
            <w:vMerge w:val="continue"/>
            <w:tcBorders/>
          </w:tcPr>
          <w:p>
            <w:pPr>
              <w:pStyle w:val="3"/>
              <w:rPr>
                <w:vertAlign w:val="baseline"/>
                <w:lang w:val="en-US"/>
              </w:rPr>
            </w:pPr>
          </w:p>
        </w:tc>
        <w:tc>
          <w:tcPr>
            <w:tcW w:w="1214" w:type="dxa"/>
          </w:tcPr>
          <w:p>
            <w:pPr>
              <w:pStyle w:val="3"/>
              <w:ind w:left="0" w:leftChars="0" w:firstLine="0" w:firstLineChars="0"/>
              <w:rPr>
                <w:rFonts w:hint="eastAsia" w:eastAsia="宋体"/>
                <w:vertAlign w:val="baseline"/>
                <w:lang w:val="en-US" w:eastAsia="zh-CN"/>
              </w:rPr>
            </w:pPr>
            <w:r>
              <w:rPr>
                <w:rFonts w:hint="eastAsia"/>
                <w:vertAlign w:val="baseline"/>
                <w:lang w:val="en-US" w:eastAsia="zh-CN"/>
              </w:rPr>
              <w:t>食堂</w:t>
            </w:r>
          </w:p>
        </w:tc>
      </w:tr>
    </w:tbl>
    <w:p>
      <w:pPr>
        <w:pStyle w:val="3"/>
        <w:ind w:firstLine="420"/>
        <w:rPr>
          <w:lang w:val="en-US"/>
        </w:rPr>
      </w:pPr>
      <w:bookmarkStart w:id="80" w:name="_GoBack"/>
      <w:bookmarkEnd w:id="80"/>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5525"/>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4" w:name="总平面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5" w:name="总平面图"/>
      <w: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
                    <a:stretch>
                      <a:fillRect/>
                    </a:stretch>
                  </pic:blipFill>
                  <pic:spPr>
                    <a:xfrm>
                      <a:off x="0" y="0"/>
                      <a:ext cx="5667375" cy="3810000"/>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1590"/>
      <w:bookmarkStart w:id="17" w:name="_Toc452108761"/>
      <w:r>
        <w:rPr>
          <w:rFonts w:hint="eastAsia"/>
        </w:rPr>
        <w:t>三</w:t>
      </w:r>
      <w:r>
        <w:t>维视图</w:t>
      </w:r>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3"/>
        <w:gridCol w:w="992"/>
        <w:gridCol w:w="992"/>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4040E7"/>
          </w:tcPr>
          <w:p>
            <w:pPr>
              <w:pStyle w:val="3"/>
              <w:spacing w:line="400" w:lineRule="exact"/>
              <w:ind w:firstLine="0" w:firstLineChars="0"/>
              <w:rPr>
                <w:lang w:val="en-US"/>
              </w:rPr>
            </w:pPr>
            <w:bookmarkStart w:id="18" w:name="三维视图图例表"/>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广场</w:t>
            </w:r>
          </w:p>
        </w:tc>
        <w:tc>
          <w:tcPr>
            <w:tcW w:w="993" w:type="dxa"/>
            <w:tcBorders>
              <w:top w:val="single" w:color="auto" w:sz="4" w:space="0"/>
              <w:left w:val="single" w:color="auto" w:sz="4" w:space="0"/>
              <w:bottom w:val="single" w:color="auto" w:sz="4" w:space="0"/>
              <w:right w:val="single" w:color="auto" w:sz="4" w:space="0"/>
            </w:tcBorders>
            <w:shd w:val="clear" w:color="auto" w:fill="40B1A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游憩场</w:t>
            </w:r>
          </w:p>
        </w:tc>
        <w:tc>
          <w:tcPr>
            <w:tcW w:w="992" w:type="dxa"/>
            <w:tcBorders>
              <w:top w:val="single" w:color="auto" w:sz="4" w:space="0"/>
              <w:left w:val="single" w:color="auto" w:sz="4" w:space="0"/>
              <w:bottom w:val="single" w:color="auto" w:sz="4" w:space="0"/>
              <w:right w:val="single" w:color="auto" w:sz="4" w:space="0"/>
            </w:tcBorders>
            <w:shd w:val="clear" w:color="auto" w:fill="E6AE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A65353"/>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tcBorders>
              <w:top w:val="single" w:color="auto" w:sz="4" w:space="0"/>
              <w:left w:val="single" w:color="auto" w:sz="4" w:space="0"/>
              <w:bottom w:val="single" w:color="auto" w:sz="4" w:space="0"/>
              <w:right w:val="single" w:color="auto" w:sz="4" w:space="0"/>
            </w:tcBorders>
            <w:shd w:val="clear" w:color="auto" w:fill="FFFF40"/>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AECAFF"/>
          </w:tcPr>
          <w:p>
            <w:pPr>
              <w:pStyle w:val="3"/>
              <w:spacing w:line="400" w:lineRule="exact"/>
              <w:ind w:firstLine="0" w:firstLineChars="0"/>
              <w:rPr>
                <w:lang w:val="en-US"/>
              </w:rPr>
            </w:pPr>
          </w:p>
        </w:tc>
        <w:tc>
          <w:tcPr>
            <w:tcW w:w="99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2" w:type="dxa"/>
            <w:tcBorders>
              <w:top w:val="single" w:color="auto" w:sz="4" w:space="0"/>
              <w:left w:val="single" w:color="auto" w:sz="4" w:space="0"/>
              <w:bottom w:val="single" w:color="auto" w:sz="4" w:space="0"/>
              <w:right w:val="single" w:color="auto" w:sz="4" w:space="0"/>
            </w:tcBorders>
            <w:shd w:val="clear" w:color="auto" w:fill="C6C5C3"/>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建筑</w:t>
            </w:r>
          </w:p>
        </w:tc>
        <w:tc>
          <w:tcPr>
            <w:tcW w:w="993" w:type="dxa"/>
            <w:tcBorders>
              <w:top w:val="single" w:color="auto" w:sz="4" w:space="0"/>
              <w:left w:val="single" w:color="auto" w:sz="4" w:space="0"/>
              <w:bottom w:val="single" w:color="auto" w:sz="4" w:space="0"/>
              <w:right w:val="single" w:color="auto" w:sz="4" w:space="0"/>
            </w:tcBorders>
            <w:shd w:val="clear" w:color="auto" w:fill="A60000"/>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9"/>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9851"/>
      <w:bookmarkStart w:id="21" w:name="TitleFormat"/>
      <w:bookmarkStart w:id="22" w:name="_Toc452108762"/>
      <w:r>
        <w:rPr>
          <w:rFonts w:hint="eastAsia"/>
        </w:rPr>
        <w:t>计算</w:t>
      </w:r>
      <w:r>
        <w:t>依据</w:t>
      </w:r>
      <w:bookmarkEnd w:id="20"/>
    </w:p>
    <w:p>
      <w:pPr>
        <w:pStyle w:val="3"/>
        <w:ind w:firstLine="420"/>
        <w:rPr>
          <w:lang w:val="en-US"/>
        </w:rPr>
      </w:pPr>
      <w:r>
        <w:rPr>
          <w:rFonts w:hint="eastAsia"/>
          <w:lang w:val="en-US"/>
        </w:rPr>
        <w:t>本项目主要参照资料为：</w:t>
      </w:r>
    </w:p>
    <w:p>
      <w:pPr>
        <w:pStyle w:val="3"/>
        <w:numPr>
          <w:ilvl w:val="0"/>
          <w:numId w:val="3"/>
        </w:numPr>
        <w:ind w:firstLineChars="0"/>
        <w:rPr>
          <w:lang w:val="en-US"/>
        </w:rPr>
      </w:pPr>
      <w:r>
        <w:rPr>
          <w:rFonts w:hint="eastAsia"/>
          <w:lang w:val="en-US"/>
        </w:rPr>
        <w:t>《绿色建筑评价标准》GB/T 50378—</w:t>
      </w:r>
      <w:r>
        <w:rPr>
          <w:lang w:val="en-US"/>
        </w:rPr>
        <w:t>2019</w:t>
      </w:r>
    </w:p>
    <w:p>
      <w:pPr>
        <w:pStyle w:val="3"/>
        <w:numPr>
          <w:ilvl w:val="0"/>
          <w:numId w:val="3"/>
        </w:numPr>
        <w:ind w:firstLineChars="0"/>
        <w:rPr>
          <w:lang w:val="en-US"/>
        </w:rPr>
      </w:pPr>
      <w:r>
        <w:rPr>
          <w:rFonts w:hint="eastAsia"/>
          <w:lang w:val="en-US"/>
        </w:rPr>
        <w:t>《建筑通风效果测试与评价标准》JGJ/T 309—2013</w:t>
      </w:r>
    </w:p>
    <w:p>
      <w:pPr>
        <w:pStyle w:val="3"/>
        <w:numPr>
          <w:ilvl w:val="0"/>
          <w:numId w:val="3"/>
        </w:numPr>
        <w:ind w:firstLineChars="0"/>
        <w:rPr>
          <w:lang w:val="en-US"/>
        </w:rPr>
      </w:pPr>
      <w:r>
        <w:rPr>
          <w:rFonts w:hint="eastAsia"/>
          <w:lang w:val="en-US"/>
        </w:rPr>
        <w:t>《绿色建筑评价技术细则》</w:t>
      </w:r>
    </w:p>
    <w:p>
      <w:pPr>
        <w:pStyle w:val="3"/>
        <w:numPr>
          <w:ilvl w:val="0"/>
          <w:numId w:val="3"/>
        </w:numPr>
        <w:ind w:firstLineChars="0"/>
        <w:rPr>
          <w:lang w:val="en-US"/>
        </w:rPr>
      </w:pPr>
      <w:r>
        <w:rPr>
          <w:rFonts w:hint="eastAsia"/>
          <w:lang w:val="en-US"/>
        </w:rPr>
        <w:t>委托方提供的总平面图、建筑专业设计图纸、设计效果图等图纸资料</w:t>
      </w:r>
    </w:p>
    <w:p>
      <w:pPr>
        <w:pStyle w:val="2"/>
      </w:pPr>
      <w:bookmarkStart w:id="23" w:name="_Toc23970"/>
      <w:bookmarkStart w:id="24" w:name="_Toc452108763"/>
      <w:r>
        <w:rPr>
          <w:rFonts w:hint="eastAsia"/>
        </w:rPr>
        <w:t>参考</w:t>
      </w:r>
      <w:r>
        <w:t>标准</w:t>
      </w:r>
      <w:bookmarkEnd w:id="23"/>
    </w:p>
    <w:p>
      <w:pPr>
        <w:pStyle w:val="3"/>
        <w:ind w:firstLine="420"/>
        <w:rPr>
          <w:lang w:val="en-US"/>
        </w:rPr>
      </w:pPr>
      <w:r>
        <w:rPr>
          <w:rFonts w:hint="eastAsia"/>
          <w:lang w:val="en-US"/>
        </w:rPr>
        <w:t>室外风环境评价依据为《绿色建筑评价标准》GB/T 50378—2019中有关室外风环境的条目要求。具体要求如下：</w:t>
      </w:r>
    </w:p>
    <w:p>
      <w:pPr>
        <w:pStyle w:val="3"/>
        <w:ind w:firstLine="420"/>
        <w:rPr>
          <w:lang w:val="en-US"/>
        </w:rPr>
      </w:pPr>
      <w:bookmarkStart w:id="25" w:name="_Toc451698935"/>
      <w:bookmarkStart w:id="26" w:name="_Toc452108764"/>
      <w:bookmarkStart w:id="27"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r>
        <w:rPr>
          <w:lang w:val="en-US"/>
        </w:rPr>
        <w:t>3</w:t>
      </w:r>
      <w:r>
        <w:rPr>
          <w:rFonts w:hint="eastAsia"/>
          <w:lang w:val="en-US"/>
        </w:rPr>
        <w:t>分；除迎风第一排建筑外，建筑迎风面与背风面表面风压差不超过5Pa，得</w:t>
      </w:r>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r>
        <w:rPr>
          <w:lang w:val="en-US"/>
        </w:rPr>
        <w:t>3</w:t>
      </w:r>
      <w:r>
        <w:rPr>
          <w:rFonts w:hint="eastAsia"/>
          <w:lang w:val="en-US"/>
        </w:rPr>
        <w:t>分；50%以上可开启外窗室内外表面的风压差大于0.5Pa，得</w:t>
      </w:r>
      <w:r>
        <w:rPr>
          <w:lang w:val="en-US"/>
        </w:rPr>
        <w:t>2</w:t>
      </w:r>
      <w:r>
        <w:rPr>
          <w:rFonts w:hint="eastAsia"/>
          <w:lang w:val="en-US"/>
        </w:rPr>
        <w:t>分。</w:t>
      </w:r>
    </w:p>
    <w:p>
      <w:pPr>
        <w:pStyle w:val="2"/>
      </w:pPr>
      <w:bookmarkStart w:id="28" w:name="_Toc25852"/>
      <w:r>
        <w:rPr>
          <w:rFonts w:hint="eastAsia"/>
        </w:rPr>
        <w:t>计算原理</w:t>
      </w:r>
      <w:bookmarkEnd w:id="28"/>
    </w:p>
    <w:p>
      <w:pPr>
        <w:pStyle w:val="4"/>
        <w:numPr>
          <w:ilvl w:val="1"/>
          <w:numId w:val="4"/>
        </w:numPr>
      </w:pPr>
      <w:bookmarkStart w:id="29" w:name="_Toc10862"/>
      <w:bookmarkStart w:id="30" w:name="_Toc509844740"/>
      <w:bookmarkStart w:id="31" w:name="_Toc451698937"/>
      <w:bookmarkStart w:id="32" w:name="_Toc452108765"/>
      <w:r>
        <w:rPr>
          <w:rFonts w:hint="eastAsia"/>
        </w:rPr>
        <w:t>风场计算域</w:t>
      </w:r>
      <w:bookmarkEnd w:id="29"/>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4"/>
        </w:numPr>
      </w:pPr>
      <w:bookmarkStart w:id="33" w:name="_Toc25031"/>
      <w:r>
        <w:rPr>
          <w:rFonts w:hint="eastAsia"/>
        </w:rPr>
        <w:t>冬季工况风场计算域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Z尺寸"/>
            <w:r>
              <w:t>123</w:t>
            </w:r>
          </w:p>
        </w:tc>
      </w:tr>
    </w:tbl>
    <w:p>
      <w:pPr>
        <w:pStyle w:val="3"/>
        <w:ind w:firstLine="0" w:firstLineChars="0"/>
        <w:jc w:val="center"/>
        <w:rPr>
          <w:lang w:val="en-US"/>
        </w:rPr>
      </w:pPr>
      <w:r>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0"/>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4"/>
        </w:numPr>
      </w:pPr>
      <w:bookmarkStart w:id="35" w:name="_Toc5666"/>
      <w:r>
        <w:rPr>
          <w:rFonts w:hint="eastAsia"/>
        </w:rPr>
        <w:t>夏季工况风场计算域</w:t>
      </w:r>
      <w:bookmarkEnd w:id="35"/>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844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123</w:t>
            </w:r>
          </w:p>
        </w:tc>
      </w:tr>
    </w:tbl>
    <w:p>
      <w:pPr>
        <w:pStyle w:val="3"/>
        <w:ind w:firstLine="0" w:firstLineChars="0"/>
        <w:jc w:val="center"/>
        <w:rPr>
          <w:lang w:val="en-US"/>
        </w:rPr>
      </w:pPr>
      <w:r>
        <w:drawing>
          <wp:inline distT="0" distB="0" distL="0" distR="0">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a:stretch>
                      <a:fillRect/>
                    </a:stretch>
                  </pic:blipFill>
                  <pic:spPr>
                    <a:xfrm>
                      <a:off x="0" y="0"/>
                      <a:ext cx="5667375" cy="361950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6"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7" w:name="_Toc21898"/>
      <w:bookmarkStart w:id="38" w:name="_Toc509844741"/>
      <w:r>
        <w:rPr>
          <w:rFonts w:hint="eastAsia"/>
        </w:rPr>
        <w:t>网格划分</w:t>
      </w:r>
      <w:bookmarkEnd w:id="37"/>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39" w:name="OLE_LINK276"/>
      <w:bookmarkStart w:id="40" w:name="OLE_LINK277"/>
      <w:r>
        <w:rPr>
          <w:rFonts w:hint="eastAsia"/>
        </w:rPr>
        <w:t>1）普通网格：指除靠近地面和建筑以外的网格，通常不需要特别加密处理</w:t>
      </w:r>
    </w:p>
    <w:p>
      <w:pPr>
        <w:pStyle w:val="12"/>
        <w:numPr>
          <w:ilvl w:val="0"/>
          <w:numId w:val="5"/>
        </w:numPr>
        <w:spacing w:before="156"/>
      </w:pPr>
      <w:bookmarkStart w:id="41" w:name="OLE_LINK15"/>
      <w:r>
        <w:rPr>
          <w:rFonts w:hint="eastAsia"/>
        </w:rPr>
        <w:t>分弧精度：对于有圆弧特征的建筑局部，把圆弧分解为线段时，弦到弧的最大距离；</w:t>
      </w:r>
    </w:p>
    <w:p>
      <w:pPr>
        <w:pStyle w:val="32"/>
        <w:numPr>
          <w:ilvl w:val="0"/>
          <w:numId w:val="5"/>
        </w:numPr>
        <w:spacing w:before="156"/>
        <w:ind w:firstLineChars="0"/>
      </w:pPr>
      <w:r>
        <w:rPr>
          <w:rFonts w:hint="eastAsia"/>
        </w:rPr>
        <w:t>初始网格大小：初始化时候正交网格的大小，单位米(m)；</w:t>
      </w:r>
    </w:p>
    <w:p>
      <w:pPr>
        <w:pStyle w:val="32"/>
        <w:numPr>
          <w:ilvl w:val="0"/>
          <w:numId w:val="5"/>
        </w:numPr>
        <w:spacing w:before="156"/>
        <w:ind w:firstLineChars="0"/>
      </w:pPr>
      <w:r>
        <w:rPr>
          <w:rFonts w:hint="eastAsia"/>
        </w:rPr>
        <w:t>最小细分级数：初始网格至少细分的级数；</w:t>
      </w:r>
    </w:p>
    <w:p>
      <w:pPr>
        <w:pStyle w:val="32"/>
        <w:numPr>
          <w:ilvl w:val="0"/>
          <w:numId w:val="5"/>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6"/>
        </w:numPr>
        <w:tabs>
          <w:tab w:val="left" w:pos="567"/>
        </w:tabs>
        <w:spacing w:before="156"/>
        <w:ind w:hanging="840" w:firstLineChars="0"/>
      </w:pPr>
      <w:r>
        <w:rPr>
          <w:rFonts w:hint="eastAsia"/>
        </w:rPr>
        <w:t xml:space="preserve">   地面附面层数：地面附面层网格的层数；</w:t>
      </w:r>
    </w:p>
    <w:p>
      <w:pPr>
        <w:pStyle w:val="32"/>
        <w:numPr>
          <w:ilvl w:val="0"/>
          <w:numId w:val="6"/>
        </w:numPr>
        <w:tabs>
          <w:tab w:val="left" w:pos="567"/>
        </w:tabs>
        <w:spacing w:before="156"/>
        <w:ind w:hanging="840" w:firstLineChars="0"/>
      </w:pPr>
      <w:r>
        <w:rPr>
          <w:rFonts w:hint="eastAsia"/>
        </w:rPr>
        <w:t xml:space="preserve">   建筑附面层数：建筑表面附面层网格的层数；</w:t>
      </w:r>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3145246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1802304</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pStyle w:val="3"/>
        <w:ind w:firstLine="630" w:firstLineChars="300"/>
        <w:rPr>
          <w:rFonts w:ascii="黑体" w:hAnsi="黑体" w:eastAsia="黑体"/>
          <w:szCs w:val="20"/>
        </w:rPr>
      </w:pPr>
      <w:bookmarkStart w:id="42" w:name="网格划分信息"/>
      <w:r>
        <w:rPr>
          <w:rFonts w:hint="eastAsia" w:ascii="黑体" w:hAnsi="黑体" w:eastAsia="黑体"/>
          <w:szCs w:val="20"/>
          <w:lang w:val="en-US"/>
        </w:rPr>
        <w:t>注：前述计算域随风向不同，所以相同的网格方案会产生不同的网格数量。</w:t>
      </w:r>
    </w:p>
    <w:p>
      <w:pPr>
        <w:pStyle w:val="4"/>
        <w:numPr>
          <w:ilvl w:val="1"/>
          <w:numId w:val="4"/>
        </w:numPr>
      </w:pPr>
      <w:bookmarkStart w:id="43" w:name="_Toc32467"/>
      <w:bookmarkStart w:id="44" w:name="_Toc509844742"/>
      <w:r>
        <w:rPr>
          <w:rFonts w:hint="eastAsia"/>
        </w:rPr>
        <w:t>边界条件</w:t>
      </w:r>
      <w:bookmarkEnd w:id="43"/>
      <w:bookmarkEnd w:id="44"/>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45" w:name="_Toc509844743"/>
      <w:bookmarkStart w:id="46" w:name="_Toc5543"/>
      <w:r>
        <w:rPr>
          <w:rFonts w:hint="eastAsia"/>
        </w:rPr>
        <w:t>入口与出口边界条件</w:t>
      </w:r>
      <w:bookmarkEnd w:id="45"/>
      <w:bookmarkEnd w:id="46"/>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47" w:name="地面粗糙度指数2"/>
      <w:r>
        <w:rPr>
          <w:rFonts w:hint="eastAsia"/>
          <w:lang w:val="en-US"/>
        </w:rPr>
        <w:t>0.28</w:t>
      </w:r>
      <w:bookmarkEnd w:id="47"/>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48" w:name="_Toc509844744"/>
      <w:bookmarkStart w:id="49" w:name="_Toc32144"/>
      <w:r>
        <w:rPr>
          <w:rFonts w:hint="eastAsia"/>
        </w:rPr>
        <w:t>壁面边界条件</w:t>
      </w:r>
      <w:bookmarkEnd w:id="48"/>
      <w:bookmarkEnd w:id="49"/>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4"/>
        </w:numPr>
      </w:pPr>
      <w:bookmarkStart w:id="50" w:name="_Toc21335"/>
      <w:r>
        <w:rPr>
          <w:rFonts w:hint="eastAsia"/>
        </w:rPr>
        <w:t>湍流模型</w:t>
      </w:r>
      <w:bookmarkEnd w:id="50"/>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4"/>
        </w:numPr>
      </w:pPr>
      <w:bookmarkStart w:id="51" w:name="_Toc451698939"/>
      <w:bookmarkStart w:id="52" w:name="_Toc452108767"/>
      <w:bookmarkStart w:id="53" w:name="_Toc12653"/>
      <w:r>
        <w:rPr>
          <w:rFonts w:hint="eastAsia"/>
        </w:rPr>
        <w:t>求解计算</w:t>
      </w:r>
      <w:bookmarkEnd w:id="51"/>
      <w:bookmarkEnd w:id="52"/>
      <w:bookmarkEnd w:id="53"/>
    </w:p>
    <w:p>
      <w:pPr>
        <w:pStyle w:val="3"/>
        <w:numPr>
          <w:ilvl w:val="0"/>
          <w:numId w:val="7"/>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5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54"/>
      <w:r>
        <w:rPr>
          <w:rFonts w:hint="eastAsia" w:ascii="黑体" w:hAnsi="黑体" w:eastAsia="黑体"/>
          <w:sz w:val="20"/>
          <w:szCs w:val="20"/>
        </w:rPr>
        <w:t xml:space="preserve"> </w:t>
      </w:r>
      <w:bookmarkStart w:id="55" w:name="_Ref225175618"/>
      <w:r>
        <w:rPr>
          <w:rFonts w:hint="eastAsia" w:ascii="黑体" w:hAnsi="黑体" w:eastAsia="黑体"/>
          <w:sz w:val="20"/>
          <w:szCs w:val="20"/>
        </w:rPr>
        <w:t>计算流体力学的控制方程</w:t>
      </w:r>
      <w:bookmarkEnd w:id="5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7"/>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pPr>
        <w:pStyle w:val="4"/>
      </w:pPr>
      <w:bookmarkStart w:id="56" w:name="_Toc509844747"/>
      <w:bookmarkStart w:id="57" w:name="_Toc8471"/>
      <w:r>
        <w:rPr>
          <w:rFonts w:hint="eastAsia"/>
        </w:rPr>
        <w:t>风速放大系数计算</w:t>
      </w:r>
      <w:bookmarkEnd w:id="56"/>
      <w:bookmarkEnd w:id="57"/>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ctrlPr>
                              <w:rPr>
                                <w:rFonts w:ascii="Cambria Math" w:hAnsi="Cambria Math"/>
                                <w:i/>
                                <w:lang w:val="en-US"/>
                              </w:rPr>
                            </m:ctrlPr>
                          </m:e>
                          <m:sup>
                            <m:r>
                              <w:rPr>
                                <w:rFonts w:ascii="Cambria Math" w:hAnsi="Cambria Math"/>
                                <w:lang w:val="en-US"/>
                              </w:rPr>
                              <m:t>'</m:t>
                            </m:r>
                            <m:ctrlPr>
                              <w:rPr>
                                <w:rFonts w:ascii="Cambria Math" w:hAnsi="Cambria Math"/>
                                <w:i/>
                                <w:lang w:val="en-US"/>
                              </w:rPr>
                            </m:ctrlP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1.5f</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ctrlPr>
                              <w:rPr>
                                <w:rFonts w:ascii="Cambria Math" w:hAnsi="Cambria Math"/>
                                <w:i/>
                                <w:lang w:val="en-US"/>
                              </w:rPr>
                            </m:ctrlPr>
                          </m:e>
                          <m:sub>
                            <m: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ctrlPr>
                                      <w:rPr>
                                        <w:rFonts w:ascii="Cambria Math" w:hAnsi="Cambria Math"/>
                                        <w:i/>
                                        <w:lang w:val="en-US"/>
                                      </w:rPr>
                                    </m:ctrlPr>
                                  </m:num>
                                  <m:den>
                                    <m: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0" o:title=""/>
            <o:lock v:ext="edit" aspectratio="t"/>
            <w10:wrap type="none"/>
            <w10:anchorlock/>
          </v:shape>
          <o:OLEObject Type="Embed" ProgID="Equation.3" ShapeID="_x0000_i1028" DrawAspect="Content" ObjectID="_1468075728" r:id="rId59">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2" o:title=""/>
            <o:lock v:ext="edit" aspectratio="t"/>
            <w10:wrap type="none"/>
            <w10:anchorlock/>
          </v:shape>
          <o:OLEObject Type="Embed" ProgID="Equation.3" ShapeID="_x0000_i1029" DrawAspect="Content" ObjectID="_1468075729" r:id="rId61">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4" o:title=""/>
            <o:lock v:ext="edit" aspectratio="t"/>
            <w10:wrap type="none"/>
            <w10:anchorlock/>
          </v:shape>
          <o:OLEObject Type="Embed" ProgID="Equation.3" ShapeID="_x0000_i1030" DrawAspect="Content" ObjectID="_1468075730" r:id="rId63">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66" o:title=""/>
            <o:lock v:ext="edit" aspectratio="t"/>
            <w10:wrap type="none"/>
            <w10:anchorlock/>
          </v:shape>
          <o:OLEObject Type="Embed" ProgID="Equation.3" ShapeID="_x0000_i1031" DrawAspect="Content" ObjectID="_1468075731" r:id="rId65">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58" w:name="地面粗糙度指数"/>
      <w:r>
        <w:rPr>
          <w:rFonts w:hint="eastAsia"/>
          <w:lang w:val="en-US"/>
        </w:rPr>
        <w:t>0.28</w:t>
      </w:r>
      <w:bookmarkEnd w:id="58"/>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59" w:name="_Toc22614"/>
      <w:bookmarkStart w:id="60" w:name="_Toc452108768"/>
      <w:r>
        <w:rPr>
          <w:rFonts w:hint="eastAsia"/>
        </w:rPr>
        <w:t>结果</w:t>
      </w:r>
      <w:r>
        <w:t>分析</w:t>
      </w:r>
      <w:bookmarkEnd w:id="59"/>
      <w:bookmarkEnd w:id="60"/>
    </w:p>
    <w:p>
      <w:pPr>
        <w:pStyle w:val="4"/>
        <w:rPr>
          <w:szCs w:val="21"/>
        </w:rPr>
      </w:pPr>
      <w:bookmarkStart w:id="61" w:name="_Toc32692"/>
      <w:r>
        <w:rPr>
          <w:rFonts w:hint="eastAsia"/>
          <w:szCs w:val="21"/>
        </w:rPr>
        <w:t>工况</w:t>
      </w:r>
      <w:r>
        <w:rPr>
          <w:szCs w:val="21"/>
        </w:rPr>
        <w:t>表</w:t>
      </w:r>
      <w:bookmarkEnd w:id="61"/>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6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2.00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67.5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2.60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270.0</w:t>
            </w:r>
          </w:p>
        </w:tc>
      </w:tr>
      <w:bookmarkEnd w:id="62"/>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63" w:name="_Toc2492"/>
      <w:r>
        <w:rPr>
          <w:rFonts w:hint="eastAsia"/>
        </w:rPr>
        <w:t>冬季工况</w:t>
      </w:r>
      <w:bookmarkEnd w:id="63"/>
    </w:p>
    <w:p>
      <w:pPr>
        <w:ind w:firstLine="420" w:firstLineChars="200"/>
        <w:jc w:val="both"/>
      </w:pPr>
      <w:r>
        <w:rPr>
          <w:rFonts w:hint="eastAsia"/>
          <w:lang w:val="en-US"/>
        </w:rPr>
        <w:t>本项目冬季工况的入口边界风速为</w:t>
      </w:r>
      <w:r>
        <w:rPr>
          <w:rFonts w:hint="eastAsia" w:ascii="Calibri" w:hAnsi="Calibri"/>
          <w:szCs w:val="21"/>
        </w:rPr>
        <w:t>2.00</w:t>
      </w:r>
      <w:r>
        <w:rPr>
          <w:rFonts w:ascii="Calibri" w:hAnsi="Calibri"/>
          <w:szCs w:val="21"/>
        </w:rPr>
        <w:t>m/s</w:t>
      </w:r>
      <w:r>
        <w:rPr>
          <w:rFonts w:hint="eastAsia" w:ascii="Calibri" w:hAnsi="Calibri"/>
          <w:szCs w:val="21"/>
        </w:rPr>
        <w:t>，风向为</w:t>
      </w:r>
      <w:r>
        <w:rPr>
          <w:szCs w:val="21"/>
        </w:rPr>
        <w:t>NNE</w:t>
      </w:r>
      <w:r>
        <w:rPr>
          <w:rFonts w:hint="eastAsia"/>
          <w:szCs w:val="21"/>
        </w:rPr>
        <w:t>。</w:t>
      </w:r>
    </w:p>
    <w:p>
      <w:pPr>
        <w:pStyle w:val="5"/>
      </w:pPr>
      <w:bookmarkStart w:id="64" w:name="_Toc1449"/>
      <w:r>
        <w:rPr>
          <w:rFonts w:hint="eastAsia"/>
        </w:rPr>
        <w:t>风速达标分析</w:t>
      </w:r>
      <w:bookmarkEnd w:id="64"/>
      <w:r>
        <w:rPr>
          <w:rFonts w:hint="eastAsia"/>
        </w:rPr>
        <w:t xml:space="preserve"> </w:t>
      </w:r>
    </w:p>
    <w:p>
      <w:pPr>
        <w:pStyle w:val="6"/>
        <w:numPr>
          <w:ilvl w:val="3"/>
          <w:numId w:val="1"/>
        </w:numPr>
      </w:pPr>
      <w:r>
        <w:t>人行区域风速达标分析</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r>
        <w:drawing>
          <wp:inline distT="0" distB="0" distL="0" distR="0">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8"/>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6"/>
        <w:numPr>
          <w:ilvl w:val="3"/>
          <w:numId w:val="1"/>
        </w:numPr>
      </w:pPr>
      <w:r>
        <w:rPr>
          <w:rFonts w:hint="eastAsia"/>
        </w:rPr>
        <w:t>户外休息区、儿童娱乐区</w:t>
      </w:r>
      <w:r>
        <w:t>域风速达标分析</w:t>
      </w:r>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风速分布云图，依据《绿色建筑评价标准》要求，重点关注户外休息区、儿童娱乐区风场，如果有风速超标区域，图中会用速度上限值为2m/s的黑色等值线标示。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r>
        <w:drawing>
          <wp:inline distT="0" distB="0" distL="0" distR="0">
            <wp:extent cx="5667375" cy="34671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9"/>
                    <a:stretch>
                      <a:fillRect/>
                    </a:stretch>
                  </pic:blipFill>
                  <pic:spPr>
                    <a:xfrm>
                      <a:off x="0" y="0"/>
                      <a:ext cx="5667375" cy="34671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3"/>
        <w:ind w:firstLine="420"/>
        <w:jc w:val="left"/>
        <w:rPr>
          <w:lang w:val="en-US"/>
        </w:rPr>
      </w:pPr>
      <w:r>
        <w:rPr>
          <w:rFonts w:hint="eastAsia"/>
          <w:lang w:val="en-US"/>
        </w:rPr>
        <w:t>下图为整个计算域内风速分布云图，参考图中速度分布可以对项目中建筑布局进行优化。计算域内建筑周围如果有风速超限区域，图中会用速度上限值为5m/s的黑色等值线标示。分析下图数据，</w:t>
      </w:r>
      <w:r>
        <w:t>建筑周围没有风速超限区域，可以采用该建筑布局。</w:t>
      </w:r>
    </w:p>
    <w:p>
      <w:pPr>
        <w:pStyle w:val="3"/>
        <w:ind w:hanging="2" w:firstLineChars="0"/>
        <w:jc w:val="center"/>
        <w:rPr>
          <w:rFonts w:ascii="Calibri Light" w:hAnsi="Calibri Light" w:eastAsia="黑体"/>
          <w:sz w:val="20"/>
          <w:szCs w:val="20"/>
        </w:rPr>
      </w:pPr>
      <w:r>
        <w:drawing>
          <wp:inline distT="0" distB="0" distL="0" distR="0">
            <wp:extent cx="5667375" cy="34861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0"/>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计算域内-1.5米高度水平面风速云图-冬季</w:t>
      </w:r>
    </w:p>
    <w:p>
      <w:pPr>
        <w:pStyle w:val="5"/>
      </w:pPr>
      <w:bookmarkStart w:id="65" w:name="_Toc13446"/>
      <w:r>
        <w:rPr>
          <w:rFonts w:hint="eastAsia"/>
        </w:rPr>
        <w:t>风速放大系数达标分析</w:t>
      </w:r>
      <w:bookmarkEnd w:id="65"/>
    </w:p>
    <w:p>
      <w:pPr>
        <w:pStyle w:val="6"/>
      </w:pPr>
      <w:r>
        <w:rPr>
          <w:rFonts w:hint="eastAsia"/>
        </w:rPr>
        <w:t>人行区域</w:t>
      </w:r>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r>
        <w:drawing>
          <wp:inline distT="0" distB="0" distL="0" distR="0">
            <wp:extent cx="5667375" cy="3429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1"/>
                    <a:stretch>
                      <a:fillRect/>
                    </a:stretch>
                  </pic:blipFill>
                  <pic:spPr>
                    <a:xfrm>
                      <a:off x="0" y="0"/>
                      <a:ext cx="5667375" cy="34290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图数据，</w:t>
      </w:r>
      <w:r>
        <w:t>建筑周围没有风速放大系数超限区域，可以采用该建筑布局。</w:t>
      </w:r>
    </w:p>
    <w:p>
      <w:pPr>
        <w:pStyle w:val="13"/>
        <w:jc w:val="center"/>
        <w:rPr>
          <w:lang w:val="en-US"/>
        </w:rPr>
      </w:pPr>
      <w:r>
        <w:drawing>
          <wp:inline distT="0" distB="0" distL="0" distR="0">
            <wp:extent cx="5667375" cy="34766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2"/>
                    <a:stretch>
                      <a:fillRect/>
                    </a:stretch>
                  </pic:blipFill>
                  <pic:spPr>
                    <a:xfrm>
                      <a:off x="0" y="0"/>
                      <a:ext cx="5667375" cy="3476625"/>
                    </a:xfrm>
                    <a:prstGeom prst="rect">
                      <a:avLst/>
                    </a:prstGeom>
                  </pic:spPr>
                </pic:pic>
              </a:graphicData>
            </a:graphic>
          </wp:inline>
        </w:drawing>
      </w:r>
    </w:p>
    <w:p>
      <w:pPr>
        <w:pStyle w:val="13"/>
        <w:jc w:val="center"/>
        <w:rPr>
          <w:rFonts w:ascii="黑体" w:hAnsi="黑体"/>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5</w:t>
      </w:r>
      <w:r>
        <w:rPr>
          <w:rFonts w:ascii="黑体" w:hAnsi="黑体"/>
        </w:rPr>
        <w:fldChar w:fldCharType="end"/>
      </w:r>
      <w:r>
        <w:rPr>
          <w:rFonts w:ascii="黑体" w:hAnsi="黑体"/>
        </w:rPr>
        <w:t xml:space="preserve">  </w:t>
      </w:r>
      <w:r>
        <w:rPr>
          <w:rFonts w:hint="eastAsia" w:ascii="黑体" w:hAnsi="黑体"/>
        </w:rPr>
        <w:t>1.5米高处风速放大系数云图</w:t>
      </w: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1）户外活动主要场地包括人行道、广场、游憩场、停车场以及庭院，本项目中均定义为人行区。</w:t>
      </w:r>
    </w:p>
    <w:p>
      <w:pPr>
        <w:pStyle w:val="3"/>
        <w:ind w:firstLine="420"/>
        <w:rPr>
          <w:rFonts w:ascii="黑体" w:hAnsi="黑体" w:eastAsia="黑体"/>
          <w:szCs w:val="20"/>
          <w:lang w:val="en-US"/>
        </w:rPr>
      </w:pPr>
      <w:r>
        <w:rPr>
          <w:rFonts w:hint="eastAsia" w:ascii="黑体" w:hAnsi="黑体" w:eastAsia="黑体"/>
          <w:szCs w:val="20"/>
          <w:lang w:val="en-US"/>
        </w:rPr>
        <w:t>2）人行区和计算域内风速分布云图中图例上限均为计算域内实际风速最大值，图例上限也可按需求在软件中调整。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5"/>
      </w:pPr>
      <w:bookmarkStart w:id="66" w:name="_Toc11766"/>
      <w:r>
        <w:rPr>
          <w:rFonts w:hint="eastAsia" w:cs="宋体"/>
          <w:lang w:val="en-GB"/>
        </w:rPr>
        <w:t>人行区域</w:t>
      </w:r>
      <w:r>
        <w:rPr>
          <w:rFonts w:hint="eastAsia"/>
        </w:rPr>
        <w:t>冬季工况风速/风速放大系数达标判定</w:t>
      </w:r>
      <w:bookmarkEnd w:id="66"/>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6378" w:type="dxa"/>
        <w:jc w:val="center"/>
        <w:tblLayout w:type="autofit"/>
        <w:tblCellMar>
          <w:top w:w="0" w:type="dxa"/>
          <w:left w:w="108" w:type="dxa"/>
          <w:bottom w:w="0" w:type="dxa"/>
          <w:right w:w="108" w:type="dxa"/>
        </w:tblCellMar>
      </w:tblPr>
      <w:tblGrid>
        <w:gridCol w:w="1559"/>
        <w:gridCol w:w="1701"/>
        <w:gridCol w:w="1843"/>
        <w:gridCol w:w="1275"/>
      </w:tblGrid>
      <w:tr>
        <w:tblPrEx>
          <w:tblCellMar>
            <w:top w:w="0" w:type="dxa"/>
            <w:left w:w="108" w:type="dxa"/>
            <w:bottom w:w="0" w:type="dxa"/>
            <w:right w:w="108" w:type="dxa"/>
          </w:tblCellMar>
        </w:tblPrEx>
        <w:trPr>
          <w:trHeight w:val="270" w:hRule="atLeast"/>
          <w:jc w:val="center"/>
        </w:trPr>
        <w:tc>
          <w:tcPr>
            <w:tcW w:w="1559"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 xml:space="preserve">&lt;5m/s </w:t>
            </w:r>
            <w:r>
              <w:rPr>
                <w:rFonts w:hint="eastAsia" w:ascii="宋体" w:hAnsi="宋体" w:cs="宋体"/>
                <w:szCs w:val="21"/>
              </w:rPr>
              <w:t xml:space="preserve">或 </w:t>
            </w:r>
            <w:r>
              <w:rPr>
                <w:rFonts w:ascii="宋体" w:hAnsi="宋体" w:cs="宋体"/>
                <w:szCs w:val="21"/>
              </w:rPr>
              <w:t>&lt;2m/s</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bookmarkEnd w:id="17"/>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jc w:val="center"/>
        </w:trPr>
        <w:tc>
          <w:tcPr>
            <w:tcW w:w="1559"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风速放大系数</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ascii="宋体" w:hAnsi="宋体" w:cs="宋体"/>
                <w:szCs w:val="21"/>
              </w:rPr>
              <w:t>&lt;2</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r>
              <w:rPr>
                <w:rFonts w:hint="eastAsia" w:ascii="宋体" w:hAnsi="宋体" w:cs="宋体"/>
                <w:color w:val="000000"/>
                <w:sz w:val="22"/>
                <w:szCs w:val="22"/>
                <w:lang w:val="en-US"/>
              </w:rPr>
              <w:t>是</w:t>
            </w:r>
          </w:p>
        </w:tc>
      </w:tr>
    </w:tbl>
    <w:p>
      <w:pPr>
        <w:pStyle w:val="5"/>
      </w:pPr>
      <w:bookmarkStart w:id="67" w:name="_Toc9663"/>
      <w:r>
        <w:rPr>
          <w:rFonts w:hint="eastAsia"/>
        </w:rPr>
        <w:t>建筑迎风面和背风面风压分析</w:t>
      </w:r>
      <w:bookmarkEnd w:id="67"/>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noChangeArrowheads="1"/>
                    </pic:cNvPicPr>
                  </pic:nvPicPr>
                  <pic:blipFill>
                    <a:blip r:embed="rId7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w:rPr>
                            <w:rFonts w:ascii="Cambria Math" w:hAnsi="Cambria Math"/>
                            <w:lang w:val="en-US"/>
                          </w:rPr>
                          <m:t>+P</m:t>
                        </m:r>
                        <m:ctrlPr>
                          <w:rPr>
                            <w:rFonts w:ascii="Cambria Math" w:hAnsi="Cambria Math"/>
                            <w:i/>
                            <w:lang w:val="en-US"/>
                          </w:rPr>
                        </m:ctrlPr>
                      </m:e>
                      <m:sub>
                        <m: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r>
        <w:drawing>
          <wp:inline distT="0" distB="0" distL="0" distR="0">
            <wp:extent cx="5667375" cy="36195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4"/>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7</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r>
        <w:drawing>
          <wp:inline distT="0" distB="0" distL="0" distR="0">
            <wp:extent cx="5667375" cy="36385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5"/>
                    <a:stretch>
                      <a:fillRect/>
                    </a:stretch>
                  </pic:blipFill>
                  <pic:spPr>
                    <a:xfrm>
                      <a:off x="0" y="0"/>
                      <a:ext cx="5667375" cy="36385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8</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建筑迎风面和背风面风压差计算结果</w:t>
      </w:r>
    </w:p>
    <w:p>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52</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-DT单体(单体模型+组合模型)</w:t>
      </w:r>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-1.44</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0.08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-1.39</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1.47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1.55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0.14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1.57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5层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0.52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1.95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6层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0.71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-1.53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2.24</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0.30</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-1.46</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1.76</w:t>
            </w:r>
          </w:p>
        </w:tc>
      </w:tr>
    </w:tbl>
    <w:p>
      <w:r>
        <w:t>标准要求：迎背风面窗平均风压差（绝对值）≤5Pa。结论：该楼</w:t>
      </w:r>
      <w:r>
        <w:rPr>
          <w:b/>
          <w:color w:val="0000FF"/>
        </w:rPr>
        <w:t>达标</w:t>
      </w:r>
      <w:r>
        <w:t>。</w:t>
      </w:r>
    </w:p>
    <w:p>
      <w:pPr>
        <w:jc w:val="center"/>
        <w:rPr>
          <w:rFonts w:ascii="Cambria" w:hAnsi="Cambria" w:eastAsia="黑体"/>
          <w:sz w:val="20"/>
        </w:rPr>
      </w:pP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3</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DT单体(单体模型+组合模型)</w:t>
            </w:r>
          </w:p>
        </w:tc>
        <w:tc>
          <w:tcPr>
            <w:tcW w:w="1276" w:type="dxa"/>
            <w:shd w:val="clear" w:color="auto" w:fill="auto"/>
            <w:vAlign w:val="center"/>
          </w:tcPr>
          <w:p>
            <w:pPr>
              <w:jc w:val="center"/>
              <w:rPr>
                <w:lang w:val="en-US"/>
              </w:rPr>
            </w:pPr>
            <w:r>
              <w:rPr>
                <w:lang w:val="en-US"/>
              </w:rPr>
              <w:t>0.30</w:t>
            </w:r>
          </w:p>
        </w:tc>
        <w:tc>
          <w:tcPr>
            <w:tcW w:w="1276" w:type="dxa"/>
            <w:shd w:val="clear" w:color="auto" w:fill="auto"/>
            <w:vAlign w:val="center"/>
          </w:tcPr>
          <w:p>
            <w:pPr>
              <w:jc w:val="center"/>
              <w:rPr>
                <w:lang w:val="en-US"/>
              </w:rPr>
            </w:pPr>
            <w:r>
              <w:rPr>
                <w:lang w:val="en-US"/>
              </w:rPr>
              <w:t>-1.46</w:t>
            </w:r>
          </w:p>
        </w:tc>
        <w:tc>
          <w:tcPr>
            <w:tcW w:w="1701" w:type="dxa"/>
            <w:shd w:val="clear" w:color="auto" w:fill="auto"/>
            <w:vAlign w:val="center"/>
          </w:tcPr>
          <w:p>
            <w:pPr>
              <w:jc w:val="center"/>
              <w:rPr>
                <w:lang w:val="en-US"/>
              </w:rPr>
            </w:pPr>
            <w:r>
              <w:rPr>
                <w:lang w:val="en-US"/>
              </w:rPr>
              <w:t>1.76</w:t>
            </w:r>
          </w:p>
        </w:tc>
        <w:tc>
          <w:tcPr>
            <w:tcW w:w="973" w:type="dxa"/>
            <w:shd w:val="clear" w:color="auto" w:fill="auto"/>
            <w:vAlign w:val="center"/>
          </w:tcPr>
          <w:p>
            <w:pPr>
              <w:jc w:val="center"/>
              <w:rPr>
                <w:lang w:val="en-US"/>
              </w:rPr>
            </w:pPr>
            <w:r>
              <w:rPr>
                <w:lang w:val="en-US"/>
              </w:rPr>
              <w:t>是</w:t>
            </w:r>
          </w:p>
        </w:tc>
      </w:tr>
      <w:bookmarkEnd w:id="41"/>
    </w:tbl>
    <w:p>
      <w:pPr>
        <w:rPr>
          <w:lang w:val="en-US"/>
        </w:rPr>
      </w:pPr>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68" w:name="冬季工况"/>
      <w:bookmarkEnd w:id="68"/>
      <w:r>
        <w:rPr>
          <w:rFonts w:hint="eastAsia"/>
          <w:lang w:val="en-US"/>
        </w:rPr>
        <w:t xml:space="preserve"> </w:t>
      </w:r>
    </w:p>
    <w:p>
      <w:pPr>
        <w:pStyle w:val="4"/>
      </w:pPr>
      <w:bookmarkStart w:id="69" w:name="_Toc28552"/>
      <w:r>
        <w:rPr>
          <w:rFonts w:hint="eastAsia"/>
        </w:rPr>
        <w:t>夏季工况</w:t>
      </w:r>
      <w:bookmarkEnd w:id="69"/>
    </w:p>
    <w:p>
      <w:pPr>
        <w:pStyle w:val="3"/>
        <w:ind w:firstLine="420"/>
      </w:pPr>
      <w:r>
        <w:rPr>
          <w:rFonts w:hint="eastAsia"/>
          <w:lang w:val="en-US"/>
        </w:rPr>
        <w:t>本项目夏季工况的入口边界风速为2.60m/s，风向为</w:t>
      </w:r>
      <w:r>
        <w:t>S</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行区有明显的气流旋涡和无风区，从而造成闷热不适感。因此本项目需要分析建筑周围人行区的风速和风速放大系数分布，并作出判断。</w:t>
      </w:r>
    </w:p>
    <w:p>
      <w:pPr>
        <w:pStyle w:val="3"/>
        <w:ind w:firstLine="422"/>
        <w:rPr>
          <w:lang w:val="en-US"/>
        </w:rPr>
      </w:pPr>
      <w:r>
        <w:rPr>
          <w:rFonts w:hint="eastAsia"/>
          <w:b/>
          <w:lang w:val="en-US"/>
        </w:rPr>
        <w:t>无风区的定义</w:t>
      </w:r>
      <w:r>
        <w:rPr>
          <w:rFonts w:hint="eastAsia"/>
          <w:lang w:val="en-US"/>
        </w:rPr>
        <w:t xml:space="preserve"> 通常当人行区域风速≤0.2m/s时，该区域风向标处于静止状态，在此区域活动的人会有明显的无风感，则该区域为无风区。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70" w:name="_Toc9836"/>
      <w:r>
        <w:rPr>
          <w:rFonts w:hint="eastAsia"/>
        </w:rPr>
        <w:t>无风区计算分析</w:t>
      </w:r>
      <w:bookmarkEnd w:id="70"/>
    </w:p>
    <w:p>
      <w:pPr>
        <w:pStyle w:val="6"/>
      </w:pPr>
      <w:r>
        <w:rPr>
          <w:rFonts w:hint="eastAsia"/>
        </w:rPr>
        <w:t>人行区域</w:t>
      </w:r>
    </w:p>
    <w:p>
      <w:pPr>
        <w:pStyle w:val="3"/>
        <w:spacing w:after="156" w:afterLines="50"/>
        <w:ind w:firstLine="420"/>
        <w:jc w:val="left"/>
      </w:pPr>
      <w:r>
        <w:rPr>
          <w:rFonts w:hint="eastAsia"/>
          <w:lang w:val="en-US"/>
        </w:rPr>
        <w:t>本项目通过CFD计算获取整个计算域内以及人行区的风速分布，并通过速度下限为0</w:t>
      </w:r>
      <w:r>
        <w:rPr>
          <w:lang w:val="en-US"/>
        </w:rPr>
        <w:t>.</w:t>
      </w:r>
      <w:r>
        <w:rPr>
          <w:rFonts w:hint="eastAsia"/>
          <w:lang w:val="en-US"/>
        </w:rPr>
        <w:t>2m/s的速度等值线标示出超限区域。结合下列图和表中数据，</w:t>
      </w:r>
      <w:r>
        <w:t>人行区内未标示出风速</w:t>
      </w:r>
      <w:r>
        <w:rPr>
          <w:color w:val="0000FF"/>
        </w:rPr>
        <w:t>小于</w:t>
      </w:r>
      <w:r>
        <w:t>0.2m/s的超限区域，因此人行区风速</w:t>
      </w:r>
      <w:r>
        <w:rPr>
          <w:color w:val="0000FF"/>
        </w:rPr>
        <w:t>满足</w:t>
      </w:r>
      <w:r>
        <w:t>绿标要求，项目可采用现有建筑布局。</w:t>
      </w:r>
    </w:p>
    <w:p>
      <w:pPr>
        <w:pStyle w:val="3"/>
        <w:spacing w:after="156" w:afterLines="50"/>
        <w:ind w:firstLine="0" w:firstLineChars="0"/>
        <w:jc w:val="center"/>
      </w:pPr>
      <w:r>
        <w:drawing>
          <wp:inline distT="0" distB="0" distL="0" distR="0">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6"/>
                    <a:stretch>
                      <a:fillRect/>
                    </a:stretch>
                  </pic:blipFill>
                  <pic:spPr>
                    <a:xfrm>
                      <a:off x="0" y="0"/>
                      <a:ext cx="5667375" cy="34671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人行区域-1.5米高度水平面风速云图-夏季</w:t>
      </w:r>
      <w:r>
        <w:rPr>
          <w:rFonts w:hint="eastAsia"/>
        </w:rPr>
        <w:t xml:space="preserve"> </w:t>
      </w:r>
    </w:p>
    <w:p>
      <w:pPr>
        <w:pStyle w:val="3"/>
        <w:tabs>
          <w:tab w:val="left" w:pos="426"/>
        </w:tabs>
        <w:ind w:firstLine="420"/>
      </w:pPr>
      <w:r>
        <w:rPr>
          <w:rFonts w:hint="eastAsia"/>
        </w:rPr>
        <w:t>下图为整个计算域内风速分布云图，参考图中速度分布可以对项目中建筑布局进行优化。分析下图，</w:t>
      </w:r>
      <w:r>
        <w:t>人行区内未标示出风速小于0.2m/s的超限区域，因此人行区风速满足绿标要求，项目可采用现有建筑布局。</w:t>
      </w:r>
    </w:p>
    <w:p>
      <w:pPr>
        <w:pStyle w:val="3"/>
        <w:spacing w:after="156" w:afterLines="50"/>
        <w:ind w:firstLine="0" w:firstLineChars="0"/>
        <w:jc w:val="center"/>
      </w:pPr>
      <w:r>
        <w:drawing>
          <wp:inline distT="0" distB="0" distL="0" distR="0">
            <wp:extent cx="5667375" cy="34861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7"/>
                    <a:stretch>
                      <a:fillRect/>
                    </a:stretch>
                  </pic:blipFill>
                  <pic:spPr>
                    <a:xfrm>
                      <a:off x="0" y="0"/>
                      <a:ext cx="5667375" cy="348615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计算域内-1.5米高度水平面风速云图-夏季</w:t>
      </w:r>
      <w:bookmarkEnd w:id="14"/>
    </w:p>
    <w:p>
      <w:pPr>
        <w:pStyle w:val="5"/>
      </w:pPr>
      <w:bookmarkStart w:id="71" w:name="_Toc3576"/>
      <w:r>
        <w:rPr>
          <w:rFonts w:hint="eastAsia"/>
        </w:rPr>
        <w:t>旋涡区分析</w:t>
      </w:r>
      <w:bookmarkEnd w:id="15"/>
      <w:bookmarkEnd w:id="71"/>
    </w:p>
    <w:p>
      <w:pPr>
        <w:pStyle w:val="6"/>
      </w:pPr>
      <w:r>
        <w:rPr>
          <w:rFonts w:hint="eastAsia"/>
        </w:rPr>
        <w:t>人行区域</w:t>
      </w:r>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旋涡区的空气流运动体现在风速矢量图中，即若干矢量箭头以某位置为中心顺时针或者逆时针旋转呈螺旋状分布。分析下图可知，人行区没有明显的旋涡产生，因此满足绿标要求。</w:t>
      </w:r>
    </w:p>
    <w:p>
      <w:pPr>
        <w:pStyle w:val="3"/>
        <w:ind w:firstLine="0" w:firstLineChars="0"/>
        <w:jc w:val="center"/>
        <w:rPr>
          <w:lang w:val="en-US"/>
        </w:rPr>
      </w:pPr>
      <w:r>
        <w:drawing>
          <wp:inline distT="0" distB="0" distL="0" distR="0">
            <wp:extent cx="5667375" cy="36195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8"/>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人行区域-1.5米高度水平面风速矢量图</w:t>
      </w:r>
      <w:r>
        <w:rPr>
          <w:rFonts w:hint="eastAsia"/>
          <w:lang w:val="en-US"/>
        </w:rPr>
        <w:t xml:space="preserve"> </w:t>
      </w:r>
    </w:p>
    <w:bookmarkEnd w:id="18"/>
    <w:p>
      <w:pPr>
        <w:pStyle w:val="3"/>
        <w:tabs>
          <w:tab w:val="left" w:pos="426"/>
        </w:tabs>
        <w:ind w:firstLine="420"/>
        <w:rPr>
          <w:lang w:val="en-US"/>
        </w:rPr>
      </w:pPr>
      <w:r>
        <w:rPr>
          <w:rFonts w:hint="eastAsia"/>
          <w:lang w:val="en-US"/>
        </w:rPr>
        <w:t>下图为计算域内的风速矢量图，分析下图可知，计算域内没有明显的旋涡产生，本项目建筑布局基本合理。</w:t>
      </w:r>
    </w:p>
    <w:bookmarkEnd w:id="19"/>
    <w:p>
      <w:pPr>
        <w:pStyle w:val="3"/>
        <w:ind w:firstLine="0" w:firstLineChars="0"/>
        <w:jc w:val="center"/>
        <w:rPr>
          <w:lang w:val="en-US"/>
        </w:rPr>
      </w:pPr>
      <w:r>
        <w:drawing>
          <wp:inline distT="0" distB="0" distL="0" distR="0">
            <wp:extent cx="5667375" cy="3667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9"/>
                    <a:stretch>
                      <a:fillRect/>
                    </a:stretch>
                  </pic:blipFill>
                  <pic:spPr>
                    <a:xfrm>
                      <a:off x="0" y="0"/>
                      <a:ext cx="5667375" cy="36671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计算域内-1.5米高度水平面风速矢量图</w:t>
      </w:r>
    </w:p>
    <w:p>
      <w:pPr>
        <w:pStyle w:val="5"/>
      </w:pPr>
      <w:bookmarkStart w:id="72" w:name="_Toc6108"/>
      <w:r>
        <w:rPr>
          <w:rFonts w:hint="eastAsia"/>
        </w:rPr>
        <w:t>人行区域旋涡区/无风区达标判定</w:t>
      </w:r>
      <w:bookmarkEnd w:id="21"/>
      <w:bookmarkEnd w:id="7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w:t>
      </w:r>
      <w:bookmarkEnd w:id="2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24"/>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25"/>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73" w:name="_Toc18692"/>
      <w:r>
        <w:rPr>
          <w:rFonts w:hint="eastAsia"/>
        </w:rPr>
        <w:t>外窗内外表面风压</w:t>
      </w:r>
      <w:bookmarkEnd w:id="26"/>
      <w:r>
        <w:rPr>
          <w:rFonts w:hint="eastAsia"/>
        </w:rPr>
        <w:t>差达标分析</w:t>
      </w:r>
      <w:bookmarkEnd w:id="27"/>
      <w:bookmarkEnd w:id="73"/>
    </w:p>
    <w:p>
      <w:pPr>
        <w:pStyle w:val="3"/>
        <w:ind w:firstLine="420"/>
      </w:pPr>
      <w:r>
        <w:rPr>
          <w:rFonts w:hint="eastAsia"/>
          <w:lang w:val="en-US"/>
        </w:rPr>
        <w:t>分析《绿色建筑评价标准》，夏季</w:t>
      </w:r>
      <w:bookmarkEnd w:id="30"/>
      <w:r>
        <w:rPr>
          <w:rFonts w:hint="eastAsia"/>
          <w:lang w:val="en-US"/>
        </w:rPr>
        <w:t>为充分利用自然通风获得良好的室内风环境，要求50%以上可开启外窗室内外表面的风压差大于0.5Pa</w:t>
      </w:r>
      <w:bookmarkEnd w:id="31"/>
      <w:r>
        <w:rPr>
          <w:rFonts w:hint="eastAsia"/>
          <w:lang w:val="en-US"/>
        </w:rPr>
        <w:t>。</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32"/>
    <w:p>
      <w:pPr>
        <w:pStyle w:val="3"/>
        <w:ind w:firstLine="0" w:firstLineChars="0"/>
        <w:jc w:val="center"/>
      </w:pPr>
      <w:r>
        <w:drawing>
          <wp:inline distT="0" distB="0" distL="0" distR="0">
            <wp:extent cx="5667375" cy="3619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0"/>
                    <a:stretch>
                      <a:fillRect/>
                    </a:stretch>
                  </pic:blipFill>
                  <pic:spPr>
                    <a:xfrm>
                      <a:off x="0" y="0"/>
                      <a:ext cx="5667375" cy="36195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bookmarkEnd w:id="36"/>
    </w:p>
    <w:bookmarkEnd w:id="38"/>
    <w:p>
      <w:pPr>
        <w:pStyle w:val="13"/>
        <w:jc w:val="center"/>
      </w:pPr>
      <w:r>
        <w:drawing>
          <wp:inline distT="0" distB="0" distL="0" distR="0">
            <wp:extent cx="5667375" cy="36385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81"/>
                    <a:stretch>
                      <a:fillRect/>
                    </a:stretch>
                  </pic:blipFill>
                  <pic:spPr>
                    <a:xfrm>
                      <a:off x="0" y="0"/>
                      <a:ext cx="5667375" cy="363855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6</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bookmarkEnd w:id="39"/>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DT单体(单体模型+组合模型)</w:t>
            </w:r>
          </w:p>
        </w:tc>
        <w:tc>
          <w:tcPr>
            <w:tcW w:w="1134" w:type="dxa"/>
            <w:shd w:val="clear" w:color="auto" w:fill="auto"/>
            <w:vAlign w:val="center"/>
          </w:tcPr>
          <w:p>
            <w:pPr>
              <w:jc w:val="center"/>
              <w:rPr>
                <w:lang w:val="en-US"/>
              </w:rPr>
            </w:pPr>
            <w:r>
              <w:rPr>
                <w:lang w:val="en-US"/>
              </w:rPr>
              <w:t>193</w:t>
            </w:r>
          </w:p>
        </w:tc>
        <w:tc>
          <w:tcPr>
            <w:tcW w:w="1984" w:type="dxa"/>
            <w:shd w:val="clear" w:color="auto" w:fill="auto"/>
            <w:vAlign w:val="center"/>
          </w:tcPr>
          <w:p>
            <w:pPr>
              <w:jc w:val="center"/>
              <w:rPr>
                <w:lang w:val="en-US"/>
              </w:rPr>
            </w:pPr>
            <w:r>
              <w:rPr>
                <w:lang w:val="en-US"/>
              </w:rPr>
              <w:t>188</w:t>
            </w:r>
          </w:p>
        </w:tc>
        <w:tc>
          <w:tcPr>
            <w:tcW w:w="1116" w:type="dxa"/>
            <w:shd w:val="clear" w:color="auto" w:fill="auto"/>
            <w:vAlign w:val="center"/>
          </w:tcPr>
          <w:p>
            <w:pPr>
              <w:jc w:val="center"/>
              <w:rPr>
                <w:lang w:val="en-US"/>
              </w:rPr>
            </w:pPr>
            <w:r>
              <w:rPr>
                <w:lang w:val="en-US"/>
              </w:rPr>
              <w:t>97.41</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bookmarkEnd w:id="40"/>
    <w:p>
      <w:pPr>
        <w:rPr>
          <w:lang w:val="en-US"/>
        </w:rPr>
      </w:pPr>
    </w:p>
    <w:p/>
    <w:p>
      <w:pPr>
        <w:rPr>
          <w:lang w:val="en-US"/>
        </w:rPr>
      </w:pPr>
      <w:r>
        <w:rPr>
          <w:rFonts w:hint="eastAsia"/>
          <w:lang w:val="en-US"/>
        </w:rPr>
        <w:t>结论：本项目中所有建筑均满足“50%以上可开启外窗室内外表面的风压差大于0.5Pa”的要求。</w:t>
      </w:r>
      <w:bookmarkEnd w:id="42"/>
      <w:r>
        <w:rPr>
          <w:rFonts w:hint="eastAsia"/>
          <w:lang w:val="en-US"/>
        </w:rPr>
        <w:t xml:space="preserve"> </w:t>
      </w:r>
    </w:p>
    <w:p>
      <w:pPr>
        <w:rPr>
          <w:lang w:val="en-US"/>
        </w:rPr>
      </w:pPr>
      <w:bookmarkStart w:id="74" w:name="其他工况"/>
      <w:bookmarkEnd w:id="74"/>
      <w:r>
        <w:rPr>
          <w:rFonts w:hint="eastAsia"/>
          <w:lang w:val="en-US"/>
        </w:rPr>
        <w:t xml:space="preserve"> </w:t>
      </w:r>
    </w:p>
    <w:p>
      <w:pPr>
        <w:pStyle w:val="4"/>
      </w:pPr>
      <w:bookmarkStart w:id="75" w:name="_Toc22464"/>
      <w:bookmarkStart w:id="76" w:name="_Toc509844764"/>
      <w:r>
        <w:rPr>
          <w:rFonts w:hint="eastAsia"/>
        </w:rPr>
        <w:t>结论</w:t>
      </w:r>
      <w:bookmarkEnd w:id="75"/>
      <w:bookmarkEnd w:id="76"/>
    </w:p>
    <w:p>
      <w:pPr>
        <w:pStyle w:val="5"/>
      </w:pPr>
      <w:bookmarkStart w:id="77" w:name="_Toc22752"/>
      <w:r>
        <w:rPr>
          <w:rFonts w:hint="eastAsia"/>
        </w:rPr>
        <w:t>冬季工况达标判断</w:t>
      </w:r>
      <w:bookmarkEnd w:id="7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得3分；</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w:t>
            </w:r>
            <w:r>
              <w:t>没有出现</w:t>
            </w:r>
            <w:r>
              <w:rPr>
                <w:rFonts w:hint="eastAsia"/>
                <w:lang w:val="en-US"/>
              </w:rPr>
              <w:t>风速大于</w:t>
            </w:r>
            <w:r>
              <w:rPr>
                <w:lang w:val="en-US"/>
              </w:rPr>
              <w:t>5m/s</w:t>
            </w:r>
            <w:r>
              <w:rPr>
                <w:rFonts w:hint="eastAsia"/>
                <w:lang w:val="en-US"/>
              </w:rPr>
              <w:t>的区域，户外休息区、儿童娱乐区</w:t>
            </w:r>
            <w:r>
              <w:t>没有出现</w:t>
            </w:r>
            <w:r>
              <w:rPr>
                <w:rFonts w:hint="eastAsia"/>
                <w:lang w:val="en-US"/>
              </w:rPr>
              <w:t>风速大于2m/s的区域</w:t>
            </w:r>
          </w:p>
        </w:tc>
        <w:tc>
          <w:tcPr>
            <w:tcW w:w="1985" w:type="dxa"/>
            <w:vMerge w:val="restart"/>
            <w:tcBorders>
              <w:top w:val="single" w:color="auto" w:sz="4" w:space="0"/>
            </w:tcBorders>
            <w:shd w:val="clear" w:color="auto" w:fill="auto"/>
            <w:vAlign w:val="center"/>
          </w:tcPr>
          <w:p>
            <w:pPr>
              <w:jc w:val="center"/>
              <w:rPr>
                <w:b/>
                <w:lang w:val="en-US"/>
              </w:rPr>
            </w:pPr>
            <w:r>
              <w:rPr>
                <w:rFonts w:hint="eastAsia"/>
                <w:b/>
                <w:lang w:val="en-US"/>
              </w:rPr>
              <w:t>达标</w:t>
            </w:r>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w:t>
            </w:r>
            <w:r>
              <w:t>没有出现</w:t>
            </w:r>
            <w:r>
              <w:rPr>
                <w:rFonts w:hint="eastAsia"/>
                <w:lang w:val="en-US"/>
              </w:rPr>
              <w:t>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除迎风第一排建筑外，建筑迎风面与背风面表面风压差不超过5Pa，得2分</w:t>
            </w:r>
          </w:p>
        </w:tc>
        <w:tc>
          <w:tcPr>
            <w:tcW w:w="1985" w:type="dxa"/>
            <w:shd w:val="clear" w:color="auto" w:fill="auto"/>
            <w:vAlign w:val="center"/>
          </w:tcPr>
          <w:p>
            <w:pPr>
              <w:jc w:val="center"/>
              <w:rPr>
                <w:lang w:val="en-US"/>
              </w:rPr>
            </w:pPr>
            <w:r>
              <w:rPr>
                <w:rFonts w:hint="eastAsia"/>
                <w:lang w:val="en-US"/>
              </w:rPr>
              <w:t>本项目</w:t>
            </w:r>
            <w:r>
              <w:t>没有出现</w:t>
            </w:r>
            <w:r>
              <w:rPr>
                <w:rFonts w:hint="eastAsia"/>
                <w:lang w:val="en-US"/>
              </w:rPr>
              <w:t>建筑迎风面与背风面表面风压差大于5Pa的建筑</w:t>
            </w:r>
          </w:p>
        </w:tc>
        <w:tc>
          <w:tcPr>
            <w:tcW w:w="1985" w:type="dxa"/>
            <w:shd w:val="clear" w:color="auto" w:fill="auto"/>
            <w:vAlign w:val="center"/>
          </w:tcPr>
          <w:p>
            <w:pPr>
              <w:jc w:val="center"/>
              <w:rPr>
                <w:lang w:val="en-US"/>
              </w:rPr>
            </w:pPr>
            <w:r>
              <w:rPr>
                <w:rFonts w:hint="eastAsia"/>
                <w:b/>
                <w:lang w:val="en-US"/>
              </w:rPr>
              <w:t>达标</w:t>
            </w:r>
          </w:p>
        </w:tc>
        <w:tc>
          <w:tcPr>
            <w:tcW w:w="1416" w:type="dxa"/>
            <w:shd w:val="clear" w:color="auto" w:fill="auto"/>
            <w:vAlign w:val="center"/>
          </w:tcPr>
          <w:p>
            <w:pPr>
              <w:jc w:val="center"/>
              <w:rPr>
                <w:lang w:val="en-US"/>
              </w:rPr>
            </w:pPr>
            <w:r>
              <w:rPr>
                <w:rFonts w:hint="eastAsia"/>
                <w:lang w:val="en-US"/>
              </w:rPr>
              <w:t>2</w:t>
            </w:r>
            <w:bookmarkEnd w:id="10"/>
            <w:r>
              <w:rPr>
                <w:rFonts w:hint="eastAsia"/>
                <w:lang w:val="en-US"/>
              </w:rPr>
              <w:t>分</w:t>
            </w:r>
          </w:p>
        </w:tc>
      </w:tr>
      <w:bookmarkEnd w:id="11"/>
      <w:bookmarkEnd w:id="13"/>
    </w:tbl>
    <w:p>
      <w:pPr>
        <w:rPr>
          <w:szCs w:val="21"/>
          <w:lang w:val="en-US"/>
        </w:rPr>
      </w:pPr>
    </w:p>
    <w:bookmarkEnd w:id="0"/>
    <w:bookmarkEnd w:id="1"/>
    <w:p>
      <w:pPr>
        <w:pStyle w:val="5"/>
      </w:pPr>
      <w:bookmarkStart w:id="78" w:name="_Toc20918"/>
      <w:r>
        <w:rPr>
          <w:rFonts w:hint="eastAsia"/>
        </w:rPr>
        <w:t>过渡季、夏季工况达标判断</w:t>
      </w:r>
      <w:bookmarkEnd w:id="2"/>
      <w:bookmarkEnd w:id="78"/>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，得3分</w:t>
            </w:r>
            <w:r>
              <w:rPr>
                <w:lang w:val="en-US"/>
              </w:rPr>
              <w:t xml:space="preserve"> </w:t>
            </w:r>
          </w:p>
        </w:tc>
        <w:tc>
          <w:tcPr>
            <w:tcW w:w="1985" w:type="dxa"/>
            <w:tcBorders>
              <w:top w:val="single" w:color="auto" w:sz="4" w:space="0"/>
            </w:tcBorders>
            <w:shd w:val="clear" w:color="auto" w:fill="auto"/>
            <w:vAlign w:val="center"/>
          </w:tcPr>
          <w:p>
            <w:pPr>
              <w:jc w:val="center"/>
              <w:rPr>
                <w:lang w:val="en-US"/>
              </w:rPr>
            </w:pPr>
            <w:r>
              <w:rPr>
                <w:rFonts w:hint="eastAsia"/>
                <w:lang w:val="en-US"/>
              </w:rPr>
              <w:t>人行区无</w:t>
            </w:r>
            <w:bookmarkEnd w:id="3"/>
            <w:r>
              <w:rPr>
                <w:rFonts w:hint="eastAsia"/>
                <w:lang w:val="en-US"/>
              </w:rPr>
              <w:t>无风区</w:t>
            </w:r>
          </w:p>
        </w:tc>
        <w:tc>
          <w:tcPr>
            <w:tcW w:w="1985" w:type="dxa"/>
            <w:vMerge w:val="restart"/>
            <w:tcBorders>
              <w:top w:val="single" w:color="auto" w:sz="4" w:space="0"/>
            </w:tcBorders>
            <w:shd w:val="clear" w:color="auto" w:fill="auto"/>
            <w:vAlign w:val="center"/>
          </w:tcPr>
          <w:p>
            <w:pPr>
              <w:jc w:val="center"/>
              <w:rPr>
                <w:lang w:val="en-US"/>
              </w:rPr>
            </w:pPr>
            <w:r>
              <w:rPr>
                <w:rFonts w:hint="eastAsia"/>
                <w:b/>
                <w:lang w:val="en-US"/>
              </w:rPr>
              <w:t>达标</w:t>
            </w:r>
            <w:bookmarkEnd w:id="4"/>
          </w:p>
        </w:tc>
        <w:tc>
          <w:tcPr>
            <w:tcW w:w="1416" w:type="dxa"/>
            <w:vMerge w:val="restart"/>
            <w:tcBorders>
              <w:top w:val="single" w:color="auto" w:sz="4" w:space="0"/>
            </w:tcBorders>
            <w:shd w:val="clear" w:color="auto" w:fill="auto"/>
            <w:vAlign w:val="center"/>
          </w:tcPr>
          <w:p>
            <w:pPr>
              <w:jc w:val="center"/>
              <w:rPr>
                <w:lang w:val="en-US"/>
              </w:rPr>
            </w:pPr>
            <w:r>
              <w:rPr>
                <w:rFonts w:hint="eastAsia"/>
                <w:lang w:val="en-US"/>
              </w:rPr>
              <w:t>3</w:t>
            </w:r>
            <w:bookmarkEnd w:id="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r>
              <w:rPr>
                <w:rFonts w:hint="eastAsia"/>
                <w:lang w:val="en-US"/>
              </w:rPr>
              <w:t>人行区无旋涡区</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，得2分。</w:t>
            </w:r>
          </w:p>
        </w:tc>
        <w:tc>
          <w:tcPr>
            <w:tcW w:w="1985" w:type="dxa"/>
            <w:shd w:val="clear" w:color="auto" w:fill="auto"/>
            <w:vAlign w:val="center"/>
          </w:tcPr>
          <w:p>
            <w:pPr>
              <w:jc w:val="center"/>
              <w:rPr>
                <w:lang w:val="en-US"/>
              </w:rPr>
            </w:pPr>
            <w:r>
              <w:rPr>
                <w:rFonts w:hint="eastAsia"/>
                <w:b/>
                <w:lang w:val="en-US"/>
              </w:rPr>
              <w:t>可开启外窗室内外表面的风压差</w:t>
            </w:r>
            <w:r>
              <w:rPr>
                <w:rFonts w:hint="eastAsia"/>
                <w:lang w:val="en-US"/>
              </w:rPr>
              <w:t>满足</w:t>
            </w:r>
            <w:bookmarkEnd w:id="6"/>
            <w:r>
              <w:rPr>
                <w:rFonts w:hint="eastAsia"/>
                <w:lang w:val="en-US"/>
              </w:rPr>
              <w:t>标准要求</w:t>
            </w:r>
          </w:p>
        </w:tc>
        <w:tc>
          <w:tcPr>
            <w:tcW w:w="1985" w:type="dxa"/>
            <w:shd w:val="clear" w:color="auto" w:fill="auto"/>
            <w:vAlign w:val="center"/>
          </w:tcPr>
          <w:p>
            <w:pPr>
              <w:jc w:val="center"/>
              <w:rPr>
                <w:b/>
                <w:lang w:val="en-US"/>
              </w:rPr>
            </w:pPr>
            <w:r>
              <w:rPr>
                <w:rFonts w:hint="eastAsia"/>
                <w:b/>
                <w:lang w:val="en-US"/>
              </w:rPr>
              <w:t>达标</w:t>
            </w:r>
            <w:bookmarkEnd w:id="7"/>
          </w:p>
        </w:tc>
        <w:tc>
          <w:tcPr>
            <w:tcW w:w="1416" w:type="dxa"/>
            <w:shd w:val="clear" w:color="auto" w:fill="auto"/>
            <w:vAlign w:val="center"/>
          </w:tcPr>
          <w:p>
            <w:pPr>
              <w:jc w:val="center"/>
              <w:rPr>
                <w:lang w:val="en-US"/>
              </w:rPr>
            </w:pPr>
            <w:r>
              <w:rPr>
                <w:rFonts w:hint="eastAsia"/>
                <w:lang w:val="en-US"/>
              </w:rPr>
              <w:t>2</w:t>
            </w:r>
            <w:bookmarkEnd w:id="34"/>
            <w:r>
              <w:rPr>
                <w:rFonts w:hint="eastAsia"/>
                <w:lang w:val="en-US"/>
              </w:rPr>
              <w:t>分</w:t>
            </w:r>
          </w:p>
        </w:tc>
      </w:tr>
      <w:bookmarkEnd w:id="8"/>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79" w:name="总得分"/>
      <w:r>
        <w:rPr>
          <w:rFonts w:hint="eastAsia"/>
          <w:lang w:val="en-US"/>
        </w:rPr>
        <w:t>10</w:t>
      </w:r>
      <w:bookmarkEnd w:id="79"/>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BDFC5F3"/>
    <w:multiLevelType w:val="singleLevel"/>
    <w:tmpl w:val="ABDFC5F3"/>
    <w:lvl w:ilvl="0" w:tentative="0">
      <w:start w:val="1"/>
      <w:numFmt w:val="decimal"/>
      <w:suff w:val="nothing"/>
      <w:lvlText w:val="%1、"/>
      <w:lvlJc w:val="left"/>
    </w:lvl>
  </w:abstractNum>
  <w:abstractNum w:abstractNumId="1">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5">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4"/>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2"/>
  </w:compat>
  <w:rsids>
    <w:rsidRoot w:val="00217F62"/>
    <w:rsid w:val="001915A3"/>
    <w:rsid w:val="00217F62"/>
    <w:rsid w:val="00A906D8"/>
    <w:rsid w:val="00AB5A74"/>
    <w:rsid w:val="00F071AE"/>
    <w:rsid w:val="03532BCC"/>
    <w:rsid w:val="0B003F66"/>
    <w:rsid w:val="1D040E0B"/>
    <w:rsid w:val="4A8A4BA0"/>
    <w:rsid w:val="4E7B32E9"/>
    <w:rsid w:val="647C420C"/>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qFormat/>
    <w:uiPriority w:val="0"/>
    <w:rPr>
      <w:b/>
      <w:bCs/>
      <w:kern w:val="32"/>
      <w:sz w:val="28"/>
      <w:szCs w:val="28"/>
    </w:rPr>
  </w:style>
  <w:style w:type="character" w:customStyle="1" w:styleId="28">
    <w:name w:val="标题 2 Char"/>
    <w:link w:val="4"/>
    <w:qFormat/>
    <w:uiPriority w:val="0"/>
    <w:rPr>
      <w:rFonts w:ascii="宋体" w:cs="Arial"/>
      <w:b/>
      <w:bCs/>
      <w:iCs/>
      <w:color w:val="000000"/>
      <w:sz w:val="24"/>
      <w:szCs w:val="24"/>
    </w:rPr>
  </w:style>
  <w:style w:type="character" w:customStyle="1" w:styleId="29">
    <w:name w:val="页脚 Char"/>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qFormat/>
    <w:uiPriority w:val="0"/>
    <w:rPr>
      <w:b/>
      <w:bCs/>
      <w:sz w:val="21"/>
      <w:szCs w:val="28"/>
      <w:lang w:val="en-GB"/>
    </w:rPr>
  </w:style>
  <w:style w:type="character" w:customStyle="1" w:styleId="38">
    <w:name w:val="标题 5 Char"/>
    <w:link w:val="7"/>
    <w:uiPriority w:val="0"/>
    <w:rPr>
      <w:b/>
      <w:bCs/>
      <w:iCs/>
      <w:sz w:val="21"/>
      <w:szCs w:val="26"/>
      <w:lang w:val="en-GB"/>
    </w:rPr>
  </w:style>
  <w:style w:type="character" w:customStyle="1" w:styleId="39">
    <w:name w:val="标题 6 Char"/>
    <w:link w:val="8"/>
    <w:qFormat/>
    <w:uiPriority w:val="0"/>
    <w:rPr>
      <w:b/>
      <w:bCs/>
      <w:sz w:val="21"/>
      <w:szCs w:val="22"/>
      <w:lang w:val="en-GB"/>
    </w:rPr>
  </w:style>
  <w:style w:type="character" w:customStyle="1" w:styleId="40">
    <w:name w:val="标题 7 Char"/>
    <w:link w:val="9"/>
    <w:qFormat/>
    <w:uiPriority w:val="0"/>
    <w:rPr>
      <w:sz w:val="24"/>
      <w:szCs w:val="24"/>
      <w:lang w:val="en-GB"/>
    </w:rPr>
  </w:style>
  <w:style w:type="character" w:customStyle="1" w:styleId="41">
    <w:name w:val="标题 8 Char"/>
    <w:link w:val="10"/>
    <w:uiPriority w:val="0"/>
    <w:rPr>
      <w:i/>
      <w:iCs/>
      <w:sz w:val="24"/>
      <w:szCs w:val="24"/>
      <w:lang w:val="en-GB"/>
    </w:rPr>
  </w:style>
  <w:style w:type="character" w:customStyle="1" w:styleId="42">
    <w:name w:val="标题 9 Char"/>
    <w:link w:val="11"/>
    <w:qFormat/>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5" Type="http://schemas.openxmlformats.org/officeDocument/2006/relationships/fontTable" Target="fontTable.xml"/><Relationship Id="rId84" Type="http://schemas.openxmlformats.org/officeDocument/2006/relationships/customXml" Target="../customXml/item2.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image" Target="media/image3.png"/><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2.bmp"/><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wmf"/><Relationship Id="rId65" Type="http://schemas.openxmlformats.org/officeDocument/2006/relationships/oleObject" Target="embeddings/oleObject7.bin"/><Relationship Id="rId64" Type="http://schemas.openxmlformats.org/officeDocument/2006/relationships/image" Target="media/image53.wmf"/><Relationship Id="rId63" Type="http://schemas.openxmlformats.org/officeDocument/2006/relationships/oleObject" Target="embeddings/oleObject6.bin"/><Relationship Id="rId62" Type="http://schemas.openxmlformats.org/officeDocument/2006/relationships/image" Target="media/image52.wmf"/><Relationship Id="rId61" Type="http://schemas.openxmlformats.org/officeDocument/2006/relationships/oleObject" Target="embeddings/oleObject5.bin"/><Relationship Id="rId60" Type="http://schemas.openxmlformats.org/officeDocument/2006/relationships/image" Target="media/image51.wmf"/><Relationship Id="rId6" Type="http://schemas.openxmlformats.org/officeDocument/2006/relationships/theme" Target="theme/theme1.xml"/><Relationship Id="rId59" Type="http://schemas.openxmlformats.org/officeDocument/2006/relationships/oleObject" Target="embeddings/oleObject4.bin"/><Relationship Id="rId58" Type="http://schemas.openxmlformats.org/officeDocument/2006/relationships/image" Target="media/image50.wmf"/><Relationship Id="rId57" Type="http://schemas.openxmlformats.org/officeDocument/2006/relationships/image" Target="media/image49.wmf"/><Relationship Id="rId56" Type="http://schemas.openxmlformats.org/officeDocument/2006/relationships/image" Target="media/image48.wmf"/><Relationship Id="rId55" Type="http://schemas.openxmlformats.org/officeDocument/2006/relationships/image" Target="media/image47.wmf"/><Relationship Id="rId54" Type="http://schemas.openxmlformats.org/officeDocument/2006/relationships/image" Target="media/image46.wmf"/><Relationship Id="rId53" Type="http://schemas.openxmlformats.org/officeDocument/2006/relationships/image" Target="media/image45.wmf"/><Relationship Id="rId52" Type="http://schemas.openxmlformats.org/officeDocument/2006/relationships/image" Target="media/image44.wmf"/><Relationship Id="rId51" Type="http://schemas.openxmlformats.org/officeDocument/2006/relationships/image" Target="media/image43.wmf"/><Relationship Id="rId50" Type="http://schemas.openxmlformats.org/officeDocument/2006/relationships/image" Target="media/image42.wmf"/><Relationship Id="rId5" Type="http://schemas.openxmlformats.org/officeDocument/2006/relationships/footer" Target="footer2.xml"/><Relationship Id="rId49" Type="http://schemas.openxmlformats.org/officeDocument/2006/relationships/image" Target="media/image41.wmf"/><Relationship Id="rId48" Type="http://schemas.openxmlformats.org/officeDocument/2006/relationships/image" Target="media/image40.wmf"/><Relationship Id="rId47" Type="http://schemas.openxmlformats.org/officeDocument/2006/relationships/image" Target="media/image39.wmf"/><Relationship Id="rId46" Type="http://schemas.openxmlformats.org/officeDocument/2006/relationships/image" Target="media/image38.wmf"/><Relationship Id="rId45" Type="http://schemas.openxmlformats.org/officeDocument/2006/relationships/image" Target="media/image37.wmf"/><Relationship Id="rId44" Type="http://schemas.openxmlformats.org/officeDocument/2006/relationships/image" Target="media/image36.wmf"/><Relationship Id="rId43" Type="http://schemas.openxmlformats.org/officeDocument/2006/relationships/image" Target="media/image35.wmf"/><Relationship Id="rId42" Type="http://schemas.openxmlformats.org/officeDocument/2006/relationships/image" Target="media/image34.wmf"/><Relationship Id="rId41" Type="http://schemas.openxmlformats.org/officeDocument/2006/relationships/image" Target="media/image33.wmf"/><Relationship Id="rId40" Type="http://schemas.openxmlformats.org/officeDocument/2006/relationships/image" Target="media/image32.wmf"/><Relationship Id="rId4" Type="http://schemas.openxmlformats.org/officeDocument/2006/relationships/footer" Target="footer1.xml"/><Relationship Id="rId39" Type="http://schemas.openxmlformats.org/officeDocument/2006/relationships/image" Target="media/image31.wmf"/><Relationship Id="rId38" Type="http://schemas.openxmlformats.org/officeDocument/2006/relationships/image" Target="media/image30.wmf"/><Relationship Id="rId37" Type="http://schemas.openxmlformats.org/officeDocument/2006/relationships/image" Target="media/image29.wmf"/><Relationship Id="rId36" Type="http://schemas.openxmlformats.org/officeDocument/2006/relationships/image" Target="media/image28.wmf"/><Relationship Id="rId35" Type="http://schemas.openxmlformats.org/officeDocument/2006/relationships/image" Target="media/image27.wmf"/><Relationship Id="rId34" Type="http://schemas.openxmlformats.org/officeDocument/2006/relationships/image" Target="media/image26.wmf"/><Relationship Id="rId33" Type="http://schemas.openxmlformats.org/officeDocument/2006/relationships/image" Target="media/image25.wmf"/><Relationship Id="rId32" Type="http://schemas.openxmlformats.org/officeDocument/2006/relationships/image" Target="media/image24.wmf"/><Relationship Id="rId31" Type="http://schemas.openxmlformats.org/officeDocument/2006/relationships/image" Target="media/image23.wmf"/><Relationship Id="rId30" Type="http://schemas.openxmlformats.org/officeDocument/2006/relationships/image" Target="media/image22.wmf"/><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image" Target="media/image19.wmf"/><Relationship Id="rId26" Type="http://schemas.openxmlformats.org/officeDocument/2006/relationships/image" Target="media/image18.wmf"/><Relationship Id="rId25" Type="http://schemas.openxmlformats.org/officeDocument/2006/relationships/image" Target="media/image17.wmf"/><Relationship Id="rId24" Type="http://schemas.openxmlformats.org/officeDocument/2006/relationships/image" Target="media/image16.wmf"/><Relationship Id="rId23" Type="http://schemas.openxmlformats.org/officeDocument/2006/relationships/image" Target="media/image15.wmf"/><Relationship Id="rId22" Type="http://schemas.openxmlformats.org/officeDocument/2006/relationships/image" Target="media/image14.wmf"/><Relationship Id="rId21" Type="http://schemas.openxmlformats.org/officeDocument/2006/relationships/image" Target="media/image13.wmf"/><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3.bin"/><Relationship Id="rId16" Type="http://schemas.openxmlformats.org/officeDocument/2006/relationships/image" Target="media/image9.wmf"/><Relationship Id="rId15" Type="http://schemas.openxmlformats.org/officeDocument/2006/relationships/oleObject" Target="embeddings/oleObject2.bin"/><Relationship Id="rId14" Type="http://schemas.openxmlformats.org/officeDocument/2006/relationships/image" Target="media/image8.wmf"/><Relationship Id="rId13" Type="http://schemas.openxmlformats.org/officeDocument/2006/relationships/oleObject" Target="embeddings/oleObject1.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04F88-87BB-429C-B5FB-EE09E69A1663}">
  <ds:schemaRefs/>
</ds:datastoreItem>
</file>

<file path=docProps/app.xml><?xml version="1.0" encoding="utf-8"?>
<Properties xmlns="http://schemas.openxmlformats.org/officeDocument/2006/extended-properties" xmlns:vt="http://schemas.openxmlformats.org/officeDocument/2006/docPropsVTypes">
  <Template>室外风环境模拟分析报告2019.dotx</Template>
  <Company>ths</Company>
  <Pages>12</Pages>
  <Words>2638</Words>
  <Characters>3113</Characters>
  <Lines>259</Lines>
  <Paragraphs>273</Paragraphs>
  <TotalTime>8</TotalTime>
  <ScaleCrop>false</ScaleCrop>
  <LinksUpToDate>false</LinksUpToDate>
  <CharactersWithSpaces>5478</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2018-04-09T01:52:00Z</dcterms:created>
  <dc:creator>lilikui</dc:creator>
  <cp:lastModifiedBy>HP</cp:lastModifiedBy>
  <cp:lastPrinted>1900-12-31T16:00:00Z</cp:lastPrinted>
  <dcterms:modified xsi:type="dcterms:W3CDTF">2020-12-24T10:30:28Z</dcterms:modified>
  <dc:title>室外风环境模拟分析报告</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