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B8B6" w14:textId="77777777" w:rsidR="0066208D" w:rsidRDefault="0066208D" w:rsidP="0066208D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7.1.9 </w:t>
      </w:r>
      <w:r>
        <w:rPr>
          <w:rFonts w:hint="eastAsia"/>
        </w:rPr>
        <w:t>建筑造型要素应简约，且无大量装饰性构件。</w:t>
      </w:r>
    </w:p>
    <w:p w14:paraId="37EAD258" w14:textId="77777777" w:rsidR="0066208D" w:rsidRDefault="0066208D" w:rsidP="0066208D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达标自评</w:t>
      </w:r>
    </w:p>
    <w:p w14:paraId="46944499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达标；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不达标</w:t>
      </w:r>
    </w:p>
    <w:p w14:paraId="41187820" w14:textId="77777777" w:rsidR="0066208D" w:rsidRDefault="0066208D" w:rsidP="0066208D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62C53598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）本项目是否使用了装饰性构件：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是、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否</w:t>
      </w:r>
    </w:p>
    <w:p w14:paraId="42A5FD7B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）如果使用了装饰性构件：</w:t>
      </w:r>
    </w:p>
    <w:p w14:paraId="74FA3BC9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装饰性构件的造价：</w:t>
      </w:r>
      <w:r>
        <w:rPr>
          <w:rFonts w:hint="eastAsia"/>
          <w:sz w:val="21"/>
          <w:szCs w:val="21"/>
          <w:u w:val="single"/>
        </w:rPr>
        <w:t xml:space="preserve">         </w:t>
      </w:r>
      <w:r>
        <w:rPr>
          <w:rFonts w:hint="eastAsia"/>
          <w:sz w:val="21"/>
          <w:szCs w:val="21"/>
        </w:rPr>
        <w:t>万元，工程总造价：</w:t>
      </w:r>
      <w:r>
        <w:rPr>
          <w:rFonts w:hint="eastAsia"/>
          <w:sz w:val="21"/>
          <w:szCs w:val="21"/>
          <w:u w:val="single"/>
        </w:rPr>
        <w:t xml:space="preserve">          </w:t>
      </w:r>
      <w:r>
        <w:rPr>
          <w:rFonts w:hint="eastAsia"/>
          <w:sz w:val="21"/>
          <w:szCs w:val="21"/>
        </w:rPr>
        <w:t>万元，装饰性构件造价占工程总造价的比例：</w:t>
      </w:r>
      <w:r>
        <w:rPr>
          <w:rFonts w:hint="eastAsia"/>
          <w:sz w:val="21"/>
          <w:szCs w:val="21"/>
          <w:u w:val="single"/>
        </w:rPr>
        <w:t xml:space="preserve">        </w:t>
      </w:r>
    </w:p>
    <w:p w14:paraId="3ED481A2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）装饰性构件的类别为：</w:t>
      </w:r>
    </w:p>
    <w:p w14:paraId="797E082D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）超出安全防护高度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倍的女儿墙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</w:p>
    <w:p w14:paraId="730CAEDD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）仅用于装饰的塔、球、曲面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</w:p>
    <w:p w14:paraId="489D52B0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）不具备功能作用的飘板、格栅、构架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</w:p>
    <w:p w14:paraId="567A1442" w14:textId="77777777" w:rsidR="0066208D" w:rsidRDefault="0066208D" w:rsidP="0066208D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24681E84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49676F11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）建筑、结构专业竣工图及设计说明；</w:t>
      </w:r>
    </w:p>
    <w:p w14:paraId="201CB319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）建筑外装修竣工图及设计说明、建筑效果图；</w:t>
      </w:r>
    </w:p>
    <w:p w14:paraId="080F8A58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）建筑工程造价结算书、装饰性构件造价比例计算书。</w:t>
      </w:r>
    </w:p>
    <w:p w14:paraId="573B17A7" w14:textId="77777777" w:rsidR="0066208D" w:rsidRDefault="0066208D" w:rsidP="0066208D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 </w:t>
      </w:r>
    </w:p>
    <w:p w14:paraId="110738AA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66208D" w14:paraId="1CFB881A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1580D0" w14:textId="77777777" w:rsidR="0066208D" w:rsidRDefault="0066208D" w:rsidP="00EA081A"/>
        </w:tc>
      </w:tr>
    </w:tbl>
    <w:p w14:paraId="78A10D6E" w14:textId="77777777" w:rsidR="0066208D" w:rsidRDefault="0066208D" w:rsidP="0066208D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06BA8BE7" w14:textId="15E9A1EA" w:rsidR="009D4724" w:rsidRPr="0066208D" w:rsidRDefault="009D4724">
      <w:pPr>
        <w:rPr>
          <w:rFonts w:ascii="Times New Roman" w:hAnsi="Times New Roman" w:cs="Times New Roman" w:hint="eastAsia"/>
          <w:b/>
          <w:bCs/>
        </w:rPr>
      </w:pPr>
    </w:p>
    <w:sectPr w:rsidR="009D4724" w:rsidRPr="0066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55A45" w14:textId="77777777" w:rsidR="001F7115" w:rsidRDefault="001F7115" w:rsidP="0066208D">
      <w:r>
        <w:separator/>
      </w:r>
    </w:p>
  </w:endnote>
  <w:endnote w:type="continuationSeparator" w:id="0">
    <w:p w14:paraId="5F858894" w14:textId="77777777" w:rsidR="001F7115" w:rsidRDefault="001F7115" w:rsidP="006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30962" w14:textId="77777777" w:rsidR="001F7115" w:rsidRDefault="001F7115" w:rsidP="0066208D">
      <w:r>
        <w:separator/>
      </w:r>
    </w:p>
  </w:footnote>
  <w:footnote w:type="continuationSeparator" w:id="0">
    <w:p w14:paraId="659D56A6" w14:textId="77777777" w:rsidR="001F7115" w:rsidRDefault="001F7115" w:rsidP="0066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31"/>
    <w:rsid w:val="001F7115"/>
    <w:rsid w:val="0066208D"/>
    <w:rsid w:val="00953931"/>
    <w:rsid w:val="009D4724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E870"/>
  <w15:chartTrackingRefBased/>
  <w15:docId w15:val="{5B3CC905-6BF3-44AA-A278-CAC451C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8D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6208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0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08D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66208D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66208D"/>
    <w:pPr>
      <w:spacing w:before="100" w:beforeAutospacing="1" w:after="100" w:afterAutospacing="1"/>
    </w:pPr>
  </w:style>
  <w:style w:type="character" w:customStyle="1" w:styleId="changecolor">
    <w:name w:val="change_color"/>
    <w:rsid w:val="0066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2</cp:revision>
  <dcterms:created xsi:type="dcterms:W3CDTF">2021-03-09T11:57:00Z</dcterms:created>
  <dcterms:modified xsi:type="dcterms:W3CDTF">2021-03-09T11:57:00Z</dcterms:modified>
</cp:coreProperties>
</file>