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77AF9" w14:textId="77777777" w:rsidR="006F0000" w:rsidRDefault="006F0000" w:rsidP="006F0000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7.2.13 </w:t>
      </w:r>
      <w:r>
        <w:rPr>
          <w:rFonts w:hint="eastAsia"/>
        </w:rPr>
        <w:t>使用非传统水源。（</w:t>
      </w:r>
      <w:r>
        <w:rPr>
          <w:rFonts w:ascii="Times New Roman" w:hAnsi="Times New Roman" w:cs="Times New Roman"/>
        </w:rPr>
        <w:t>15</w:t>
      </w:r>
      <w:r>
        <w:rPr>
          <w:rFonts w:hint="eastAsia"/>
        </w:rPr>
        <w:t>分）</w:t>
      </w:r>
    </w:p>
    <w:p w14:paraId="71056EA8" w14:textId="77777777" w:rsidR="006F0000" w:rsidRDefault="006F0000" w:rsidP="006F0000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90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344"/>
        <w:gridCol w:w="3692"/>
        <w:gridCol w:w="1746"/>
        <w:gridCol w:w="1534"/>
      </w:tblGrid>
      <w:tr w:rsidR="006F0000" w14:paraId="43F5903A" w14:textId="77777777" w:rsidTr="00EA081A">
        <w:trPr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7318D1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28BF871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EC70441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3FB1F89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F0000" w14:paraId="738EB177" w14:textId="77777777" w:rsidTr="00EA081A">
        <w:trPr>
          <w:trHeight w:val="315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AAE985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DCD7519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绿化灌溉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121B7F" w14:textId="77777777" w:rsidR="006F0000" w:rsidRDefault="006F0000" w:rsidP="00EA081A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绿化灌溉、车库及道路冲洗、洗车用水采用非传统水源的用水量占其总用水量的比例不低于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40%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7B5A1B0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08D2E0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3</w:t>
            </w:r>
          </w:p>
        </w:tc>
      </w:tr>
      <w:tr w:rsidR="006F0000" w14:paraId="5784E2E5" w14:textId="77777777" w:rsidTr="00EA081A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171E" w14:textId="77777777" w:rsidR="006F0000" w:rsidRDefault="006F0000" w:rsidP="00EA081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2C187" w14:textId="77777777" w:rsidR="006F0000" w:rsidRDefault="006F0000" w:rsidP="00EA081A"/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0F71389" w14:textId="77777777" w:rsidR="006F0000" w:rsidRDefault="006F0000" w:rsidP="00EA081A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绿化灌溉、车库及道路冲洗、洗车用水采用非传统水源的用水量占其总用水量的比例不低于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60%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1B55128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3F70B9A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</w:t>
            </w:r>
          </w:p>
        </w:tc>
      </w:tr>
      <w:tr w:rsidR="006F0000" w14:paraId="32D409CE" w14:textId="77777777" w:rsidTr="00EA081A">
        <w:trPr>
          <w:trHeight w:val="431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0154C5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E1DBA6B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冲厕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5858533" w14:textId="77777777" w:rsidR="006F0000" w:rsidRDefault="006F0000" w:rsidP="00EA081A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冲厕采用非传统水源的用水量占其总用水量的比例不低于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E539F69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9176D97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3</w:t>
            </w:r>
          </w:p>
        </w:tc>
      </w:tr>
      <w:tr w:rsidR="006F0000" w14:paraId="0F50803E" w14:textId="77777777" w:rsidTr="00EA081A">
        <w:trPr>
          <w:trHeight w:val="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F669" w14:textId="77777777" w:rsidR="006F0000" w:rsidRDefault="006F0000" w:rsidP="00EA081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1D411" w14:textId="77777777" w:rsidR="006F0000" w:rsidRDefault="006F0000" w:rsidP="00EA081A"/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11534F" w14:textId="77777777" w:rsidR="006F0000" w:rsidRDefault="006F0000" w:rsidP="00EA081A">
            <w:pPr>
              <w:pStyle w:val="a7"/>
              <w:spacing w:before="0" w:beforeAutospacing="0" w:after="0" w:afterAutospacing="0" w:line="70" w:lineRule="atLeast"/>
            </w:pPr>
            <w:r>
              <w:rPr>
                <w:rFonts w:hint="eastAsia"/>
                <w:sz w:val="21"/>
                <w:szCs w:val="21"/>
              </w:rPr>
              <w:t>冲厕采用非传统水源的用水量占其总用水量的比例不低于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7B5F451" w14:textId="77777777" w:rsidR="006F0000" w:rsidRDefault="006F0000" w:rsidP="00EA081A">
            <w:pPr>
              <w:pStyle w:val="a7"/>
              <w:spacing w:before="0" w:beforeAutospacing="0" w:after="0" w:afterAutospacing="0" w:line="70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A6A6924" w14:textId="77777777" w:rsidR="006F0000" w:rsidRDefault="006F0000" w:rsidP="00EA081A">
            <w:pPr>
              <w:pStyle w:val="a7"/>
              <w:spacing w:before="0" w:beforeAutospacing="0" w:after="0" w:afterAutospacing="0" w:line="70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</w:t>
            </w:r>
          </w:p>
        </w:tc>
      </w:tr>
      <w:tr w:rsidR="006F0000" w14:paraId="65967494" w14:textId="77777777" w:rsidTr="00EA081A">
        <w:trPr>
          <w:trHeight w:val="158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E548F29" w14:textId="77777777" w:rsidR="006F0000" w:rsidRDefault="006F0000" w:rsidP="00EA081A">
            <w:pPr>
              <w:pStyle w:val="a7"/>
              <w:spacing w:before="0" w:beforeAutospacing="0" w:after="0" w:afterAutospacing="0" w:line="158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D04DA0F" w14:textId="77777777" w:rsidR="006F0000" w:rsidRDefault="006F0000" w:rsidP="00EA081A">
            <w:pPr>
              <w:pStyle w:val="a7"/>
              <w:spacing w:before="0" w:beforeAutospacing="0" w:after="0" w:afterAutospacing="0" w:line="158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冷却水补水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2E33D6" w14:textId="77777777" w:rsidR="006F0000" w:rsidRDefault="006F0000" w:rsidP="00EA081A">
            <w:pPr>
              <w:pStyle w:val="a7"/>
              <w:spacing w:before="0" w:beforeAutospacing="0" w:after="0" w:afterAutospacing="0" w:line="158" w:lineRule="atLeast"/>
            </w:pPr>
            <w:r>
              <w:rPr>
                <w:rFonts w:hint="eastAsia"/>
                <w:sz w:val="21"/>
                <w:szCs w:val="21"/>
              </w:rPr>
              <w:t>冷却水补</w:t>
            </w:r>
            <w:proofErr w:type="gramStart"/>
            <w:r>
              <w:rPr>
                <w:rFonts w:hint="eastAsia"/>
                <w:sz w:val="21"/>
                <w:szCs w:val="21"/>
              </w:rPr>
              <w:t>水采</w:t>
            </w:r>
            <w:proofErr w:type="gramEnd"/>
            <w:r>
              <w:rPr>
                <w:rFonts w:hint="eastAsia"/>
                <w:sz w:val="21"/>
                <w:szCs w:val="21"/>
              </w:rPr>
              <w:t>用非传统水源的用水量占其总用水量的比例不低于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D877009" w14:textId="77777777" w:rsidR="006F0000" w:rsidRDefault="006F0000" w:rsidP="00EA081A">
            <w:pPr>
              <w:pStyle w:val="a7"/>
              <w:spacing w:before="0" w:beforeAutospacing="0" w:after="0" w:afterAutospacing="0" w:line="158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FE1D433" w14:textId="77777777" w:rsidR="006F0000" w:rsidRDefault="006F0000" w:rsidP="00EA081A">
            <w:pPr>
              <w:pStyle w:val="a7"/>
              <w:spacing w:before="0" w:beforeAutospacing="0" w:after="0" w:afterAutospacing="0" w:line="158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</w:t>
            </w:r>
          </w:p>
        </w:tc>
      </w:tr>
      <w:tr w:rsidR="006F0000" w14:paraId="0D5E0702" w14:textId="77777777" w:rsidTr="00EA081A">
        <w:trPr>
          <w:trHeight w:val="15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399D" w14:textId="77777777" w:rsidR="006F0000" w:rsidRDefault="006F0000" w:rsidP="00EA081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632CD" w14:textId="77777777" w:rsidR="006F0000" w:rsidRDefault="006F0000" w:rsidP="00EA081A"/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979220" w14:textId="77777777" w:rsidR="006F0000" w:rsidRDefault="006F0000" w:rsidP="00EA081A">
            <w:pPr>
              <w:pStyle w:val="a7"/>
              <w:spacing w:before="0" w:beforeAutospacing="0" w:after="0" w:afterAutospacing="0" w:line="157" w:lineRule="atLeast"/>
            </w:pPr>
            <w:r>
              <w:rPr>
                <w:rFonts w:hint="eastAsia"/>
                <w:sz w:val="21"/>
                <w:szCs w:val="21"/>
              </w:rPr>
              <w:t>冷却水补</w:t>
            </w:r>
            <w:proofErr w:type="gramStart"/>
            <w:r>
              <w:rPr>
                <w:rFonts w:hint="eastAsia"/>
                <w:sz w:val="21"/>
                <w:szCs w:val="21"/>
              </w:rPr>
              <w:t>水采</w:t>
            </w:r>
            <w:proofErr w:type="gramEnd"/>
            <w:r>
              <w:rPr>
                <w:rFonts w:hint="eastAsia"/>
                <w:sz w:val="21"/>
                <w:szCs w:val="21"/>
              </w:rPr>
              <w:t>用非传统水源的用水量占其总用水量的比例不低于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40%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5CDC38C" w14:textId="77777777" w:rsidR="006F0000" w:rsidRDefault="006F0000" w:rsidP="00EA081A">
            <w:pPr>
              <w:pStyle w:val="a7"/>
              <w:spacing w:before="0" w:beforeAutospacing="0" w:after="0" w:afterAutospacing="0" w:line="157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D3973E" w14:textId="77777777" w:rsidR="006F0000" w:rsidRDefault="006F0000" w:rsidP="00EA081A">
            <w:pPr>
              <w:pStyle w:val="a7"/>
              <w:spacing w:before="0" w:beforeAutospacing="0" w:after="0" w:afterAutospacing="0" w:line="157" w:lineRule="atLeast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F0000" w14:paraId="5208E422" w14:textId="77777777" w:rsidTr="00EA081A">
        <w:trPr>
          <w:jc w:val="center"/>
        </w:trPr>
        <w:tc>
          <w:tcPr>
            <w:tcW w:w="5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3F9743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19AE6BF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92D52D" w14:textId="77777777" w:rsidR="006F0000" w:rsidRDefault="006F0000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6F0000" w14:paraId="01F4FC5C" w14:textId="77777777" w:rsidTr="00EA081A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4C7F4" w14:textId="77777777" w:rsidR="006F0000" w:rsidRDefault="006F0000" w:rsidP="00EA081A">
            <w:pPr>
              <w:rPr>
                <w:sz w:val="1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A479" w14:textId="77777777" w:rsidR="006F0000" w:rsidRDefault="006F0000" w:rsidP="00EA081A">
            <w:pPr>
              <w:rPr>
                <w:sz w:val="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7EB7" w14:textId="77777777" w:rsidR="006F0000" w:rsidRDefault="006F0000" w:rsidP="00EA081A">
            <w:pPr>
              <w:rPr>
                <w:sz w:val="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F445" w14:textId="77777777" w:rsidR="006F0000" w:rsidRDefault="006F0000" w:rsidP="00EA081A">
            <w:pPr>
              <w:rPr>
                <w:sz w:val="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C0FA" w14:textId="77777777" w:rsidR="006F0000" w:rsidRDefault="006F0000" w:rsidP="00EA081A">
            <w:pPr>
              <w:rPr>
                <w:sz w:val="1"/>
              </w:rPr>
            </w:pPr>
          </w:p>
        </w:tc>
      </w:tr>
    </w:tbl>
    <w:p w14:paraId="2E81F81D" w14:textId="77777777" w:rsidR="006F0000" w:rsidRDefault="006F0000" w:rsidP="006F0000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4B184E33" w14:textId="77777777" w:rsidR="006F0000" w:rsidRDefault="006F0000" w:rsidP="006F0000">
      <w:pPr>
        <w:pStyle w:val="a7"/>
        <w:spacing w:before="0" w:beforeAutospacing="0" w:after="0" w:afterAutospacing="0" w:line="288" w:lineRule="auto"/>
        <w:ind w:firstLine="400"/>
        <w:jc w:val="both"/>
        <w:rPr>
          <w:sz w:val="28"/>
          <w:szCs w:val="28"/>
        </w:rPr>
      </w:pPr>
      <w:r>
        <w:rPr>
          <w:rFonts w:hint="eastAsia"/>
          <w:sz w:val="21"/>
          <w:szCs w:val="21"/>
        </w:rPr>
        <w:t>建筑类型为：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住宅、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办公楼、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商场、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旅馆类、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其他</w:t>
      </w:r>
      <w:r>
        <w:rPr>
          <w:rFonts w:hint="eastAsia"/>
          <w:sz w:val="21"/>
          <w:szCs w:val="21"/>
          <w:u w:val="single"/>
        </w:rPr>
        <w:t xml:space="preserve">          </w:t>
      </w:r>
    </w:p>
    <w:p w14:paraId="7E7CC6F3" w14:textId="77777777" w:rsidR="006F0000" w:rsidRDefault="006F0000" w:rsidP="006F0000">
      <w:pPr>
        <w:pStyle w:val="a7"/>
        <w:spacing w:before="0" w:beforeAutospacing="0" w:after="0" w:afterAutospacing="0" w:line="288" w:lineRule="auto"/>
        <w:ind w:firstLine="400"/>
        <w:jc w:val="both"/>
        <w:rPr>
          <w:sz w:val="28"/>
          <w:szCs w:val="28"/>
        </w:rPr>
      </w:pPr>
      <w:r>
        <w:rPr>
          <w:rFonts w:hint="eastAsia"/>
          <w:sz w:val="21"/>
          <w:szCs w:val="21"/>
        </w:rPr>
        <w:t>非传统水源利用方式：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自建中水、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市政中水</w:t>
      </w:r>
    </w:p>
    <w:p w14:paraId="13E962F9" w14:textId="77777777" w:rsidR="006F0000" w:rsidRDefault="006F0000" w:rsidP="006F0000">
      <w:pPr>
        <w:pStyle w:val="a7"/>
        <w:spacing w:before="0" w:beforeAutospacing="0" w:after="0" w:afterAutospacing="0" w:line="288" w:lineRule="auto"/>
        <w:ind w:firstLine="4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建筑可回用水量为：</w:t>
      </w:r>
      <w:r>
        <w:rPr>
          <w:rFonts w:hint="eastAsia"/>
          <w:sz w:val="21"/>
          <w:szCs w:val="21"/>
          <w:u w:val="single"/>
        </w:rPr>
        <w:t xml:space="preserve">           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3</w:t>
      </w:r>
      <w:r>
        <w:rPr>
          <w:rFonts w:ascii="Times New Roman" w:hAnsi="Times New Roman" w:cs="Times New Roman"/>
          <w:sz w:val="21"/>
          <w:szCs w:val="21"/>
        </w:rPr>
        <w:t>/d</w:t>
      </w:r>
      <w:r>
        <w:rPr>
          <w:rFonts w:hint="eastAsia"/>
          <w:sz w:val="21"/>
          <w:szCs w:val="21"/>
        </w:rPr>
        <w:t>），非传统水源实际利用量为：</w:t>
      </w:r>
      <w:r>
        <w:rPr>
          <w:rFonts w:hint="eastAsia"/>
          <w:sz w:val="21"/>
          <w:szCs w:val="21"/>
          <w:u w:val="single"/>
        </w:rPr>
        <w:t xml:space="preserve">        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3</w:t>
      </w:r>
      <w:r>
        <w:rPr>
          <w:rFonts w:hint="eastAsia"/>
          <w:sz w:val="21"/>
          <w:szCs w:val="21"/>
        </w:rPr>
        <w:t>）。</w:t>
      </w:r>
    </w:p>
    <w:p w14:paraId="7B86A652" w14:textId="77777777" w:rsidR="006F0000" w:rsidRDefault="006F0000" w:rsidP="006F0000">
      <w:pPr>
        <w:pStyle w:val="a7"/>
        <w:spacing w:before="0" w:beforeAutospacing="0" w:after="0" w:afterAutospacing="0" w:line="288" w:lineRule="auto"/>
        <w:ind w:left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非传统水源利用情况：</w:t>
      </w:r>
    </w:p>
    <w:tbl>
      <w:tblPr>
        <w:tblW w:w="89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2276"/>
        <w:gridCol w:w="2590"/>
        <w:gridCol w:w="2590"/>
      </w:tblGrid>
      <w:tr w:rsidR="006F0000" w14:paraId="3E08DEF4" w14:textId="77777777" w:rsidTr="00EA081A">
        <w:trPr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A79D02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3F546D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总用水量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C96DFCB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非传统水源利用量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1454E1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非传统水源利用率</w:t>
            </w:r>
          </w:p>
        </w:tc>
      </w:tr>
      <w:tr w:rsidR="006F0000" w14:paraId="6DCBB083" w14:textId="77777777" w:rsidTr="00EA081A">
        <w:trPr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5E1EB7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6CD4ECA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545C0B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5C08D6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F0000" w14:paraId="025C9224" w14:textId="77777777" w:rsidTr="00EA081A">
        <w:trPr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3F8953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84192F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C6E65C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80196F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F0000" w14:paraId="47D7932E" w14:textId="77777777" w:rsidTr="00EA081A">
        <w:trPr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5F2840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97E96E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E30B0E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2C2015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F0000" w14:paraId="3323DA71" w14:textId="77777777" w:rsidTr="00EA081A">
        <w:trPr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36257A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C488407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FDB7B1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7CCF27" w14:textId="77777777" w:rsidR="006F0000" w:rsidRDefault="006F0000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018001A3" w14:textId="77777777" w:rsidR="006F0000" w:rsidRDefault="006F0000" w:rsidP="006F0000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请简要说明非传统水源利用方式、用量及所占比例。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6F0000" w14:paraId="7C6F7FCD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CB82DD" w14:textId="77777777" w:rsidR="006F0000" w:rsidRDefault="006F0000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lastRenderedPageBreak/>
              <w:t>小区污水、废水经室外化粪池处理后部分排入本地块中水站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作为中水水源，部分排入西侧、南侧市政污水管网。处理后的中水回用于室外绿化灌溉、道路冲洗、洗车和景观补水等。</w:t>
            </w:r>
          </w:p>
          <w:p w14:paraId="6868180C" w14:textId="77777777" w:rsidR="006F0000" w:rsidRDefault="006F0000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本项目设置中水系统，收集废水和雨水，处理后用于绿化浇灌和景观补水。</w:t>
            </w:r>
          </w:p>
        </w:tc>
      </w:tr>
    </w:tbl>
    <w:p w14:paraId="5C86D228" w14:textId="77777777" w:rsidR="006F0000" w:rsidRDefault="006F0000" w:rsidP="006F0000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3B393DF2" w14:textId="77777777" w:rsidR="006F0000" w:rsidRDefault="006F0000" w:rsidP="006F0000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1E0A3898" w14:textId="77777777" w:rsidR="006F0000" w:rsidRDefault="006F0000" w:rsidP="006F0000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）给排水专业竣工图及设计说明，应包含非传统水源利用工艺流程图及机房详图、非传统水源机房给水系统图；</w:t>
      </w:r>
    </w:p>
    <w:p w14:paraId="0929E43B" w14:textId="77777777" w:rsidR="006F0000" w:rsidRDefault="006F0000" w:rsidP="006F0000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）非传统水源利用方案及的当地相关主管部门的许可；</w:t>
      </w:r>
    </w:p>
    <w:p w14:paraId="27256A13" w14:textId="77777777" w:rsidR="006F0000" w:rsidRDefault="006F0000" w:rsidP="006F0000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非传统水源利用率计算书，应包含杂用水需要用水量、非传统水源可利用量、设计利用量、补水水源等相关水量估算及水平衡分析、中水用水协议、已投入使用的项目应提供非传统水源用水量记录、非传统水源水质检测报告。</w:t>
      </w:r>
    </w:p>
    <w:p w14:paraId="61632F0C" w14:textId="77777777" w:rsidR="006F0000" w:rsidRDefault="006F0000" w:rsidP="006F0000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 </w:t>
      </w:r>
    </w:p>
    <w:p w14:paraId="3510B886" w14:textId="77777777" w:rsidR="006F0000" w:rsidRDefault="006F0000" w:rsidP="006F0000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6F0000" w14:paraId="2443E3E7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83CC5D" w14:textId="77777777" w:rsidR="006F0000" w:rsidRDefault="006F0000" w:rsidP="00EA081A"/>
        </w:tc>
      </w:tr>
    </w:tbl>
    <w:p w14:paraId="04AF014B" w14:textId="4B2DC86B" w:rsidR="009D4724" w:rsidRPr="00074EF5" w:rsidRDefault="009D4724" w:rsidP="00074EF5"/>
    <w:sectPr w:rsidR="009D4724" w:rsidRPr="0007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1BE2F" w14:textId="77777777" w:rsidR="00F709EE" w:rsidRDefault="00F709EE" w:rsidP="00787158">
      <w:r>
        <w:separator/>
      </w:r>
    </w:p>
  </w:endnote>
  <w:endnote w:type="continuationSeparator" w:id="0">
    <w:p w14:paraId="2091EAF2" w14:textId="77777777" w:rsidR="00F709EE" w:rsidRDefault="00F709EE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F0FA1" w14:textId="77777777" w:rsidR="00F709EE" w:rsidRDefault="00F709EE" w:rsidP="00787158">
      <w:r>
        <w:separator/>
      </w:r>
    </w:p>
  </w:footnote>
  <w:footnote w:type="continuationSeparator" w:id="0">
    <w:p w14:paraId="2EF0BFD7" w14:textId="77777777" w:rsidR="00F709EE" w:rsidRDefault="00F709EE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EE7"/>
    <w:rsid w:val="006F0000"/>
    <w:rsid w:val="00787158"/>
    <w:rsid w:val="009D4724"/>
    <w:rsid w:val="00D02020"/>
    <w:rsid w:val="00F709EE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2021-03-09T12:10:00Z</dcterms:modified>
</cp:coreProperties>
</file>