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8DA" w:rsidRDefault="005028DA" w:rsidP="005028DA">
      <w:pPr>
        <w:pStyle w:val="4"/>
        <w:keepNext/>
        <w:spacing w:before="260" w:beforeAutospacing="0" w:after="260" w:afterAutospacing="0"/>
      </w:pPr>
      <w:r>
        <w:rPr>
          <w:rFonts w:ascii="Times New Roman" w:hAnsi="Times New Roman" w:cs="Times New Roman"/>
        </w:rPr>
        <w:t xml:space="preserve">8.2.7 </w:t>
      </w:r>
      <w:r>
        <w:rPr>
          <w:rFonts w:hint="eastAsia"/>
        </w:rPr>
        <w:t>建筑及照明设计避免产生光污染。（</w:t>
      </w:r>
      <w:r>
        <w:rPr>
          <w:rFonts w:ascii="Times New Roman" w:hAnsi="Times New Roman" w:cs="Times New Roman"/>
        </w:rPr>
        <w:t>10</w:t>
      </w:r>
      <w:r>
        <w:rPr>
          <w:rFonts w:hint="eastAsia"/>
        </w:rPr>
        <w:t>分）</w:t>
      </w:r>
    </w:p>
    <w:p w:rsidR="005028DA" w:rsidRDefault="005028DA" w:rsidP="005028DA">
      <w:pPr>
        <w:pStyle w:val="a3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1 </w:t>
      </w:r>
      <w:r>
        <w:rPr>
          <w:rFonts w:hint="eastAsia"/>
          <w:b/>
          <w:bCs/>
          <w:sz w:val="21"/>
          <w:szCs w:val="21"/>
        </w:rPr>
        <w:t>得分自评</w:t>
      </w:r>
    </w:p>
    <w:tbl>
      <w:tblPr>
        <w:tblW w:w="9227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2"/>
        <w:gridCol w:w="4970"/>
        <w:gridCol w:w="1704"/>
        <w:gridCol w:w="1631"/>
      </w:tblGrid>
      <w:tr w:rsidR="005028DA" w:rsidTr="006D6EE5">
        <w:trPr>
          <w:trHeight w:val="327"/>
          <w:jc w:val="center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4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评价内容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评价分值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自评得分</w:t>
            </w:r>
          </w:p>
        </w:tc>
      </w:tr>
      <w:tr w:rsidR="005028DA" w:rsidTr="006D6EE5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玻璃幕墙的可见光反射比及反射光对周边环境的影响符合《玻璃幕墙光热性能》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GB/T 18091</w:t>
            </w:r>
            <w:r>
              <w:rPr>
                <w:rFonts w:hint="eastAsia"/>
                <w:sz w:val="21"/>
                <w:szCs w:val="21"/>
              </w:rPr>
              <w:t>的规定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4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5</w:t>
            </w:r>
          </w:p>
        </w:tc>
      </w:tr>
      <w:tr w:rsidR="005028DA" w:rsidTr="006D6EE5">
        <w:trPr>
          <w:trHeight w:val="3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28DA" w:rsidRDefault="005028DA" w:rsidP="006D6EE5"/>
        </w:tc>
        <w:tc>
          <w:tcPr>
            <w:tcW w:w="4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非玻璃幕墙建筑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28DA" w:rsidRDefault="005028DA" w:rsidP="006D6EE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28DA" w:rsidRDefault="005028DA" w:rsidP="006D6EE5"/>
        </w:tc>
      </w:tr>
      <w:tr w:rsidR="005028DA" w:rsidTr="006D6EE5">
        <w:trPr>
          <w:trHeight w:val="340"/>
          <w:jc w:val="center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室外夜景照明光污染的限制符合现行国家标准《室外照明干扰光限制规范》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GB/T 35626</w:t>
            </w:r>
            <w:r>
              <w:rPr>
                <w:rFonts w:hint="eastAsia"/>
                <w:sz w:val="21"/>
                <w:szCs w:val="21"/>
              </w:rPr>
              <w:t>和</w:t>
            </w:r>
            <w:proofErr w:type="gramStart"/>
            <w:r>
              <w:rPr>
                <w:rFonts w:hint="eastAsia"/>
                <w:sz w:val="21"/>
                <w:szCs w:val="21"/>
              </w:rPr>
              <w:t>现行行业</w:t>
            </w:r>
            <w:proofErr w:type="gramEnd"/>
            <w:r>
              <w:rPr>
                <w:rFonts w:hint="eastAsia"/>
                <w:sz w:val="21"/>
                <w:szCs w:val="21"/>
              </w:rPr>
              <w:t>标准《城市夜景照明设计规范》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JGJ/T 163</w:t>
            </w:r>
            <w:r>
              <w:rPr>
                <w:rFonts w:hint="eastAsia"/>
                <w:sz w:val="21"/>
                <w:szCs w:val="21"/>
              </w:rPr>
              <w:t>的规定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5</w:t>
            </w:r>
          </w:p>
        </w:tc>
      </w:tr>
      <w:tr w:rsidR="005028DA" w:rsidTr="006D6EE5">
        <w:trPr>
          <w:trHeight w:val="340"/>
          <w:jc w:val="center"/>
        </w:trPr>
        <w:tc>
          <w:tcPr>
            <w:tcW w:w="5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合计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10</w:t>
            </w:r>
          </w:p>
        </w:tc>
      </w:tr>
      <w:tr w:rsidR="005028DA" w:rsidTr="006D6EE5">
        <w:trPr>
          <w:jc w:val="center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8DA" w:rsidRDefault="005028DA" w:rsidP="006D6EE5">
            <w:pPr>
              <w:rPr>
                <w:sz w:val="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8DA" w:rsidRDefault="005028DA" w:rsidP="006D6EE5">
            <w:pPr>
              <w:rPr>
                <w:sz w:val="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8DA" w:rsidRDefault="005028DA" w:rsidP="006D6EE5">
            <w:pPr>
              <w:rPr>
                <w:sz w:val="1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8DA" w:rsidRDefault="005028DA" w:rsidP="006D6EE5">
            <w:pPr>
              <w:rPr>
                <w:sz w:val="1"/>
              </w:rPr>
            </w:pPr>
          </w:p>
        </w:tc>
      </w:tr>
    </w:tbl>
    <w:p w:rsidR="005028DA" w:rsidRDefault="005028DA" w:rsidP="005028DA">
      <w:pPr>
        <w:pStyle w:val="a3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2 </w:t>
      </w:r>
      <w:r>
        <w:rPr>
          <w:rFonts w:hint="eastAsia"/>
          <w:b/>
          <w:bCs/>
          <w:sz w:val="21"/>
          <w:szCs w:val="21"/>
        </w:rPr>
        <w:t>评价要点</w:t>
      </w:r>
    </w:p>
    <w:p w:rsidR="005028DA" w:rsidRDefault="005028DA" w:rsidP="005028DA">
      <w:pPr>
        <w:pStyle w:val="a3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是否采用玻璃幕墙或镜面式铝合金装饰外墙：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 xml:space="preserve">是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>否</w:t>
      </w:r>
    </w:p>
    <w:p w:rsidR="005028DA" w:rsidRDefault="005028DA" w:rsidP="005028DA">
      <w:pPr>
        <w:pStyle w:val="a3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若采用，则其可见光反射比为：</w:t>
      </w:r>
      <w:r>
        <w:rPr>
          <w:rFonts w:hint="eastAsia"/>
          <w:sz w:val="21"/>
          <w:szCs w:val="21"/>
          <w:u w:val="single"/>
        </w:rPr>
        <w:t xml:space="preserve">          </w:t>
      </w:r>
      <w:r>
        <w:rPr>
          <w:rFonts w:hint="eastAsia"/>
          <w:sz w:val="21"/>
          <w:szCs w:val="21"/>
        </w:rPr>
        <w:t>。</w:t>
      </w:r>
    </w:p>
    <w:p w:rsidR="005028DA" w:rsidRDefault="005028DA" w:rsidP="005028DA">
      <w:pPr>
        <w:pStyle w:val="a3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室外夜景照明的光污染控制情况：</w:t>
      </w:r>
    </w:p>
    <w:tbl>
      <w:tblPr>
        <w:tblW w:w="477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8"/>
        <w:gridCol w:w="2580"/>
        <w:gridCol w:w="829"/>
        <w:gridCol w:w="829"/>
        <w:gridCol w:w="829"/>
        <w:gridCol w:w="834"/>
      </w:tblGrid>
      <w:tr w:rsidR="005028DA" w:rsidTr="006D6EE5">
        <w:trPr>
          <w:jc w:val="center"/>
        </w:trPr>
        <w:tc>
          <w:tcPr>
            <w:tcW w:w="1270" w:type="pct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照明技术参数</w:t>
            </w:r>
          </w:p>
        </w:tc>
        <w:tc>
          <w:tcPr>
            <w:tcW w:w="1631" w:type="pct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应用条件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环境区域</w:t>
            </w:r>
          </w:p>
        </w:tc>
      </w:tr>
      <w:tr w:rsidR="005028DA" w:rsidTr="006D6EE5">
        <w:trPr>
          <w:jc w:val="center"/>
        </w:trPr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28DA" w:rsidRDefault="005028DA" w:rsidP="006D6EE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28DA" w:rsidRDefault="005028DA" w:rsidP="006D6EE5">
            <w:pPr>
              <w:rPr>
                <w:sz w:val="21"/>
                <w:szCs w:val="21"/>
              </w:rPr>
            </w:pP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E1</w:t>
            </w:r>
            <w:r>
              <w:rPr>
                <w:rFonts w:hint="eastAsia"/>
                <w:sz w:val="21"/>
                <w:szCs w:val="21"/>
              </w:rPr>
              <w:t>区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E2</w:t>
            </w:r>
            <w:r>
              <w:rPr>
                <w:rFonts w:hint="eastAsia"/>
                <w:sz w:val="21"/>
                <w:szCs w:val="21"/>
              </w:rPr>
              <w:t>区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E3</w:t>
            </w:r>
            <w:r>
              <w:rPr>
                <w:rFonts w:hint="eastAsia"/>
                <w:sz w:val="21"/>
                <w:szCs w:val="21"/>
              </w:rPr>
              <w:t>区</w:t>
            </w:r>
          </w:p>
        </w:tc>
        <w:tc>
          <w:tcPr>
            <w:tcW w:w="5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E4</w:t>
            </w:r>
            <w:r>
              <w:rPr>
                <w:rFonts w:hint="eastAsia"/>
                <w:sz w:val="21"/>
                <w:szCs w:val="21"/>
              </w:rPr>
              <w:t>区</w:t>
            </w:r>
          </w:p>
        </w:tc>
      </w:tr>
      <w:tr w:rsidR="005028DA" w:rsidTr="006D6EE5">
        <w:trPr>
          <w:jc w:val="center"/>
        </w:trPr>
        <w:tc>
          <w:tcPr>
            <w:tcW w:w="1270" w:type="pct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垂直面照度（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Ev</w:t>
            </w:r>
            <w:proofErr w:type="spellEnd"/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(lx)</w:t>
            </w:r>
          </w:p>
        </w:tc>
        <w:tc>
          <w:tcPr>
            <w:tcW w:w="163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熄灯时段前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5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</w:tr>
      <w:tr w:rsidR="005028DA" w:rsidTr="006D6EE5">
        <w:trPr>
          <w:jc w:val="center"/>
        </w:trPr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28DA" w:rsidRDefault="005028DA" w:rsidP="006D6EE5">
            <w:pPr>
              <w:rPr>
                <w:sz w:val="21"/>
                <w:szCs w:val="21"/>
              </w:rPr>
            </w:pPr>
          </w:p>
        </w:tc>
        <w:tc>
          <w:tcPr>
            <w:tcW w:w="163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熄灯时段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5028DA" w:rsidTr="006D6EE5">
        <w:trPr>
          <w:jc w:val="center"/>
        </w:trPr>
        <w:tc>
          <w:tcPr>
            <w:tcW w:w="1270" w:type="pct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000000"/>
              <w:right w:val="single" w:sz="6" w:space="0" w:color="333333"/>
            </w:tcBorders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灯具发光强度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cd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63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熄灯时段前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2500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7500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10000</w:t>
            </w:r>
          </w:p>
        </w:tc>
        <w:tc>
          <w:tcPr>
            <w:tcW w:w="5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25000</w:t>
            </w:r>
          </w:p>
        </w:tc>
      </w:tr>
      <w:tr w:rsidR="005028DA" w:rsidTr="006D6EE5">
        <w:trPr>
          <w:jc w:val="center"/>
        </w:trPr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000000"/>
              <w:right w:val="single" w:sz="6" w:space="0" w:color="333333"/>
            </w:tcBorders>
            <w:vAlign w:val="center"/>
          </w:tcPr>
          <w:p w:rsidR="005028DA" w:rsidRDefault="005028DA" w:rsidP="006D6EE5">
            <w:pPr>
              <w:rPr>
                <w:sz w:val="21"/>
                <w:szCs w:val="21"/>
              </w:rPr>
            </w:pPr>
          </w:p>
        </w:tc>
        <w:tc>
          <w:tcPr>
            <w:tcW w:w="1631" w:type="pct"/>
            <w:tcBorders>
              <w:top w:val="single" w:sz="6" w:space="0" w:color="333333"/>
              <w:left w:val="single" w:sz="6" w:space="0" w:color="333333"/>
              <w:bottom w:val="single" w:sz="6" w:space="0" w:color="000000"/>
              <w:right w:val="single" w:sz="6" w:space="0" w:color="333333"/>
            </w:tcBorders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熄灯时段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000000"/>
              <w:right w:val="single" w:sz="6" w:space="0" w:color="333333"/>
            </w:tcBorders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000000"/>
              <w:right w:val="single" w:sz="6" w:space="0" w:color="333333"/>
            </w:tcBorders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500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000000"/>
              <w:right w:val="single" w:sz="6" w:space="0" w:color="333333"/>
            </w:tcBorders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527" w:type="pct"/>
            <w:tcBorders>
              <w:top w:val="single" w:sz="6" w:space="0" w:color="333333"/>
              <w:left w:val="single" w:sz="6" w:space="0" w:color="333333"/>
              <w:bottom w:val="single" w:sz="6" w:space="0" w:color="000000"/>
              <w:right w:val="single" w:sz="6" w:space="0" w:color="333333"/>
            </w:tcBorders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2500</w:t>
            </w:r>
          </w:p>
        </w:tc>
      </w:tr>
      <w:tr w:rsidR="005028DA" w:rsidTr="006D6EE5">
        <w:trPr>
          <w:jc w:val="center"/>
        </w:trPr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上射光通比</w:t>
            </w:r>
          </w:p>
        </w:tc>
        <w:tc>
          <w:tcPr>
            <w:tcW w:w="1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灯具所处位置水平面以上的光通量与灯具总光通量之比（％）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</w:tr>
      <w:tr w:rsidR="005028DA" w:rsidTr="006D6EE5">
        <w:trPr>
          <w:jc w:val="center"/>
        </w:trPr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建筑立面亮度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Lb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(cd/m2)</w:t>
            </w:r>
          </w:p>
        </w:tc>
        <w:tc>
          <w:tcPr>
            <w:tcW w:w="1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被照面平均亮度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</w:tr>
      <w:tr w:rsidR="005028DA" w:rsidTr="006D6EE5">
        <w:trPr>
          <w:jc w:val="center"/>
        </w:trPr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标识亮度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Ls(cd/m2)</w:t>
            </w:r>
          </w:p>
        </w:tc>
        <w:tc>
          <w:tcPr>
            <w:tcW w:w="1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外投光标识被照面平均亮度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400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800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28DA" w:rsidRDefault="005028DA" w:rsidP="006D6EE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</w:tc>
      </w:tr>
      <w:tr w:rsidR="005028DA" w:rsidTr="006D6EE5">
        <w:trPr>
          <w:jc w:val="center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8DA" w:rsidRDefault="005028DA" w:rsidP="006D6EE5">
            <w:pPr>
              <w:rPr>
                <w:sz w:val="1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8DA" w:rsidRDefault="005028DA" w:rsidP="006D6EE5">
            <w:pPr>
              <w:rPr>
                <w:sz w:val="1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8DA" w:rsidRDefault="005028DA" w:rsidP="006D6EE5">
            <w:pPr>
              <w:rPr>
                <w:sz w:val="1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8DA" w:rsidRDefault="005028DA" w:rsidP="006D6EE5">
            <w:pPr>
              <w:rPr>
                <w:sz w:val="1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8DA" w:rsidRDefault="005028DA" w:rsidP="006D6EE5">
            <w:pPr>
              <w:rPr>
                <w:sz w:val="1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8DA" w:rsidRDefault="005028DA" w:rsidP="006D6EE5">
            <w:pPr>
              <w:rPr>
                <w:sz w:val="1"/>
              </w:rPr>
            </w:pPr>
          </w:p>
        </w:tc>
      </w:tr>
    </w:tbl>
    <w:p w:rsidR="005028DA" w:rsidRDefault="005028DA" w:rsidP="005028DA">
      <w:pPr>
        <w:pStyle w:val="a3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居住区和步行区夜景照明灯具的眩光限制值：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7"/>
        <w:gridCol w:w="1400"/>
        <w:gridCol w:w="1400"/>
        <w:gridCol w:w="1755"/>
      </w:tblGrid>
      <w:tr w:rsidR="005028DA" w:rsidTr="006D6EE5">
        <w:trPr>
          <w:jc w:val="center"/>
        </w:trPr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028DA" w:rsidRDefault="005028DA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安装高度</w:t>
            </w:r>
            <w:r>
              <w:rPr>
                <w:rFonts w:ascii="Calibri" w:hAnsi="Calibri"/>
                <w:sz w:val="21"/>
                <w:szCs w:val="21"/>
              </w:rPr>
              <w:t>(m)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028DA" w:rsidRDefault="005028DA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</w:rPr>
              <w:t>≤</w:t>
            </w:r>
            <w:r>
              <w:rPr>
                <w:rFonts w:ascii="Calibri" w:hAnsi="Calibri"/>
                <w:sz w:val="21"/>
                <w:szCs w:val="21"/>
              </w:rPr>
              <w:t>4.5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028DA" w:rsidRDefault="005028DA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4.5</w:t>
            </w:r>
            <w:r>
              <w:rPr>
                <w:rFonts w:hint="eastAsia"/>
                <w:sz w:val="21"/>
                <w:szCs w:val="21"/>
              </w:rPr>
              <w:t>＜</w:t>
            </w:r>
            <w:r>
              <w:rPr>
                <w:rFonts w:ascii="Calibri" w:hAnsi="Calibri"/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</w:rPr>
              <w:t>≤</w:t>
            </w:r>
            <w:r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028DA" w:rsidRDefault="005028DA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</w:rPr>
              <w:t>＞</w:t>
            </w:r>
            <w:r>
              <w:rPr>
                <w:rFonts w:ascii="Calibri" w:hAnsi="Calibri"/>
                <w:sz w:val="21"/>
                <w:szCs w:val="21"/>
              </w:rPr>
              <w:t>6</w:t>
            </w:r>
          </w:p>
        </w:tc>
      </w:tr>
      <w:tr w:rsidR="005028DA" w:rsidTr="006D6EE5">
        <w:trPr>
          <w:jc w:val="center"/>
        </w:trPr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028DA" w:rsidRDefault="005028DA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L</w:t>
            </w:r>
            <w:r>
              <w:rPr>
                <w:rFonts w:hint="eastAsia"/>
                <w:sz w:val="21"/>
                <w:szCs w:val="21"/>
              </w:rPr>
              <w:t>与</w:t>
            </w:r>
            <w:r>
              <w:rPr>
                <w:rFonts w:ascii="Calibri" w:hAnsi="Calibri"/>
                <w:sz w:val="21"/>
                <w:szCs w:val="21"/>
              </w:rPr>
              <w:t>A</w:t>
            </w:r>
            <w:r>
              <w:rPr>
                <w:rFonts w:ascii="Calibri" w:hAnsi="Calibri"/>
                <w:sz w:val="14"/>
                <w:szCs w:val="14"/>
                <w:vertAlign w:val="superscript"/>
              </w:rPr>
              <w:t>0.5</w:t>
            </w:r>
            <w:r>
              <w:rPr>
                <w:rFonts w:hint="eastAsia"/>
                <w:sz w:val="21"/>
                <w:szCs w:val="21"/>
              </w:rPr>
              <w:t>的乘积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028DA" w:rsidRDefault="005028DA" w:rsidP="006D6EE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LA</w:t>
            </w:r>
            <w:r>
              <w:rPr>
                <w:rFonts w:ascii="Calibri" w:hAnsi="Calibri"/>
                <w:sz w:val="14"/>
                <w:szCs w:val="14"/>
                <w:vertAlign w:val="superscript"/>
              </w:rPr>
              <w:t>0.5</w:t>
            </w:r>
            <w:r>
              <w:rPr>
                <w:rFonts w:hint="eastAsia"/>
                <w:sz w:val="21"/>
                <w:szCs w:val="21"/>
              </w:rPr>
              <w:t>≤</w:t>
            </w:r>
            <w:r>
              <w:rPr>
                <w:rFonts w:ascii="Calibri" w:hAnsi="Calibri"/>
                <w:sz w:val="21"/>
                <w:szCs w:val="21"/>
              </w:rPr>
              <w:t>4000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028DA" w:rsidRDefault="005028DA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LA</w:t>
            </w:r>
            <w:r>
              <w:rPr>
                <w:rFonts w:ascii="Calibri" w:hAnsi="Calibri"/>
                <w:sz w:val="14"/>
                <w:szCs w:val="14"/>
                <w:vertAlign w:val="superscript"/>
              </w:rPr>
              <w:t>0.5</w:t>
            </w:r>
            <w:r>
              <w:rPr>
                <w:rFonts w:hint="eastAsia"/>
                <w:sz w:val="21"/>
                <w:szCs w:val="21"/>
              </w:rPr>
              <w:t>≤</w:t>
            </w:r>
            <w:r>
              <w:rPr>
                <w:rFonts w:ascii="Calibri" w:hAnsi="Calibri"/>
                <w:sz w:val="21"/>
                <w:szCs w:val="21"/>
              </w:rPr>
              <w:t>5500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028DA" w:rsidRDefault="005028DA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LA</w:t>
            </w:r>
            <w:r>
              <w:rPr>
                <w:rFonts w:ascii="Calibri" w:hAnsi="Calibri"/>
                <w:sz w:val="14"/>
                <w:szCs w:val="14"/>
                <w:vertAlign w:val="superscript"/>
              </w:rPr>
              <w:t>0.5</w:t>
            </w:r>
            <w:r>
              <w:rPr>
                <w:rFonts w:hint="eastAsia"/>
                <w:sz w:val="21"/>
                <w:szCs w:val="21"/>
              </w:rPr>
              <w:t>≤</w:t>
            </w:r>
            <w:r>
              <w:rPr>
                <w:rFonts w:ascii="Calibri" w:hAnsi="Calibri"/>
                <w:sz w:val="21"/>
                <w:szCs w:val="21"/>
              </w:rPr>
              <w:t>7000</w:t>
            </w:r>
          </w:p>
        </w:tc>
      </w:tr>
      <w:tr w:rsidR="005028DA" w:rsidTr="006D6EE5">
        <w:trPr>
          <w:jc w:val="center"/>
        </w:trPr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028DA" w:rsidRDefault="005028DA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项目情况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028DA" w:rsidRDefault="005028DA" w:rsidP="006D6EE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 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028DA" w:rsidRDefault="005028DA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028DA" w:rsidRDefault="005028DA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</w:t>
            </w:r>
          </w:p>
        </w:tc>
      </w:tr>
    </w:tbl>
    <w:p w:rsidR="005028DA" w:rsidRDefault="005028DA" w:rsidP="005028DA">
      <w:pPr>
        <w:pStyle w:val="a3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请简要说明建筑及照明设计控制光污染的措施。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0"/>
      </w:tblGrid>
      <w:tr w:rsidR="005028DA" w:rsidTr="006D6EE5">
        <w:trPr>
          <w:trHeight w:val="2634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028DA" w:rsidRDefault="005028DA" w:rsidP="006D6EE5">
            <w:pPr>
              <w:pStyle w:val="a3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lastRenderedPageBreak/>
              <w:t>本工程项目均不设玻璃幕墙和室外夜景照明。</w:t>
            </w:r>
          </w:p>
          <w:p w:rsidR="005028DA" w:rsidRDefault="005028DA" w:rsidP="006D6EE5">
            <w:pPr>
              <w:pStyle w:val="a3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本工程没有采用玻璃幕墙和镜面式铝合金装饰外墙；无夜景照明。</w:t>
            </w:r>
          </w:p>
          <w:p w:rsidR="005028DA" w:rsidRDefault="005028DA" w:rsidP="006D6EE5">
            <w:pPr>
              <w:pStyle w:val="a3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本项目为非玻璃幕墙建筑，室外照明</w:t>
            </w:r>
            <w:proofErr w:type="gramStart"/>
            <w:r>
              <w:rPr>
                <w:rFonts w:hint="eastAsia"/>
                <w:sz w:val="20"/>
                <w:szCs w:val="20"/>
              </w:rPr>
              <w:t>采用截光型</w:t>
            </w:r>
            <w:proofErr w:type="gramEnd"/>
            <w:r>
              <w:rPr>
                <w:rFonts w:hint="eastAsia"/>
                <w:sz w:val="20"/>
                <w:szCs w:val="20"/>
              </w:rPr>
              <w:t>灯具，无直射光射入空中，不会对周边</w:t>
            </w:r>
          </w:p>
          <w:p w:rsidR="005028DA" w:rsidRDefault="005028DA" w:rsidP="006D6EE5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0"/>
                <w:szCs w:val="20"/>
              </w:rPr>
              <w:t>带来光污染。</w:t>
            </w:r>
          </w:p>
          <w:p w:rsidR="005028DA" w:rsidRDefault="005028DA" w:rsidP="006D6EE5">
            <w:pPr>
              <w:pStyle w:val="a3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学校室外有路灯，通过室外光污染分析，本项目夜景照明设施在建筑外表面产生的垂直照度、平均亮度、朝居室方向的发光强度、灯具的眩光限制值和上射光通比均符合</w:t>
            </w:r>
            <w:proofErr w:type="gramStart"/>
            <w:r>
              <w:rPr>
                <w:rFonts w:hint="eastAsia"/>
                <w:sz w:val="20"/>
                <w:szCs w:val="20"/>
              </w:rPr>
              <w:t>现行行业</w:t>
            </w:r>
            <w:proofErr w:type="gramEnd"/>
            <w:r>
              <w:rPr>
                <w:rFonts w:hint="eastAsia"/>
                <w:sz w:val="20"/>
                <w:szCs w:val="20"/>
              </w:rPr>
              <w:t>标准《城市夜景照明设计规范》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JGJ/T163</w:t>
            </w:r>
            <w:r>
              <w:rPr>
                <w:rFonts w:hint="eastAsia"/>
                <w:sz w:val="20"/>
                <w:szCs w:val="20"/>
              </w:rPr>
              <w:t>的规定，本项目夜景照明的光线被严格控制在了被照区域内，减少了被照区域的溢散光，有效地避免产生光污染。</w:t>
            </w:r>
          </w:p>
        </w:tc>
      </w:tr>
    </w:tbl>
    <w:p w:rsidR="005028DA" w:rsidRDefault="005028DA" w:rsidP="005028DA">
      <w:pPr>
        <w:pStyle w:val="a3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> </w:t>
      </w:r>
    </w:p>
    <w:p w:rsidR="005028DA" w:rsidRDefault="005028DA" w:rsidP="005028DA">
      <w:pPr>
        <w:pStyle w:val="a3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 </w:t>
      </w:r>
      <w:r>
        <w:rPr>
          <w:rFonts w:hint="eastAsia"/>
          <w:b/>
          <w:bCs/>
          <w:sz w:val="21"/>
          <w:szCs w:val="21"/>
        </w:rPr>
        <w:t>证明材料</w:t>
      </w:r>
    </w:p>
    <w:p w:rsidR="005028DA" w:rsidRDefault="005028DA" w:rsidP="005028DA">
      <w:pPr>
        <w:pStyle w:val="a3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提交材料及要求：</w:t>
      </w:r>
    </w:p>
    <w:p w:rsidR="005028DA" w:rsidRDefault="005028DA" w:rsidP="005028DA">
      <w:pPr>
        <w:pStyle w:val="a3"/>
        <w:spacing w:before="0" w:beforeAutospacing="0" w:after="0" w:afterAutospacing="0"/>
        <w:jc w:val="both"/>
      </w:pPr>
      <w:r>
        <w:rPr>
          <w:rFonts w:ascii="Calibri" w:hAnsi="Calibri"/>
          <w:sz w:val="21"/>
          <w:szCs w:val="21"/>
        </w:rPr>
        <w:t>1</w:t>
      </w:r>
      <w:r>
        <w:rPr>
          <w:rFonts w:hint="eastAsia"/>
          <w:sz w:val="21"/>
          <w:szCs w:val="21"/>
        </w:rPr>
        <w:t>）建筑专业竣工图纸及设计说明，应包括玻璃幕墙竣工图及说明；</w:t>
      </w:r>
    </w:p>
    <w:p w:rsidR="005028DA" w:rsidRDefault="005028DA" w:rsidP="005028DA">
      <w:pPr>
        <w:pStyle w:val="a3"/>
        <w:spacing w:before="0" w:beforeAutospacing="0" w:after="0" w:afterAutospacing="0"/>
        <w:jc w:val="both"/>
      </w:pPr>
      <w:r>
        <w:rPr>
          <w:rFonts w:ascii="Calibri" w:hAnsi="Calibri"/>
          <w:sz w:val="21"/>
          <w:szCs w:val="21"/>
        </w:rPr>
        <w:t>2</w:t>
      </w:r>
      <w:r>
        <w:rPr>
          <w:rFonts w:hint="eastAsia"/>
          <w:sz w:val="21"/>
          <w:szCs w:val="21"/>
        </w:rPr>
        <w:t>）玻璃</w:t>
      </w:r>
      <w:proofErr w:type="gramStart"/>
      <w:r>
        <w:rPr>
          <w:rFonts w:hint="eastAsia"/>
          <w:sz w:val="21"/>
          <w:szCs w:val="21"/>
        </w:rPr>
        <w:t>幕墙专项</w:t>
      </w:r>
      <w:proofErr w:type="gramEnd"/>
      <w:r>
        <w:rPr>
          <w:rFonts w:hint="eastAsia"/>
          <w:sz w:val="21"/>
          <w:szCs w:val="21"/>
        </w:rPr>
        <w:t>验收报告，包括玻璃幕墙光污染分析专项报告、玻璃的光学性能检验报告、玻璃进场复验报告；</w:t>
      </w:r>
    </w:p>
    <w:p w:rsidR="005028DA" w:rsidRDefault="005028DA" w:rsidP="005028DA">
      <w:pPr>
        <w:pStyle w:val="a3"/>
        <w:spacing w:before="0" w:beforeAutospacing="0" w:after="0" w:afterAutospacing="0"/>
        <w:ind w:left="10" w:hanging="200"/>
        <w:jc w:val="both"/>
      </w:pPr>
      <w:r>
        <w:rPr>
          <w:rFonts w:ascii="Calibri" w:hAnsi="Calibri"/>
          <w:sz w:val="21"/>
          <w:szCs w:val="21"/>
        </w:rPr>
        <w:t>3</w:t>
      </w:r>
      <w:r>
        <w:rPr>
          <w:rFonts w:hint="eastAsia"/>
          <w:sz w:val="21"/>
          <w:szCs w:val="21"/>
        </w:rPr>
        <w:t>）室外夜景照明光污染分析报告；</w:t>
      </w:r>
    </w:p>
    <w:p w:rsidR="005028DA" w:rsidRDefault="005028DA" w:rsidP="005028DA">
      <w:pPr>
        <w:pStyle w:val="a3"/>
        <w:spacing w:before="0" w:beforeAutospacing="0" w:after="0" w:afterAutospacing="0"/>
        <w:ind w:left="10" w:hanging="200"/>
        <w:jc w:val="both"/>
      </w:pPr>
      <w:r>
        <w:rPr>
          <w:rFonts w:ascii="Calibri" w:hAnsi="Calibri"/>
          <w:sz w:val="21"/>
          <w:szCs w:val="21"/>
        </w:rPr>
        <w:t>4</w:t>
      </w:r>
      <w:r>
        <w:rPr>
          <w:rFonts w:hint="eastAsia"/>
          <w:sz w:val="21"/>
          <w:szCs w:val="21"/>
        </w:rPr>
        <w:t>）灯具的光度检验报告、灯具进场复验报告；</w:t>
      </w:r>
    </w:p>
    <w:p w:rsidR="005028DA" w:rsidRDefault="005028DA" w:rsidP="005028DA">
      <w:pPr>
        <w:pStyle w:val="a3"/>
        <w:spacing w:before="0" w:beforeAutospacing="0" w:after="0" w:afterAutospacing="0"/>
        <w:ind w:left="10" w:hanging="200"/>
        <w:jc w:val="both"/>
      </w:pPr>
      <w:r>
        <w:rPr>
          <w:rFonts w:ascii="Calibri" w:hAnsi="Calibri"/>
          <w:sz w:val="21"/>
          <w:szCs w:val="21"/>
        </w:rPr>
        <w:t>5</w:t>
      </w:r>
      <w:r>
        <w:rPr>
          <w:rFonts w:hint="eastAsia"/>
          <w:sz w:val="21"/>
          <w:szCs w:val="21"/>
        </w:rPr>
        <w:t>）照明设计方案，包括照明照度及功率密度计算；</w:t>
      </w:r>
    </w:p>
    <w:p w:rsidR="005028DA" w:rsidRDefault="005028DA" w:rsidP="005028DA">
      <w:pPr>
        <w:pStyle w:val="a3"/>
        <w:spacing w:before="0" w:beforeAutospacing="0" w:after="0" w:afterAutospacing="0"/>
        <w:ind w:left="10" w:hanging="200"/>
        <w:jc w:val="both"/>
      </w:pPr>
      <w:r>
        <w:rPr>
          <w:rFonts w:ascii="Calibri" w:hAnsi="Calibri"/>
          <w:sz w:val="21"/>
          <w:szCs w:val="21"/>
        </w:rPr>
        <w:t>6</w:t>
      </w:r>
      <w:r>
        <w:rPr>
          <w:rFonts w:hint="eastAsia"/>
          <w:sz w:val="21"/>
          <w:szCs w:val="21"/>
        </w:rPr>
        <w:t>）泛光照明、景观照明竣工图纸及设计说明。</w:t>
      </w:r>
    </w:p>
    <w:p w:rsidR="005028DA" w:rsidRDefault="005028DA" w:rsidP="005028DA">
      <w:pPr>
        <w:pStyle w:val="a3"/>
        <w:spacing w:before="0" w:beforeAutospacing="0" w:after="0" w:afterAutospacing="0"/>
        <w:ind w:left="10" w:hanging="200"/>
        <w:jc w:val="both"/>
      </w:pPr>
      <w:r>
        <w:rPr>
          <w:rFonts w:ascii="Calibri" w:hAnsi="Calibri"/>
          <w:sz w:val="21"/>
          <w:szCs w:val="21"/>
        </w:rPr>
        <w:t> </w:t>
      </w:r>
    </w:p>
    <w:p w:rsidR="005028DA" w:rsidRDefault="005028DA" w:rsidP="005028DA">
      <w:pPr>
        <w:pStyle w:val="a3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实际提交材料：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0"/>
      </w:tblGrid>
      <w:tr w:rsidR="005028DA" w:rsidTr="006D6EE5">
        <w:trPr>
          <w:trHeight w:val="2634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028DA" w:rsidRDefault="005028DA" w:rsidP="006D6EE5"/>
        </w:tc>
      </w:tr>
    </w:tbl>
    <w:p w:rsidR="005028DA" w:rsidRDefault="005028DA" w:rsidP="005028DA">
      <w:pPr>
        <w:pStyle w:val="a3"/>
        <w:spacing w:before="0" w:beforeAutospacing="0" w:after="0" w:afterAutospacing="0"/>
        <w:jc w:val="both"/>
      </w:pPr>
      <w:r>
        <w:rPr>
          <w:rFonts w:ascii="Calibri" w:hAnsi="Calibri"/>
          <w:sz w:val="21"/>
          <w:szCs w:val="21"/>
        </w:rPr>
        <w:t> </w:t>
      </w:r>
    </w:p>
    <w:p w:rsidR="00C05D9A" w:rsidRPr="005028DA" w:rsidRDefault="005353A4" w:rsidP="005028DA">
      <w:bookmarkStart w:id="0" w:name="_GoBack"/>
      <w:bookmarkEnd w:id="0"/>
    </w:p>
    <w:sectPr w:rsidR="00C05D9A" w:rsidRPr="00502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3A4" w:rsidRDefault="005353A4" w:rsidP="00435083">
      <w:r>
        <w:separator/>
      </w:r>
    </w:p>
  </w:endnote>
  <w:endnote w:type="continuationSeparator" w:id="0">
    <w:p w:rsidR="005353A4" w:rsidRDefault="005353A4" w:rsidP="0043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3A4" w:rsidRDefault="005353A4" w:rsidP="00435083">
      <w:r>
        <w:separator/>
      </w:r>
    </w:p>
  </w:footnote>
  <w:footnote w:type="continuationSeparator" w:id="0">
    <w:p w:rsidR="005353A4" w:rsidRDefault="005353A4" w:rsidP="00435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9F"/>
    <w:rsid w:val="0015156F"/>
    <w:rsid w:val="001D569F"/>
    <w:rsid w:val="00401A75"/>
    <w:rsid w:val="00435083"/>
    <w:rsid w:val="0044186B"/>
    <w:rsid w:val="004D5D64"/>
    <w:rsid w:val="005028DA"/>
    <w:rsid w:val="005353A4"/>
    <w:rsid w:val="00574D45"/>
    <w:rsid w:val="007D3D4E"/>
    <w:rsid w:val="00815B12"/>
    <w:rsid w:val="00864CC8"/>
    <w:rsid w:val="008A19AE"/>
    <w:rsid w:val="00975342"/>
    <w:rsid w:val="00A51A93"/>
    <w:rsid w:val="00A764AE"/>
    <w:rsid w:val="00B34F24"/>
    <w:rsid w:val="00D953F8"/>
    <w:rsid w:val="00DF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67CDC"/>
  <w15:chartTrackingRefBased/>
  <w15:docId w15:val="{B65D9B11-E262-49E3-BC6C-52BD932E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569F"/>
    <w:rPr>
      <w:rFonts w:ascii="宋体" w:eastAsia="宋体" w:hAnsi="宋体" w:cs="宋体"/>
      <w:kern w:val="0"/>
      <w:sz w:val="24"/>
      <w:szCs w:val="24"/>
    </w:rPr>
  </w:style>
  <w:style w:type="paragraph" w:styleId="4">
    <w:name w:val="heading 4"/>
    <w:basedOn w:val="a"/>
    <w:link w:val="40"/>
    <w:uiPriority w:val="9"/>
    <w:qFormat/>
    <w:rsid w:val="001D569F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1D569F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changecolor">
    <w:name w:val="change_color"/>
    <w:rsid w:val="001D569F"/>
  </w:style>
  <w:style w:type="paragraph" w:styleId="a3">
    <w:name w:val="Normal (Web)"/>
    <w:basedOn w:val="a"/>
    <w:uiPriority w:val="99"/>
    <w:unhideWhenUsed/>
    <w:rsid w:val="001D569F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4350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35083"/>
    <w:rPr>
      <w:rFonts w:ascii="宋体" w:eastAsia="宋体" w:hAnsi="宋体" w:cs="宋体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3508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35083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359509583@qq.com</dc:creator>
  <cp:keywords/>
  <dc:description/>
  <cp:lastModifiedBy>359509583@qq.com</cp:lastModifiedBy>
  <cp:revision>16</cp:revision>
  <dcterms:created xsi:type="dcterms:W3CDTF">2021-03-09T09:30:00Z</dcterms:created>
  <dcterms:modified xsi:type="dcterms:W3CDTF">2021-03-09T12:25:00Z</dcterms:modified>
</cp:coreProperties>
</file>