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DB" w:rsidRDefault="00F40CDB" w:rsidP="00F40CDB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8.2.8 </w:t>
      </w:r>
      <w:r>
        <w:rPr>
          <w:rFonts w:hint="eastAsia"/>
        </w:rPr>
        <w:t>场地内</w:t>
      </w:r>
      <w:proofErr w:type="gramStart"/>
      <w:r>
        <w:rPr>
          <w:rFonts w:hint="eastAsia"/>
        </w:rPr>
        <w:t>风环境</w:t>
      </w:r>
      <w:proofErr w:type="gramEnd"/>
      <w:r>
        <w:rPr>
          <w:rFonts w:hint="eastAsia"/>
        </w:rPr>
        <w:t>有利于室外行走、活动舒适和建筑的自然通风。（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分）</w:t>
      </w:r>
    </w:p>
    <w:p w:rsidR="00F40CDB" w:rsidRDefault="00F40CDB" w:rsidP="00F40CDB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922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1420"/>
        <w:gridCol w:w="3550"/>
        <w:gridCol w:w="1704"/>
        <w:gridCol w:w="1631"/>
      </w:tblGrid>
      <w:tr w:rsidR="00F40CDB" w:rsidTr="006D6EE5">
        <w:trPr>
          <w:trHeight w:val="327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F40CDB" w:rsidTr="006D6EE5">
        <w:trPr>
          <w:trHeight w:val="340"/>
          <w:jc w:val="center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冬季典型风速和风向条件下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建筑物周围人行区距地高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1.5m</w:t>
            </w:r>
            <w:r>
              <w:rPr>
                <w:rFonts w:hint="eastAsia"/>
                <w:sz w:val="21"/>
                <w:szCs w:val="21"/>
              </w:rPr>
              <w:t>处风速小于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5m/s</w:t>
            </w:r>
            <w:r>
              <w:rPr>
                <w:rFonts w:hint="eastAsia"/>
                <w:sz w:val="21"/>
                <w:szCs w:val="21"/>
              </w:rPr>
              <w:t>，户外休息区、儿童娱乐区风速小于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2m/s</w:t>
            </w:r>
            <w:r>
              <w:rPr>
                <w:rFonts w:hint="eastAsia"/>
                <w:sz w:val="21"/>
                <w:szCs w:val="21"/>
              </w:rPr>
              <w:t>，且室外风速放大系数小于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3</w:t>
            </w:r>
          </w:p>
        </w:tc>
      </w:tr>
      <w:tr w:rsidR="00F40CDB" w:rsidTr="006D6EE5">
        <w:trPr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CDB" w:rsidRDefault="00F40CDB" w:rsidP="006D6EE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CDB" w:rsidRDefault="00F40CDB" w:rsidP="006D6EE5"/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除迎风第一排建筑外，建筑迎风面与背风面表面风压差不大于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5Pa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2</w:t>
            </w:r>
          </w:p>
        </w:tc>
      </w:tr>
      <w:tr w:rsidR="00F40CDB" w:rsidTr="006D6EE5">
        <w:trPr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CDB" w:rsidRDefault="00F40CDB" w:rsidP="006D6EE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CDB" w:rsidRDefault="00F40CDB" w:rsidP="006D6EE5"/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只有一排建筑，可直接得分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CDB" w:rsidRDefault="00F40CDB" w:rsidP="006D6EE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CDB" w:rsidRDefault="00F40CDB" w:rsidP="006D6EE5"/>
        </w:tc>
      </w:tr>
      <w:tr w:rsidR="00F40CDB" w:rsidTr="006D6EE5">
        <w:trPr>
          <w:trHeight w:val="340"/>
          <w:jc w:val="center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过渡季、夏季典型风速和风向条件下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场地内人活动区不出现涡旋或无风区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0 </w:t>
            </w:r>
          </w:p>
        </w:tc>
      </w:tr>
      <w:tr w:rsidR="00F40CDB" w:rsidTr="006D6EE5">
        <w:trPr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CDB" w:rsidRDefault="00F40CDB" w:rsidP="006D6EE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CDB" w:rsidRDefault="00F40CDB" w:rsidP="006D6EE5"/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50%</w:t>
            </w:r>
            <w:r>
              <w:rPr>
                <w:rFonts w:hint="eastAsia"/>
                <w:sz w:val="21"/>
                <w:szCs w:val="21"/>
              </w:rPr>
              <w:t>以上可开启外窗室内外表面的风压差大于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0.5Pa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</w:t>
            </w:r>
          </w:p>
        </w:tc>
      </w:tr>
      <w:tr w:rsidR="00F40CDB" w:rsidTr="006D6EE5">
        <w:trPr>
          <w:trHeight w:val="340"/>
          <w:jc w:val="center"/>
        </w:trPr>
        <w:tc>
          <w:tcPr>
            <w:tcW w:w="5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F40CDB" w:rsidRDefault="00F40CDB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54524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F40CDB" w:rsidTr="006D6EE5">
        <w:trPr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CDB" w:rsidRDefault="00F40CDB" w:rsidP="006D6EE5">
            <w:pPr>
              <w:rPr>
                <w:sz w:val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CDB" w:rsidRDefault="00F40CDB" w:rsidP="006D6EE5">
            <w:pPr>
              <w:rPr>
                <w:sz w:val="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CDB" w:rsidRDefault="00F40CDB" w:rsidP="006D6EE5">
            <w:pPr>
              <w:rPr>
                <w:sz w:val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CDB" w:rsidRDefault="00F40CDB" w:rsidP="006D6EE5">
            <w:pPr>
              <w:rPr>
                <w:sz w:val="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CDB" w:rsidRDefault="00F40CDB" w:rsidP="006D6EE5">
            <w:pPr>
              <w:rPr>
                <w:sz w:val="1"/>
              </w:rPr>
            </w:pPr>
          </w:p>
        </w:tc>
      </w:tr>
    </w:tbl>
    <w:p w:rsidR="00F40CDB" w:rsidRDefault="00F40CDB" w:rsidP="00F40CDB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:rsidR="00F40CDB" w:rsidRDefault="00F40CDB" w:rsidP="00F40CDB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冬季典型风速和风向条件下，建筑物周围人行区距地</w:t>
      </w:r>
      <w:r>
        <w:rPr>
          <w:rFonts w:ascii="Calibri" w:hAnsi="Calibri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.5m</w:t>
      </w:r>
      <w:r>
        <w:rPr>
          <w:rFonts w:hint="eastAsia"/>
          <w:sz w:val="21"/>
          <w:szCs w:val="21"/>
        </w:rPr>
        <w:t>高处的风速为</w:t>
      </w:r>
      <w:r>
        <w:rPr>
          <w:rFonts w:hint="eastAsia"/>
          <w:sz w:val="21"/>
          <w:szCs w:val="21"/>
          <w:u w:val="single"/>
        </w:rPr>
        <w:t> </w:t>
      </w:r>
      <w:r w:rsidR="0054524D">
        <w:rPr>
          <w:sz w:val="21"/>
          <w:szCs w:val="21"/>
          <w:u w:val="single"/>
        </w:rPr>
        <w:t>2.4</w:t>
      </w:r>
      <w:r>
        <w:rPr>
          <w:rFonts w:hint="eastAsia"/>
          <w:sz w:val="21"/>
          <w:szCs w:val="21"/>
          <w:u w:val="single"/>
        </w:rPr>
        <w:t xml:space="preserve">  </w:t>
      </w:r>
      <w:r>
        <w:rPr>
          <w:rFonts w:ascii="Times New Roman" w:hAnsi="Times New Roman" w:cs="Times New Roman"/>
          <w:sz w:val="21"/>
          <w:szCs w:val="21"/>
        </w:rPr>
        <w:t>m/s</w:t>
      </w:r>
      <w:r>
        <w:rPr>
          <w:rFonts w:hint="eastAsia"/>
          <w:sz w:val="21"/>
          <w:szCs w:val="21"/>
        </w:rPr>
        <w:t>，最大风速放大系数为</w:t>
      </w:r>
      <w:r>
        <w:rPr>
          <w:rFonts w:hint="eastAsia"/>
          <w:sz w:val="21"/>
          <w:szCs w:val="21"/>
          <w:u w:val="single"/>
        </w:rPr>
        <w:t xml:space="preserve">  </w:t>
      </w:r>
      <w:r w:rsidR="0054524D">
        <w:rPr>
          <w:sz w:val="21"/>
          <w:szCs w:val="21"/>
          <w:u w:val="single"/>
        </w:rPr>
        <w:t>1.8</w:t>
      </w:r>
      <w:r>
        <w:rPr>
          <w:rFonts w:hint="eastAsia"/>
          <w:sz w:val="21"/>
          <w:szCs w:val="21"/>
          <w:u w:val="single"/>
        </w:rPr>
        <w:t xml:space="preserve">  </w:t>
      </w:r>
      <w:r>
        <w:rPr>
          <w:rFonts w:hint="eastAsia"/>
          <w:sz w:val="21"/>
          <w:szCs w:val="21"/>
        </w:rPr>
        <w:t>，除迎风第一排建筑外，建筑迎风面与背风面表面风压差为</w:t>
      </w:r>
      <w:r>
        <w:rPr>
          <w:rFonts w:hint="eastAsia"/>
          <w:sz w:val="21"/>
          <w:szCs w:val="21"/>
          <w:u w:val="single"/>
        </w:rPr>
        <w:t xml:space="preserve">    </w:t>
      </w:r>
      <w:r>
        <w:rPr>
          <w:rFonts w:ascii="Times New Roman" w:hAnsi="Times New Roman" w:cs="Times New Roman"/>
          <w:sz w:val="21"/>
          <w:szCs w:val="21"/>
        </w:rPr>
        <w:t>Pa</w:t>
      </w:r>
      <w:r>
        <w:rPr>
          <w:rFonts w:hint="eastAsia"/>
          <w:sz w:val="21"/>
          <w:szCs w:val="21"/>
        </w:rPr>
        <w:t>；</w:t>
      </w:r>
    </w:p>
    <w:p w:rsidR="00F40CDB" w:rsidRDefault="00F40CDB" w:rsidP="00F40CDB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过渡季、夏季典型风速和风向条件下，场地内人活动区是否会出现涡旋或无风区：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 xml:space="preserve">是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否</w:t>
      </w:r>
    </w:p>
    <w:p w:rsidR="00F40CDB" w:rsidRDefault="00F40CDB" w:rsidP="00F40CDB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外窗中室内外表面的风压差大于</w:t>
      </w:r>
      <w:r>
        <w:rPr>
          <w:rFonts w:ascii="Calibri" w:hAnsi="Calibri"/>
          <w:sz w:val="21"/>
          <w:szCs w:val="21"/>
        </w:rPr>
        <w:t>0.5Pa</w:t>
      </w:r>
      <w:r>
        <w:rPr>
          <w:rFonts w:hint="eastAsia"/>
          <w:sz w:val="21"/>
          <w:szCs w:val="21"/>
        </w:rPr>
        <w:t>的可开启外窗的面积比例</w:t>
      </w:r>
      <w:r>
        <w:rPr>
          <w:rFonts w:hint="eastAsia"/>
          <w:sz w:val="21"/>
          <w:szCs w:val="21"/>
          <w:u w:val="single"/>
        </w:rPr>
        <w:t>53.85  </w:t>
      </w:r>
      <w:r>
        <w:rPr>
          <w:rFonts w:ascii="Calibri" w:hAnsi="Calibri"/>
          <w:sz w:val="21"/>
          <w:szCs w:val="21"/>
        </w:rPr>
        <w:t>%</w:t>
      </w:r>
      <w:r>
        <w:rPr>
          <w:rFonts w:hint="eastAsia"/>
          <w:sz w:val="21"/>
          <w:szCs w:val="21"/>
        </w:rPr>
        <w:t>。</w:t>
      </w:r>
    </w:p>
    <w:p w:rsidR="00F40CDB" w:rsidRDefault="00F40CDB" w:rsidP="00F40CDB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请简要说明项目室外</w:t>
      </w:r>
      <w:proofErr w:type="gramStart"/>
      <w:r>
        <w:rPr>
          <w:rFonts w:hint="eastAsia"/>
          <w:sz w:val="21"/>
          <w:szCs w:val="21"/>
        </w:rPr>
        <w:t>风环境</w:t>
      </w:r>
      <w:proofErr w:type="gramEnd"/>
      <w:r>
        <w:rPr>
          <w:rFonts w:hint="eastAsia"/>
          <w:sz w:val="21"/>
          <w:szCs w:val="21"/>
        </w:rPr>
        <w:t>情况以及改善</w:t>
      </w:r>
      <w:proofErr w:type="gramStart"/>
      <w:r>
        <w:rPr>
          <w:rFonts w:hint="eastAsia"/>
          <w:sz w:val="21"/>
          <w:szCs w:val="21"/>
        </w:rPr>
        <w:t>风环境</w:t>
      </w:r>
      <w:proofErr w:type="gramEnd"/>
      <w:r>
        <w:rPr>
          <w:rFonts w:hint="eastAsia"/>
          <w:sz w:val="21"/>
          <w:szCs w:val="21"/>
        </w:rPr>
        <w:t>的措施。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F40CDB" w:rsidTr="006D6EE5">
        <w:trPr>
          <w:trHeight w:val="1670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40CDB" w:rsidRDefault="00F40CDB" w:rsidP="006D6EE5">
            <w:pPr>
              <w:pStyle w:val="a3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冬季工况时，建筑物周围人行区风速低于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5m/s</w:t>
            </w:r>
            <w:r>
              <w:rPr>
                <w:rFonts w:hint="eastAsia"/>
                <w:sz w:val="20"/>
                <w:szCs w:val="20"/>
              </w:rPr>
              <w:t>，且室外风速放大系数小于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，符合行人舒适性要求。人行区域风速放大系数小于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，满足要求。冬季主导风向条件下，前后压差小于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5KPa</w:t>
            </w:r>
            <w:r>
              <w:rPr>
                <w:rFonts w:hint="eastAsia"/>
                <w:sz w:val="20"/>
                <w:szCs w:val="20"/>
              </w:rPr>
              <w:t>，有利于冬季的防风节能效果。</w:t>
            </w:r>
          </w:p>
          <w:p w:rsidR="00F40CDB" w:rsidRDefault="00F40CDB" w:rsidP="006D6EE5">
            <w:pPr>
              <w:pStyle w:val="a3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夏季主导风向条件下，可开启外窗室内外表面的风差值基本大于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0.5KPa</w:t>
            </w:r>
            <w:r>
              <w:rPr>
                <w:rFonts w:hint="eastAsia"/>
                <w:sz w:val="20"/>
                <w:szCs w:val="20"/>
              </w:rPr>
              <w:t>，有利于室内利用自然通风。</w:t>
            </w:r>
          </w:p>
          <w:p w:rsidR="00F40CDB" w:rsidRDefault="00F40CDB" w:rsidP="006D6EE5">
            <w:pPr>
              <w:pStyle w:val="a3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项目总体规划紧凑，规划布局结构清晰。项目方案学习传统岭南建筑的空间策略，采用现代建筑形式及模块化小体量建筑手法，将传统岭南建筑空间处理手法运用到现代建筑设计中，空间布局灵活，体量轻盈通透、疏密有致。</w:t>
            </w:r>
          </w:p>
        </w:tc>
      </w:tr>
    </w:tbl>
    <w:p w:rsidR="00F40CDB" w:rsidRDefault="00F40CDB" w:rsidP="00F40CDB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:rsidR="00F40CDB" w:rsidRDefault="00F40CDB" w:rsidP="00F40CDB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:rsidR="00F40CDB" w:rsidRDefault="00F40CDB" w:rsidP="00F40CDB">
      <w:pPr>
        <w:pStyle w:val="a3"/>
        <w:spacing w:before="0" w:beforeAutospacing="0" w:after="0" w:afterAutospacing="0"/>
        <w:ind w:left="10" w:hanging="200"/>
        <w:jc w:val="both"/>
      </w:pPr>
      <w:r>
        <w:rPr>
          <w:rFonts w:ascii="Calibri" w:hAnsi="Calibri"/>
          <w:sz w:val="21"/>
          <w:szCs w:val="21"/>
        </w:rPr>
        <w:t>1</w:t>
      </w:r>
      <w:r>
        <w:rPr>
          <w:rFonts w:hint="eastAsia"/>
          <w:sz w:val="21"/>
          <w:szCs w:val="21"/>
        </w:rPr>
        <w:t>）室外风环境模拟计算分析报告；</w:t>
      </w:r>
    </w:p>
    <w:p w:rsidR="00F40CDB" w:rsidRDefault="00F40CDB" w:rsidP="00F40CDB">
      <w:pPr>
        <w:pStyle w:val="a3"/>
        <w:spacing w:before="0" w:beforeAutospacing="0" w:after="0" w:afterAutospacing="0"/>
        <w:ind w:left="10" w:hanging="200"/>
        <w:jc w:val="both"/>
      </w:pPr>
      <w:r>
        <w:rPr>
          <w:rFonts w:ascii="Calibri" w:hAnsi="Calibri"/>
          <w:sz w:val="21"/>
          <w:szCs w:val="21"/>
        </w:rPr>
        <w:t>2</w:t>
      </w:r>
      <w:r>
        <w:rPr>
          <w:rFonts w:hint="eastAsia"/>
          <w:sz w:val="21"/>
          <w:szCs w:val="21"/>
        </w:rPr>
        <w:t>）竣工总平面图；</w:t>
      </w:r>
    </w:p>
    <w:p w:rsidR="00F40CDB" w:rsidRDefault="00F40CDB" w:rsidP="00F40CDB">
      <w:pPr>
        <w:pStyle w:val="a3"/>
        <w:spacing w:before="0" w:beforeAutospacing="0" w:after="0" w:afterAutospacing="0"/>
        <w:ind w:left="10" w:hanging="200"/>
        <w:jc w:val="both"/>
      </w:pPr>
      <w:r>
        <w:rPr>
          <w:rFonts w:ascii="Calibri" w:hAnsi="Calibri"/>
          <w:sz w:val="21"/>
          <w:szCs w:val="21"/>
        </w:rPr>
        <w:t>3</w:t>
      </w:r>
      <w:r>
        <w:rPr>
          <w:rFonts w:hint="eastAsia"/>
          <w:sz w:val="21"/>
          <w:szCs w:val="21"/>
        </w:rPr>
        <w:t>）景观专业竣工图纸及设计说明；</w:t>
      </w:r>
    </w:p>
    <w:p w:rsidR="00F40CDB" w:rsidRDefault="00F40CDB" w:rsidP="00F40CDB">
      <w:pPr>
        <w:pStyle w:val="a3"/>
        <w:spacing w:before="0" w:beforeAutospacing="0" w:after="0" w:afterAutospacing="0"/>
        <w:ind w:left="10" w:hanging="200"/>
        <w:jc w:val="both"/>
      </w:pPr>
      <w:r>
        <w:rPr>
          <w:rFonts w:ascii="Calibri" w:hAnsi="Calibri"/>
          <w:sz w:val="21"/>
          <w:szCs w:val="21"/>
        </w:rPr>
        <w:t>4</w:t>
      </w:r>
      <w:r>
        <w:rPr>
          <w:rFonts w:hint="eastAsia"/>
          <w:sz w:val="21"/>
          <w:szCs w:val="21"/>
        </w:rPr>
        <w:t>）场地周边及建筑物的实景影像资料。</w:t>
      </w:r>
    </w:p>
    <w:p w:rsidR="00F40CDB" w:rsidRDefault="00F40CDB" w:rsidP="00F40CDB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F40CDB" w:rsidTr="006D6EE5">
        <w:trPr>
          <w:trHeight w:val="1975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40CDB" w:rsidRDefault="00F40CDB" w:rsidP="006D6EE5"/>
        </w:tc>
      </w:tr>
    </w:tbl>
    <w:p w:rsidR="00F40CDB" w:rsidRDefault="00F40CDB" w:rsidP="00F40CDB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:rsidR="00C05D9A" w:rsidRPr="00F40CDB" w:rsidRDefault="009F76E5" w:rsidP="00F40CDB">
      <w:bookmarkStart w:id="0" w:name="_GoBack"/>
      <w:bookmarkEnd w:id="0"/>
    </w:p>
    <w:sectPr w:rsidR="00C05D9A" w:rsidRPr="00F4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6E5" w:rsidRDefault="009F76E5" w:rsidP="00435083">
      <w:r>
        <w:separator/>
      </w:r>
    </w:p>
  </w:endnote>
  <w:endnote w:type="continuationSeparator" w:id="0">
    <w:p w:rsidR="009F76E5" w:rsidRDefault="009F76E5" w:rsidP="0043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6E5" w:rsidRDefault="009F76E5" w:rsidP="00435083">
      <w:r>
        <w:separator/>
      </w:r>
    </w:p>
  </w:footnote>
  <w:footnote w:type="continuationSeparator" w:id="0">
    <w:p w:rsidR="009F76E5" w:rsidRDefault="009F76E5" w:rsidP="0043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F"/>
    <w:rsid w:val="0015156F"/>
    <w:rsid w:val="001D569F"/>
    <w:rsid w:val="00401A75"/>
    <w:rsid w:val="00435083"/>
    <w:rsid w:val="0044186B"/>
    <w:rsid w:val="004D5D64"/>
    <w:rsid w:val="005028DA"/>
    <w:rsid w:val="0054524D"/>
    <w:rsid w:val="00574D45"/>
    <w:rsid w:val="007D3D4E"/>
    <w:rsid w:val="00815B12"/>
    <w:rsid w:val="00864CC8"/>
    <w:rsid w:val="008A19AE"/>
    <w:rsid w:val="00975342"/>
    <w:rsid w:val="009F76E5"/>
    <w:rsid w:val="00A51A93"/>
    <w:rsid w:val="00A764AE"/>
    <w:rsid w:val="00B34F24"/>
    <w:rsid w:val="00D953F8"/>
    <w:rsid w:val="00DF163D"/>
    <w:rsid w:val="00F4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67CDC"/>
  <w15:chartTrackingRefBased/>
  <w15:docId w15:val="{B65D9B11-E262-49E3-BC6C-52BD932E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69F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D569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D569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ngecolor">
    <w:name w:val="change_color"/>
    <w:rsid w:val="001D569F"/>
  </w:style>
  <w:style w:type="paragraph" w:styleId="a3">
    <w:name w:val="Normal (Web)"/>
    <w:basedOn w:val="a"/>
    <w:uiPriority w:val="99"/>
    <w:unhideWhenUsed/>
    <w:rsid w:val="001D569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3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5083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50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5083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359509583@qq.com</dc:creator>
  <cp:keywords/>
  <dc:description/>
  <cp:lastModifiedBy>359509583@qq.com</cp:lastModifiedBy>
  <cp:revision>20</cp:revision>
  <dcterms:created xsi:type="dcterms:W3CDTF">2021-03-09T09:30:00Z</dcterms:created>
  <dcterms:modified xsi:type="dcterms:W3CDTF">2021-03-09T12:27:00Z</dcterms:modified>
</cp:coreProperties>
</file>