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467B" w14:textId="77777777" w:rsidR="00D559BD" w:rsidRPr="00D559BD" w:rsidRDefault="00D559BD" w:rsidP="00D559BD">
      <w:pPr>
        <w:keepNext/>
        <w:keepLines/>
        <w:widowControl/>
        <w:spacing w:before="120" w:after="120"/>
        <w:jc w:val="left"/>
        <w:outlineLvl w:val="1"/>
        <w:rPr>
          <w:rFonts w:ascii="等线" w:eastAsia="Microsoft YaHei UI" w:hAnsi="等线" w:cs="Times New Roman"/>
          <w:b/>
          <w:bCs/>
          <w:color w:val="44546A"/>
          <w:kern w:val="0"/>
          <w:sz w:val="26"/>
          <w:szCs w:val="26"/>
          <w:lang w:eastAsia="ja-JP"/>
        </w:rPr>
      </w:pPr>
      <w:bookmarkStart w:id="0" w:name="_Toc60774529"/>
      <w:r w:rsidRPr="00D559BD">
        <w:rPr>
          <w:rFonts w:ascii="等线" w:eastAsia="Microsoft YaHei UI" w:hAnsi="等线" w:cs="Times New Roman" w:hint="eastAsia"/>
          <w:b/>
          <w:bCs/>
          <w:color w:val="44546A"/>
          <w:kern w:val="0"/>
          <w:sz w:val="26"/>
          <w:szCs w:val="26"/>
          <w:lang w:eastAsia="ja-JP"/>
        </w:rPr>
        <w:t>屋面：</w:t>
      </w:r>
      <w:bookmarkEnd w:id="0"/>
    </w:p>
    <w:p w14:paraId="1746A572" w14:textId="77777777" w:rsidR="00D559BD" w:rsidRPr="00D559BD" w:rsidRDefault="00D559BD" w:rsidP="00D559BD">
      <w:pPr>
        <w:spacing w:beforeLines="50" w:before="156" w:afterLines="50" w:after="156"/>
        <w:ind w:firstLine="420"/>
        <w:rPr>
          <w:rFonts w:ascii="等线" w:eastAsia="FangSong" w:hAnsi="等线" w:cs="Times New Roman"/>
          <w:szCs w:val="21"/>
        </w:rPr>
      </w:pPr>
      <w:r w:rsidRPr="00D559BD">
        <w:rPr>
          <w:rFonts w:ascii="等线" w:eastAsia="FangSong" w:hAnsi="等线" w:cs="Times New Roman" w:hint="eastAsia"/>
          <w:szCs w:val="21"/>
        </w:rPr>
        <w:t>非上人屋面（三层顶）：</w:t>
      </w:r>
      <w:r w:rsidRPr="00D559BD">
        <w:rPr>
          <w:rFonts w:ascii="等线" w:eastAsia="FangSong" w:hAnsi="等线" w:cs="Times New Roman" w:hint="eastAsia"/>
          <w:szCs w:val="21"/>
        </w:rPr>
        <w:t>SBS</w:t>
      </w:r>
      <w:r w:rsidRPr="00D559BD">
        <w:rPr>
          <w:rFonts w:ascii="等线" w:eastAsia="FangSong" w:hAnsi="等线" w:cs="Times New Roman" w:hint="eastAsia"/>
          <w:szCs w:val="21"/>
        </w:rPr>
        <w:t>卷材防水层；</w:t>
      </w:r>
      <w:r w:rsidRPr="00D559BD">
        <w:rPr>
          <w:rFonts w:ascii="等线" w:eastAsia="FangSong" w:hAnsi="等线" w:cs="Times New Roman" w:hint="eastAsia"/>
          <w:szCs w:val="21"/>
        </w:rPr>
        <w:t>20</w:t>
      </w:r>
      <w:r w:rsidRPr="00D559BD">
        <w:rPr>
          <w:rFonts w:ascii="等线" w:eastAsia="FangSong" w:hAnsi="等线" w:cs="Times New Roman" w:hint="eastAsia"/>
          <w:szCs w:val="21"/>
        </w:rPr>
        <w:t>厚水泥砂浆找平层；最薄处</w:t>
      </w:r>
      <w:r w:rsidRPr="00D559BD">
        <w:rPr>
          <w:rFonts w:ascii="等线" w:eastAsia="FangSong" w:hAnsi="等线" w:cs="Times New Roman" w:hint="eastAsia"/>
          <w:szCs w:val="21"/>
        </w:rPr>
        <w:t>30</w:t>
      </w:r>
      <w:r w:rsidRPr="00D559BD">
        <w:rPr>
          <w:rFonts w:ascii="等线" w:eastAsia="FangSong" w:hAnsi="等线" w:cs="Times New Roman" w:hint="eastAsia"/>
          <w:szCs w:val="21"/>
        </w:rPr>
        <w:t>厚水泥膨胀珍珠岩</w:t>
      </w:r>
      <w:proofErr w:type="gramStart"/>
      <w:r w:rsidRPr="00D559BD">
        <w:rPr>
          <w:rFonts w:ascii="等线" w:eastAsia="FangSong" w:hAnsi="等线" w:cs="Times New Roman" w:hint="eastAsia"/>
          <w:szCs w:val="21"/>
        </w:rPr>
        <w:t>找坡层</w:t>
      </w:r>
      <w:proofErr w:type="gramEnd"/>
      <w:r w:rsidRPr="00D559BD">
        <w:rPr>
          <w:rFonts w:ascii="等线" w:eastAsia="FangSong" w:hAnsi="等线" w:cs="Times New Roman" w:hint="eastAsia"/>
          <w:szCs w:val="21"/>
        </w:rPr>
        <w:t>，</w:t>
      </w:r>
      <w:r w:rsidRPr="00D559BD">
        <w:rPr>
          <w:rFonts w:ascii="等线" w:eastAsia="FangSong" w:hAnsi="等线" w:cs="Times New Roman" w:hint="eastAsia"/>
          <w:szCs w:val="21"/>
        </w:rPr>
        <w:t>50</w:t>
      </w:r>
      <w:r w:rsidRPr="00D559BD">
        <w:rPr>
          <w:rFonts w:ascii="等线" w:eastAsia="FangSong" w:hAnsi="等线" w:cs="Times New Roman" w:hint="eastAsia"/>
          <w:szCs w:val="21"/>
        </w:rPr>
        <w:t>厚挤塑聚苯板（</w:t>
      </w:r>
      <w:r w:rsidRPr="00D559BD">
        <w:rPr>
          <w:rFonts w:ascii="等线" w:eastAsia="FangSong" w:hAnsi="等线" w:cs="Times New Roman" w:hint="eastAsia"/>
          <w:szCs w:val="21"/>
        </w:rPr>
        <w:t>500</w:t>
      </w:r>
      <w:r w:rsidRPr="00D559BD">
        <w:rPr>
          <w:rFonts w:ascii="等线" w:eastAsia="FangSong" w:hAnsi="等线" w:cs="Times New Roman" w:hint="eastAsia"/>
          <w:szCs w:val="21"/>
        </w:rPr>
        <w:t>宽同厚岩棉板防火隔离带）</w:t>
      </w:r>
      <w:r w:rsidRPr="00D559BD">
        <w:rPr>
          <w:rFonts w:ascii="等线" w:eastAsia="FangSong" w:hAnsi="等线" w:cs="Times New Roman" w:hint="eastAsia"/>
          <w:szCs w:val="21"/>
        </w:rPr>
        <w:t>20</w:t>
      </w:r>
      <w:r w:rsidRPr="00D559BD">
        <w:rPr>
          <w:rFonts w:ascii="等线" w:eastAsia="FangSong" w:hAnsi="等线" w:cs="Times New Roman" w:hint="eastAsia"/>
          <w:szCs w:val="21"/>
        </w:rPr>
        <w:t>厚</w:t>
      </w:r>
      <w:r w:rsidRPr="00D559BD">
        <w:rPr>
          <w:rFonts w:ascii="等线" w:eastAsia="FangSong" w:hAnsi="等线" w:cs="Times New Roman" w:hint="eastAsia"/>
          <w:szCs w:val="21"/>
        </w:rPr>
        <w:t>1</w:t>
      </w:r>
      <w:r w:rsidRPr="00D559BD">
        <w:rPr>
          <w:rFonts w:ascii="等线" w:eastAsia="FangSong" w:hAnsi="等线" w:cs="Times New Roman" w:hint="eastAsia"/>
          <w:szCs w:val="21"/>
        </w:rPr>
        <w:t>：</w:t>
      </w:r>
      <w:r w:rsidRPr="00D559BD">
        <w:rPr>
          <w:rFonts w:ascii="等线" w:eastAsia="FangSong" w:hAnsi="等线" w:cs="Times New Roman" w:hint="eastAsia"/>
          <w:szCs w:val="21"/>
        </w:rPr>
        <w:t>3</w:t>
      </w:r>
      <w:r w:rsidRPr="00D559BD">
        <w:rPr>
          <w:rFonts w:ascii="等线" w:eastAsia="FangSong" w:hAnsi="等线" w:cs="Times New Roman" w:hint="eastAsia"/>
          <w:szCs w:val="21"/>
        </w:rPr>
        <w:t>水泥砂浆找平</w:t>
      </w:r>
      <w:r w:rsidRPr="00D559BD">
        <w:rPr>
          <w:rFonts w:ascii="等线" w:eastAsia="FangSong" w:hAnsi="等线" w:cs="Times New Roman" w:hint="eastAsia"/>
          <w:szCs w:val="21"/>
        </w:rPr>
        <w:t>,</w:t>
      </w:r>
      <w:r w:rsidRPr="00D559BD">
        <w:rPr>
          <w:rFonts w:ascii="等线" w:eastAsia="FangSong" w:hAnsi="等线" w:cs="Times New Roman" w:hint="eastAsia"/>
          <w:szCs w:val="21"/>
        </w:rPr>
        <w:t>砂浆中掺聚丙烯纤维</w:t>
      </w:r>
      <w:r w:rsidRPr="00D559BD">
        <w:rPr>
          <w:rFonts w:ascii="等线" w:eastAsia="FangSong" w:hAnsi="等线" w:cs="Times New Roman" w:hint="eastAsia"/>
          <w:szCs w:val="21"/>
        </w:rPr>
        <w:t>0.75~0.90Kg/m</w:t>
      </w:r>
      <w:r w:rsidRPr="00D559BD">
        <w:rPr>
          <w:rFonts w:ascii="Calibri" w:eastAsia="FangSong" w:hAnsi="Calibri" w:cs="Calibri"/>
          <w:szCs w:val="21"/>
        </w:rPr>
        <w:t>³</w:t>
      </w:r>
      <w:r w:rsidRPr="00D559BD">
        <w:rPr>
          <w:rFonts w:ascii="FangSong" w:eastAsia="FangSong" w:hAnsi="FangSong" w:cs="FangSong" w:hint="eastAsia"/>
          <w:szCs w:val="21"/>
        </w:rPr>
        <w:t>，钢筋混凝土顶板。经</w:t>
      </w:r>
      <w:r w:rsidRPr="00D559BD">
        <w:rPr>
          <w:rFonts w:ascii="等线" w:eastAsia="FangSong" w:hAnsi="等线" w:cs="Times New Roman" w:hint="eastAsia"/>
          <w:szCs w:val="21"/>
        </w:rPr>
        <w:t>过整体计算，传热系数为</w:t>
      </w:r>
      <w:r w:rsidRPr="00D559BD">
        <w:rPr>
          <w:rFonts w:ascii="等线" w:eastAsia="FangSong" w:hAnsi="等线" w:cs="Times New Roman" w:hint="eastAsia"/>
          <w:szCs w:val="21"/>
        </w:rPr>
        <w:t>0.373</w:t>
      </w:r>
      <w:r w:rsidRPr="00D559BD">
        <w:rPr>
          <w:rFonts w:ascii="等线" w:eastAsia="FangSong" w:hAnsi="等线" w:cs="Times New Roman" w:hint="eastAsia"/>
          <w:szCs w:val="21"/>
        </w:rPr>
        <w:t>。</w:t>
      </w:r>
    </w:p>
    <w:p w14:paraId="0C45B8D6" w14:textId="77777777" w:rsidR="00D559BD" w:rsidRPr="00D559BD" w:rsidRDefault="00D559BD" w:rsidP="00D559BD">
      <w:pPr>
        <w:keepNext/>
        <w:keepLines/>
        <w:widowControl/>
        <w:spacing w:before="120" w:after="120"/>
        <w:jc w:val="left"/>
        <w:outlineLvl w:val="1"/>
        <w:rPr>
          <w:rFonts w:ascii="等线" w:eastAsia="Microsoft YaHei UI" w:hAnsi="等线" w:cs="Times New Roman"/>
          <w:b/>
          <w:bCs/>
          <w:color w:val="44546A"/>
          <w:kern w:val="0"/>
          <w:sz w:val="26"/>
          <w:szCs w:val="26"/>
          <w:lang w:eastAsia="ja-JP"/>
        </w:rPr>
      </w:pPr>
      <w:bookmarkStart w:id="1" w:name="_Toc60774530"/>
      <w:r w:rsidRPr="00D559BD">
        <w:rPr>
          <w:rFonts w:ascii="等线" w:eastAsia="Microsoft YaHei UI" w:hAnsi="等线" w:cs="Times New Roman" w:hint="eastAsia"/>
          <w:b/>
          <w:bCs/>
          <w:color w:val="44546A"/>
          <w:kern w:val="0"/>
          <w:sz w:val="26"/>
          <w:szCs w:val="26"/>
          <w:lang w:eastAsia="ja-JP"/>
        </w:rPr>
        <w:t>三层雨棚：</w:t>
      </w:r>
      <w:bookmarkEnd w:id="1"/>
    </w:p>
    <w:p w14:paraId="69D09755" w14:textId="5DF13426" w:rsidR="00D559BD" w:rsidRPr="00D559BD" w:rsidRDefault="00D559BD" w:rsidP="00D559BD">
      <w:pPr>
        <w:spacing w:beforeLines="50" w:before="156" w:afterLines="50" w:after="156"/>
        <w:ind w:firstLine="420"/>
        <w:rPr>
          <w:rFonts w:ascii="等线" w:eastAsia="FangSong" w:hAnsi="等线" w:cs="Times New Roman"/>
          <w:szCs w:val="21"/>
        </w:rPr>
      </w:pPr>
      <w:r w:rsidRPr="00D559BD">
        <w:rPr>
          <w:rFonts w:ascii="等线" w:eastAsia="FangSong" w:hAnsi="等线" w:cs="Times New Roman" w:hint="eastAsia"/>
          <w:szCs w:val="21"/>
        </w:rPr>
        <w:t>三层走廊上侧雨棚以及</w:t>
      </w:r>
      <w:proofErr w:type="gramStart"/>
      <w:r w:rsidRPr="00D559BD">
        <w:rPr>
          <w:rFonts w:ascii="等线" w:eastAsia="FangSong" w:hAnsi="等线" w:cs="Times New Roman" w:hint="eastAsia"/>
          <w:szCs w:val="21"/>
        </w:rPr>
        <w:t>入口入口</w:t>
      </w:r>
      <w:proofErr w:type="gramEnd"/>
      <w:r w:rsidRPr="00D559BD">
        <w:rPr>
          <w:rFonts w:ascii="等线" w:eastAsia="FangSong" w:hAnsi="等线" w:cs="Times New Roman" w:hint="eastAsia"/>
          <w:szCs w:val="21"/>
        </w:rPr>
        <w:t>雨棚，设置了面积达</w:t>
      </w:r>
      <w:r w:rsidR="0018102E">
        <w:rPr>
          <w:rFonts w:ascii="等线" w:eastAsia="FangSong" w:hAnsi="等线" w:cs="Times New Roman" w:hint="eastAsia"/>
          <w:szCs w:val="21"/>
        </w:rPr>
        <w:t>5</w:t>
      </w:r>
      <w:r w:rsidR="0018102E">
        <w:rPr>
          <w:rFonts w:ascii="等线" w:eastAsia="FangSong" w:hAnsi="等线" w:cs="Times New Roman"/>
          <w:szCs w:val="21"/>
        </w:rPr>
        <w:t>0</w:t>
      </w:r>
      <w:r w:rsidR="0018102E">
        <w:rPr>
          <w:rFonts w:ascii="等线" w:eastAsia="FangSong" w:hAnsi="等线" w:cs="Times New Roman" w:hint="eastAsia"/>
          <w:szCs w:val="21"/>
        </w:rPr>
        <w:t>m</w:t>
      </w:r>
      <w:r w:rsidR="0018102E" w:rsidRPr="0018102E">
        <w:rPr>
          <w:rFonts w:ascii="等线" w:eastAsia="FangSong" w:hAnsi="等线" w:cs="Times New Roman"/>
          <w:szCs w:val="21"/>
          <w:vertAlign w:val="superscript"/>
        </w:rPr>
        <w:t>2</w:t>
      </w:r>
      <w:r w:rsidR="0018102E">
        <w:rPr>
          <w:rFonts w:ascii="等线" w:eastAsia="FangSong" w:hAnsi="等线" w:cs="Times New Roman"/>
          <w:szCs w:val="21"/>
          <w:vertAlign w:val="superscript"/>
        </w:rPr>
        <w:t xml:space="preserve">   </w:t>
      </w:r>
      <w:r w:rsidR="0018102E">
        <w:rPr>
          <w:rFonts w:ascii="等线" w:eastAsia="FangSong" w:hAnsi="等线" w:cs="Times New Roman" w:hint="eastAsia"/>
          <w:szCs w:val="21"/>
        </w:rPr>
        <w:t>,</w:t>
      </w:r>
      <w:r w:rsidR="0018102E">
        <w:rPr>
          <w:rFonts w:ascii="等线" w:eastAsia="FangSong" w:hAnsi="等线" w:cs="Times New Roman" w:hint="eastAsia"/>
          <w:szCs w:val="21"/>
        </w:rPr>
        <w:t>计</w:t>
      </w:r>
      <w:r w:rsidRPr="00D559BD">
        <w:rPr>
          <w:rFonts w:ascii="等线" w:eastAsia="FangSong" w:hAnsi="等线" w:cs="Times New Roman" w:hint="eastAsia"/>
          <w:szCs w:val="21"/>
        </w:rPr>
        <w:t>算</w:t>
      </w:r>
      <w:r w:rsidRPr="00D559BD">
        <w:rPr>
          <w:rFonts w:ascii="等线" w:eastAsia="FangSong" w:hAnsi="等线" w:cs="Times New Roman" w:hint="eastAsia"/>
          <w:szCs w:val="21"/>
        </w:rPr>
        <w:t xml:space="preserve"> </w:t>
      </w:r>
      <w:r w:rsidR="0018102E">
        <w:rPr>
          <w:rFonts w:ascii="等线" w:eastAsia="FangSong" w:hAnsi="等线" w:cs="Times New Roman"/>
          <w:szCs w:val="21"/>
        </w:rPr>
        <w:t>25</w:t>
      </w:r>
      <w:r w:rsidRPr="00D559BD">
        <w:rPr>
          <w:rFonts w:ascii="等线" w:eastAsia="FangSong" w:hAnsi="等线" w:cs="Times New Roman" w:hint="eastAsia"/>
          <w:szCs w:val="21"/>
        </w:rPr>
        <w:t>m</w:t>
      </w:r>
      <w:r w:rsidRPr="00D559BD">
        <w:rPr>
          <w:rFonts w:ascii="等线" w:eastAsia="FangSong" w:hAnsi="等线" w:cs="Times New Roman" w:hint="eastAsia"/>
          <w:szCs w:val="21"/>
          <w:vertAlign w:val="superscript"/>
        </w:rPr>
        <w:t>2</w:t>
      </w:r>
      <w:r w:rsidRPr="00D559BD">
        <w:rPr>
          <w:rFonts w:ascii="等线" w:eastAsia="FangSong" w:hAnsi="等线" w:cs="Times New Roman" w:hint="eastAsia"/>
          <w:szCs w:val="21"/>
        </w:rPr>
        <w:t>的光伏遮雨棚，，该雨棚上安装了</w:t>
      </w:r>
      <w:r w:rsidRPr="00D559BD">
        <w:rPr>
          <w:rFonts w:ascii="等线" w:eastAsia="FangSong" w:hAnsi="等线" w:cs="Times New Roman" w:hint="eastAsia"/>
          <w:szCs w:val="21"/>
        </w:rPr>
        <w:t>168 W</w:t>
      </w:r>
      <w:r w:rsidRPr="00D559BD">
        <w:rPr>
          <w:rFonts w:ascii="等线" w:eastAsia="FangSong" w:hAnsi="等线" w:cs="Times New Roman" w:hint="eastAsia"/>
          <w:szCs w:val="21"/>
        </w:rPr>
        <w:t>的单晶硅光伏组件。</w:t>
      </w:r>
      <w:r w:rsidRPr="00D559BD">
        <w:rPr>
          <w:rFonts w:ascii="等线" w:eastAsia="FangSong" w:hAnsi="等线" w:cs="Times New Roman" w:hint="eastAsia"/>
          <w:szCs w:val="21"/>
        </w:rPr>
        <w:t xml:space="preserve"> </w:t>
      </w:r>
      <w:r w:rsidRPr="00D559BD">
        <w:rPr>
          <w:rFonts w:ascii="等线" w:eastAsia="FangSong" w:hAnsi="等线" w:cs="Times New Roman" w:hint="eastAsia"/>
          <w:szCs w:val="21"/>
        </w:rPr>
        <w:t>该光伏雨棚在挡雨的同时兼具遮阳作用。另外，通过，光伏组件排列间距的设计，改善了雨棚的透光性能，不影响入口处的采光效果。</w:t>
      </w:r>
    </w:p>
    <w:p w14:paraId="024A992C" w14:textId="77777777" w:rsidR="00D559BD" w:rsidRPr="00D559BD" w:rsidRDefault="00D559BD" w:rsidP="00D559BD">
      <w:pPr>
        <w:keepNext/>
        <w:keepLines/>
        <w:widowControl/>
        <w:spacing w:before="120" w:after="120"/>
        <w:jc w:val="left"/>
        <w:outlineLvl w:val="1"/>
        <w:rPr>
          <w:rFonts w:ascii="等线" w:eastAsia="Microsoft YaHei UI" w:hAnsi="等线" w:cs="Times New Roman"/>
          <w:b/>
          <w:bCs/>
          <w:color w:val="44546A"/>
          <w:kern w:val="0"/>
          <w:sz w:val="26"/>
          <w:szCs w:val="26"/>
          <w:lang w:eastAsia="ja-JP"/>
        </w:rPr>
      </w:pPr>
      <w:bookmarkStart w:id="2" w:name="_Toc60774531"/>
      <w:r w:rsidRPr="00D559BD">
        <w:rPr>
          <w:rFonts w:ascii="等线" w:eastAsia="Microsoft YaHei UI" w:hAnsi="等线" w:cs="Times New Roman" w:hint="eastAsia"/>
          <w:b/>
          <w:bCs/>
          <w:color w:val="44546A"/>
          <w:kern w:val="0"/>
          <w:sz w:val="26"/>
          <w:szCs w:val="26"/>
          <w:lang w:eastAsia="ja-JP"/>
        </w:rPr>
        <w:t>上人屋面：</w:t>
      </w:r>
      <w:bookmarkEnd w:id="2"/>
    </w:p>
    <w:p w14:paraId="02E2DD64" w14:textId="77777777" w:rsidR="00D559BD" w:rsidRPr="00D559BD" w:rsidRDefault="00D559BD" w:rsidP="00D559BD">
      <w:pPr>
        <w:spacing w:beforeLines="50" w:before="156" w:afterLines="50" w:after="156"/>
        <w:ind w:firstLine="420"/>
        <w:rPr>
          <w:rFonts w:ascii="FangSong" w:eastAsia="FangSong" w:hAnsi="FangSong" w:cs="Times New Roman"/>
          <w:color w:val="000000"/>
          <w:szCs w:val="21"/>
        </w:rPr>
      </w:pPr>
      <w:r w:rsidRPr="00D559BD">
        <w:rPr>
          <w:rFonts w:ascii="等线" w:eastAsia="FangSong" w:hAnsi="等线" w:cs="Times New Roman" w:hint="eastAsia"/>
          <w:szCs w:val="21"/>
        </w:rPr>
        <w:t>屋顶花园</w:t>
      </w:r>
      <w:r w:rsidRPr="00D559BD">
        <w:rPr>
          <w:rFonts w:ascii="FangSong" w:eastAsia="FangSong" w:hAnsi="FangSong" w:cs="Times New Roman" w:hint="eastAsia"/>
          <w:color w:val="000000"/>
          <w:szCs w:val="21"/>
        </w:rPr>
        <w:t>种植屋面的构造层次：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365"/>
      </w:tblGrid>
      <w:tr w:rsidR="00D559BD" w:rsidRPr="00D559BD" w14:paraId="29733FE2" w14:textId="77777777" w:rsidTr="006F7439">
        <w:tc>
          <w:tcPr>
            <w:tcW w:w="1129" w:type="dxa"/>
            <w:vAlign w:val="center"/>
          </w:tcPr>
          <w:p w14:paraId="545405D8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种植土层</w:t>
            </w:r>
          </w:p>
        </w:tc>
        <w:tc>
          <w:tcPr>
            <w:tcW w:w="7365" w:type="dxa"/>
            <w:vAlign w:val="center"/>
          </w:tcPr>
          <w:p w14:paraId="36710901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一般采用野外可耕作的土壤为基土，再掺以松散物混合而成种植土。</w:t>
            </w:r>
          </w:p>
        </w:tc>
      </w:tr>
      <w:tr w:rsidR="00D559BD" w:rsidRPr="00D559BD" w14:paraId="432FF738" w14:textId="77777777" w:rsidTr="006F7439">
        <w:tc>
          <w:tcPr>
            <w:tcW w:w="1129" w:type="dxa"/>
            <w:vAlign w:val="center"/>
          </w:tcPr>
          <w:p w14:paraId="456696BF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隔离层</w:t>
            </w:r>
          </w:p>
        </w:tc>
        <w:tc>
          <w:tcPr>
            <w:tcW w:w="7365" w:type="dxa"/>
            <w:vAlign w:val="center"/>
          </w:tcPr>
          <w:p w14:paraId="0BB1E878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隔离层可采用无纺布、玻璃丝布，也可用塑料布，为了透水搭接</w:t>
            </w:r>
            <w:proofErr w:type="gramStart"/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不</w:t>
            </w:r>
            <w:proofErr w:type="gramEnd"/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粘合。</w:t>
            </w:r>
          </w:p>
        </w:tc>
      </w:tr>
      <w:tr w:rsidR="00D559BD" w:rsidRPr="00D559BD" w14:paraId="2191BF5C" w14:textId="77777777" w:rsidTr="006F7439">
        <w:tc>
          <w:tcPr>
            <w:tcW w:w="1129" w:type="dxa"/>
            <w:vAlign w:val="center"/>
          </w:tcPr>
          <w:p w14:paraId="222BFEF4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蓄水层</w:t>
            </w:r>
          </w:p>
        </w:tc>
        <w:tc>
          <w:tcPr>
            <w:tcW w:w="7365" w:type="dxa"/>
            <w:vAlign w:val="center"/>
          </w:tcPr>
          <w:p w14:paraId="0CE0A7CB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蓄水层用５ｃｍ厚的泡沫塑料铺成，还有一种海绵状毡，作蓄水层也很好。</w:t>
            </w:r>
          </w:p>
        </w:tc>
      </w:tr>
      <w:tr w:rsidR="00D559BD" w:rsidRPr="00D559BD" w14:paraId="5EC44950" w14:textId="77777777" w:rsidTr="006F7439">
        <w:tc>
          <w:tcPr>
            <w:tcW w:w="1129" w:type="dxa"/>
            <w:vAlign w:val="center"/>
          </w:tcPr>
          <w:p w14:paraId="6F66F121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排水层</w:t>
            </w:r>
          </w:p>
        </w:tc>
        <w:tc>
          <w:tcPr>
            <w:tcW w:w="7365" w:type="dxa"/>
            <w:vAlign w:val="center"/>
          </w:tcPr>
          <w:p w14:paraId="5B3D6E7B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排水层是用２～３ｃｍ粒径的碎石或卵石，厚度为10～15ｃｍ。保护层：一般选用铝箔面沥青油毡、聚氯乙烯卷材或中密度聚乙烯土工布。</w:t>
            </w:r>
          </w:p>
        </w:tc>
      </w:tr>
      <w:tr w:rsidR="00D559BD" w:rsidRPr="00D559BD" w14:paraId="2C3A416B" w14:textId="77777777" w:rsidTr="006F7439">
        <w:tc>
          <w:tcPr>
            <w:tcW w:w="1129" w:type="dxa"/>
            <w:vAlign w:val="center"/>
          </w:tcPr>
          <w:p w14:paraId="2B3D59BB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防水层</w:t>
            </w:r>
          </w:p>
        </w:tc>
        <w:tc>
          <w:tcPr>
            <w:tcW w:w="7365" w:type="dxa"/>
            <w:vAlign w:val="center"/>
          </w:tcPr>
          <w:p w14:paraId="6BA82257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防水层要二道设防。如用合成高分子卷材和涂料，可选择上为１．５ ｍｍ厚的Ｐ型宽幅聚氯乙烯卷材或厚１ ｍｍ的高密度聚乙烯，下为２ｍｍ厚聚氨酯或硅橡胶涂膜；也可选择上为高密度聚乙烯卷材，下为硅橡胶或聚氨酯涂膜。</w:t>
            </w:r>
          </w:p>
        </w:tc>
      </w:tr>
      <w:tr w:rsidR="00D559BD" w:rsidRPr="00D559BD" w14:paraId="5F141992" w14:textId="77777777" w:rsidTr="006F7439">
        <w:tc>
          <w:tcPr>
            <w:tcW w:w="1129" w:type="dxa"/>
            <w:vAlign w:val="center"/>
          </w:tcPr>
          <w:p w14:paraId="51EC693B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迭层</w:t>
            </w:r>
          </w:p>
        </w:tc>
        <w:tc>
          <w:tcPr>
            <w:tcW w:w="7365" w:type="dxa"/>
            <w:vAlign w:val="center"/>
          </w:tcPr>
          <w:p w14:paraId="758DE195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均为聚酯胎的ＳＢＳ、ＡＰＰ改性沥青卷材，厚度为５ｍｍ以上，满粘法粘结，覆面材料为金属箔。</w:t>
            </w:r>
          </w:p>
        </w:tc>
      </w:tr>
      <w:tr w:rsidR="00D559BD" w:rsidRPr="00D559BD" w14:paraId="7D3BDA74" w14:textId="77777777" w:rsidTr="006F7439">
        <w:tc>
          <w:tcPr>
            <w:tcW w:w="1129" w:type="dxa"/>
            <w:vAlign w:val="center"/>
          </w:tcPr>
          <w:p w14:paraId="2125ED67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砂浆找平层</w:t>
            </w:r>
          </w:p>
        </w:tc>
        <w:tc>
          <w:tcPr>
            <w:tcW w:w="7365" w:type="dxa"/>
            <w:vAlign w:val="center"/>
          </w:tcPr>
          <w:p w14:paraId="47114975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水泥砂浆找平层直接抹在屋面板上，不必找坡。</w:t>
            </w:r>
          </w:p>
        </w:tc>
      </w:tr>
      <w:tr w:rsidR="00D559BD" w:rsidRPr="00D559BD" w14:paraId="2B5D5D43" w14:textId="77777777" w:rsidTr="006F7439">
        <w:tc>
          <w:tcPr>
            <w:tcW w:w="1129" w:type="dxa"/>
            <w:vAlign w:val="center"/>
          </w:tcPr>
          <w:p w14:paraId="7C3882E2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保温层</w:t>
            </w:r>
          </w:p>
        </w:tc>
        <w:tc>
          <w:tcPr>
            <w:tcW w:w="7365" w:type="dxa"/>
            <w:vAlign w:val="center"/>
          </w:tcPr>
          <w:p w14:paraId="1F0203ED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保温层首先要轻，堆积密度不大于１００ｋｇ/ｍ３。宜选用１８ｋｇ/ｍ３的聚苯板、硬质发泡聚氨酯。</w:t>
            </w:r>
          </w:p>
        </w:tc>
      </w:tr>
      <w:tr w:rsidR="00D559BD" w:rsidRPr="00D559BD" w14:paraId="41F90437" w14:textId="77777777" w:rsidTr="006F7439">
        <w:tc>
          <w:tcPr>
            <w:tcW w:w="1129" w:type="dxa"/>
            <w:vAlign w:val="center"/>
          </w:tcPr>
          <w:p w14:paraId="37CF95BA" w14:textId="77777777" w:rsidR="00D559BD" w:rsidRPr="00D559BD" w:rsidRDefault="00D559BD" w:rsidP="00D559BD">
            <w:pPr>
              <w:spacing w:beforeLines="50" w:before="156" w:afterLines="50" w:after="156"/>
              <w:rPr>
                <w:rFonts w:ascii="FangSong" w:eastAsia="FangSong" w:hAnsi="FangSong" w:cs="Times New Roman"/>
                <w:b/>
                <w:bCs/>
                <w:color w:val="000000"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结构层</w:t>
            </w:r>
          </w:p>
        </w:tc>
        <w:tc>
          <w:tcPr>
            <w:tcW w:w="7365" w:type="dxa"/>
            <w:vAlign w:val="center"/>
          </w:tcPr>
          <w:p w14:paraId="31AFD7DD" w14:textId="77777777" w:rsidR="00D559BD" w:rsidRPr="00D559BD" w:rsidRDefault="00D559BD" w:rsidP="00D559BD">
            <w:pPr>
              <w:spacing w:beforeLines="50" w:before="156" w:afterLines="50" w:after="156"/>
              <w:ind w:firstLineChars="200" w:firstLine="361"/>
              <w:jc w:val="left"/>
              <w:rPr>
                <w:rFonts w:ascii="等线" w:eastAsia="FangSong" w:hAnsi="等线" w:cs="Times New Roman"/>
                <w:b/>
                <w:bCs/>
                <w:sz w:val="18"/>
                <w:szCs w:val="18"/>
              </w:rPr>
            </w:pPr>
            <w:r w:rsidRPr="00D559BD">
              <w:rPr>
                <w:rFonts w:ascii="FangSong" w:eastAsia="FangSong" w:hAnsi="FangSong" w:cs="Times New Roman" w:hint="eastAsia"/>
                <w:b/>
                <w:bCs/>
                <w:color w:val="000000"/>
                <w:sz w:val="18"/>
                <w:szCs w:val="18"/>
              </w:rPr>
              <w:t>种植屋面的屋面板最好是现浇钢筋混凝土板，要充分考虑屋顶覆土、植物以及雨雪水荷载。</w:t>
            </w:r>
          </w:p>
        </w:tc>
      </w:tr>
    </w:tbl>
    <w:p w14:paraId="03EE3A0A" w14:textId="77777777" w:rsidR="00B27B04" w:rsidRPr="00D559BD" w:rsidRDefault="00B27B04"/>
    <w:sectPr w:rsidR="00B27B04" w:rsidRPr="00D5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0CAC3" w14:textId="77777777" w:rsidR="0003405A" w:rsidRDefault="0003405A" w:rsidP="00D559BD">
      <w:r>
        <w:separator/>
      </w:r>
    </w:p>
  </w:endnote>
  <w:endnote w:type="continuationSeparator" w:id="0">
    <w:p w14:paraId="64EC2E3D" w14:textId="77777777" w:rsidR="0003405A" w:rsidRDefault="0003405A" w:rsidP="00D5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3683C" w14:textId="77777777" w:rsidR="0003405A" w:rsidRDefault="0003405A" w:rsidP="00D559BD">
      <w:r>
        <w:separator/>
      </w:r>
    </w:p>
  </w:footnote>
  <w:footnote w:type="continuationSeparator" w:id="0">
    <w:p w14:paraId="3D270006" w14:textId="77777777" w:rsidR="0003405A" w:rsidRDefault="0003405A" w:rsidP="00D5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15"/>
    <w:rsid w:val="0003405A"/>
    <w:rsid w:val="0018102E"/>
    <w:rsid w:val="00344A15"/>
    <w:rsid w:val="00B27B04"/>
    <w:rsid w:val="00D468BC"/>
    <w:rsid w:val="00D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4713E"/>
  <w15:chartTrackingRefBased/>
  <w15:docId w15:val="{198BE819-73B8-4057-A7C1-1171CF2E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9BD"/>
    <w:rPr>
      <w:sz w:val="18"/>
      <w:szCs w:val="18"/>
    </w:rPr>
  </w:style>
  <w:style w:type="table" w:styleId="a7">
    <w:name w:val="Table Grid"/>
    <w:basedOn w:val="a1"/>
    <w:uiPriority w:val="39"/>
    <w:rsid w:val="00D559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杰文</dc:creator>
  <cp:keywords/>
  <dc:description/>
  <cp:lastModifiedBy>邓 杰文</cp:lastModifiedBy>
  <cp:revision>5</cp:revision>
  <dcterms:created xsi:type="dcterms:W3CDTF">2021-03-07T07:17:00Z</dcterms:created>
  <dcterms:modified xsi:type="dcterms:W3CDTF">2021-03-07T07:21:00Z</dcterms:modified>
</cp:coreProperties>
</file>