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邢远长村工业园绿色建筑改造</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2021年02月28日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邢远长村工业园绿色建筑改造</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02</w:t>
            </w:r>
          </w:p>
        </w:tc>
        <w:tc>
          <w:tcPr>
            <w:vAlign w:val="center"/>
          </w:tcPr>
          <w:p>
            <w:pPr>
              <w:jc w:val="center"/>
              <w:rPr>
                <w:rFonts w:hint="default" w:eastAsia="宋体"/>
                <w:lang w:val="en-US" w:eastAsia="zh-CN"/>
              </w:rPr>
            </w:pPr>
            <w:r>
              <w:rPr>
                <w:rFonts w:hint="eastAsia"/>
                <w:lang w:val="en-US" w:eastAsia="zh-CN"/>
              </w:rPr>
              <w:t>学生中心</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03</w:t>
            </w:r>
          </w:p>
        </w:tc>
        <w:tc>
          <w:tcPr>
            <w:vAlign w:val="center"/>
          </w:tcPr>
          <w:p>
            <w:pPr>
              <w:jc w:val="center"/>
              <w:rPr>
                <w:rFonts w:hint="eastAsia" w:eastAsia="宋体"/>
                <w:lang w:val="en-US" w:eastAsia="zh-CN"/>
              </w:rPr>
            </w:pPr>
            <w:r>
              <w:rPr>
                <w:rFonts w:hint="eastAsia"/>
                <w:lang w:val="en-US" w:eastAsia="zh-CN"/>
              </w:rPr>
              <w:t>教学楼</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04</w:t>
            </w:r>
          </w:p>
        </w:tc>
        <w:tc>
          <w:tcPr>
            <w:vAlign w:val="center"/>
          </w:tcPr>
          <w:p>
            <w:pPr>
              <w:jc w:val="center"/>
              <w:rPr>
                <w:rFonts w:hint="eastAsia" w:eastAsia="宋体"/>
                <w:lang w:val="en-US" w:eastAsia="zh-CN"/>
              </w:rPr>
            </w:pPr>
            <w:r>
              <w:rPr>
                <w:rFonts w:hint="eastAsia"/>
                <w:lang w:val="en-US" w:eastAsia="zh-CN"/>
              </w:rPr>
              <w:t>教学楼</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05</w:t>
            </w:r>
          </w:p>
        </w:tc>
        <w:tc>
          <w:tcPr>
            <w:vAlign w:val="center"/>
          </w:tcPr>
          <w:p>
            <w:pPr>
              <w:jc w:val="center"/>
              <w:rPr>
                <w:rFonts w:hint="eastAsia" w:eastAsia="宋体"/>
                <w:lang w:val="en-US" w:eastAsia="zh-CN"/>
              </w:rPr>
            </w:pPr>
            <w:r>
              <w:rPr>
                <w:rFonts w:hint="eastAsia"/>
                <w:lang w:val="en-US" w:eastAsia="zh-CN"/>
              </w:rPr>
              <w:t>宿舍</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06</w:t>
            </w:r>
          </w:p>
        </w:tc>
        <w:tc>
          <w:tcPr>
            <w:vAlign w:val="center"/>
          </w:tcPr>
          <w:p>
            <w:pPr>
              <w:jc w:val="center"/>
              <w:rPr>
                <w:rFonts w:hint="eastAsia" w:eastAsia="宋体"/>
                <w:lang w:val="en-US" w:eastAsia="zh-CN"/>
              </w:rPr>
            </w:pPr>
            <w:r>
              <w:rPr>
                <w:rFonts w:hint="eastAsia"/>
                <w:lang w:val="en-US" w:eastAsia="zh-CN"/>
              </w:rPr>
              <w:t>食堂</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0</w:t>
            </w:r>
          </w:p>
        </w:tc>
        <w:tc>
          <w:tcPr>
            <w:vAlign w:val="center"/>
          </w:tcPr>
          <w:p>
            <w:pPr>
              <w:jc w:val="center"/>
            </w:pPr>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5" w:hRule="atLeast"/>
        </w:trPr>
        <w:tc>
          <w:tcPr>
            <w:vAlign w:val="center"/>
          </w:tcPr>
          <w:p>
            <w:pPr>
              <w:jc w:val="center"/>
            </w:pPr>
            <w:r>
              <w:t>07</w:t>
            </w:r>
          </w:p>
        </w:tc>
        <w:tc>
          <w:tcPr>
            <w:vAlign w:val="center"/>
          </w:tcPr>
          <w:p>
            <w:pPr>
              <w:jc w:val="center"/>
              <w:rPr>
                <w:rFonts w:hint="eastAsia" w:eastAsia="宋体"/>
                <w:lang w:val="en-US" w:eastAsia="zh-CN"/>
              </w:rPr>
            </w:pPr>
            <w:r>
              <w:rPr>
                <w:rFonts w:hint="eastAsia"/>
                <w:lang w:val="en-US" w:eastAsia="zh-CN"/>
              </w:rPr>
              <w:t>宿舍</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08</w:t>
            </w:r>
          </w:p>
        </w:tc>
        <w:tc>
          <w:tcPr>
            <w:vAlign w:val="center"/>
          </w:tcPr>
          <w:p>
            <w:pPr>
              <w:jc w:val="center"/>
              <w:rPr>
                <w:rFonts w:hint="default" w:eastAsia="宋体"/>
                <w:lang w:val="en-US" w:eastAsia="zh-CN"/>
              </w:rPr>
            </w:pPr>
            <w:r>
              <w:rPr>
                <w:rFonts w:hint="eastAsia"/>
                <w:lang w:val="en-US" w:eastAsia="zh-CN"/>
              </w:rPr>
              <w:t>宿舍</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09</w:t>
            </w:r>
          </w:p>
        </w:tc>
        <w:tc>
          <w:tcPr>
            <w:vAlign w:val="center"/>
          </w:tcPr>
          <w:p>
            <w:pPr>
              <w:jc w:val="center"/>
              <w:rPr>
                <w:rFonts w:hint="default" w:eastAsia="宋体"/>
                <w:lang w:val="en-US" w:eastAsia="zh-CN"/>
              </w:rPr>
            </w:pPr>
            <w:r>
              <w:rPr>
                <w:rFonts w:hint="eastAsia"/>
                <w:lang w:val="en-US" w:eastAsia="zh-CN"/>
              </w:rPr>
              <w:t>食堂</w:t>
            </w:r>
          </w:p>
        </w:tc>
        <w:tc>
          <w:tcPr>
            <w:vAlign w:val="center"/>
          </w:tcPr>
          <w:p>
            <w:pPr>
              <w:jc w:val="center"/>
              <w:rPr>
                <w:rFonts w:hint="default" w:eastAsia="宋体"/>
                <w:lang w:val="en-US" w:eastAsia="zh-CN"/>
              </w:rPr>
            </w:pPr>
            <w:r>
              <w:rPr>
                <w:rFonts w:hint="eastAsia"/>
                <w:lang w:val="en-US" w:eastAsia="zh-CN"/>
              </w:rPr>
              <w:t>3</w:t>
            </w:r>
          </w:p>
        </w:tc>
        <w:tc>
          <w:tcPr>
            <w:vAlign w:val="center"/>
          </w:tcPr>
          <w:p>
            <w:pPr>
              <w:jc w:val="center"/>
            </w:pPr>
            <w:r>
              <w:t>0</w:t>
            </w:r>
          </w:p>
        </w:tc>
        <w:tc>
          <w:tcPr>
            <w:vAlign w:val="center"/>
          </w:tcPr>
          <w:p>
            <w:pPr>
              <w:jc w:val="center"/>
            </w:pPr>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center"/>
              <w:rPr>
                <w:rFonts w:hint="eastAsia" w:eastAsia="宋体"/>
                <w:lang w:val="en-US" w:eastAsia="zh-CN"/>
              </w:rPr>
            </w:pPr>
            <w:r>
              <w:rPr>
                <w:rFonts w:hint="eastAsia"/>
                <w:lang w:val="en-US" w:eastAsia="zh-CN"/>
              </w:rPr>
              <w:t>行政楼</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9" w:hRule="atLeast"/>
        </w:trPr>
        <w:tc>
          <w:tcPr>
            <w:vAlign w:val="center"/>
          </w:tcPr>
          <w:p>
            <w:pPr>
              <w:jc w:val="center"/>
            </w:pPr>
            <w:r>
              <w:t>11</w:t>
            </w:r>
          </w:p>
        </w:tc>
        <w:tc>
          <w:tcPr>
            <w:vAlign w:val="center"/>
          </w:tcPr>
          <w:p>
            <w:pPr>
              <w:jc w:val="center"/>
              <w:rPr>
                <w:rFonts w:hint="default" w:eastAsia="宋体"/>
                <w:lang w:val="en-US" w:eastAsia="zh-CN"/>
              </w:rPr>
            </w:pPr>
            <w:r>
              <w:rPr>
                <w:rFonts w:hint="eastAsia"/>
                <w:lang w:val="en-US" w:eastAsia="zh-CN"/>
              </w:rPr>
              <w:t>实训楼</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120</w:t>
            </w:r>
          </w:p>
        </w:tc>
        <w:tc>
          <w:tcPr>
            <w:vAlign w:val="center"/>
          </w:tcPr>
          <w:p>
            <w:pPr>
              <w:jc w:val="center"/>
            </w:pPr>
            <w:r>
              <w:t>19.8</w:t>
            </w:r>
          </w:p>
        </w:tc>
      </w:tr>
    </w:tbl>
    <w:p/>
    <w:p>
      <w:pPr>
        <w:spacing w:line="440" w:lineRule="exact"/>
        <w:rPr>
          <w:rFonts w:hint="eastAsia" w:ascii="宋体" w:hAnsi="宋体" w:cs="宋体"/>
          <w:b/>
          <w:bCs/>
          <w:color w:val="000000"/>
          <w:sz w:val="24"/>
          <w:szCs w:val="32"/>
        </w:rPr>
      </w:pPr>
      <w:bookmarkStart w:id="22" w:name="基地内拟建建筑"/>
      <w:bookmarkEnd w:id="22"/>
    </w:p>
    <w:p>
      <w:pPr>
        <w:numPr>
          <w:ilvl w:val="0"/>
          <w:numId w:val="1"/>
        </w:numPr>
        <w:spacing w:line="440" w:lineRule="exact"/>
        <w:rPr>
          <w:rFonts w:hint="eastAsia" w:ascii="宋体" w:hAnsi="宋体" w:cs="宋体"/>
          <w:b/>
          <w:bCs/>
          <w:sz w:val="24"/>
          <w:szCs w:val="32"/>
        </w:rPr>
      </w:pP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240" w:lineRule="auto"/>
        <w:rPr>
          <w:rFonts w:hint="eastAsia" w:ascii="宋体" w:hAnsi="宋体" w:cs="宋体"/>
          <w:b/>
          <w:bCs/>
          <w:color w:val="000000"/>
          <w:sz w:val="24"/>
          <w:szCs w:val="32"/>
        </w:rPr>
      </w:pPr>
      <w:r>
        <w:rPr>
          <w:rFonts w:hint="eastAsia" w:ascii="宋体" w:hAnsi="宋体" w:cs="宋体"/>
          <w:b/>
          <w:bCs/>
          <w:sz w:val="24"/>
          <w:szCs w:val="32"/>
        </w:rPr>
        <w:tab/>
      </w:r>
      <w:bookmarkStart w:id="24" w:name="基地外阴影分析范围内的客体建筑"/>
      <w:bookmarkEnd w:id="24"/>
      <w:r>
        <w:rPr>
          <w:rFonts w:hint="eastAsia" w:ascii="宋体" w:hAnsi="宋体" w:eastAsia="宋体" w:cs="宋体"/>
          <w:b/>
          <w:bCs/>
          <w:sz w:val="24"/>
          <w:szCs w:val="32"/>
          <w:lang w:eastAsia="zh-CN"/>
        </w:rPr>
        <w:drawing>
          <wp:inline distT="0" distB="0" distL="114300" distR="114300">
            <wp:extent cx="4438650" cy="4457065"/>
            <wp:effectExtent l="0" t="0" r="11430" b="8255"/>
            <wp:docPr id="6" name="图片 6" descr="QQ截图202103011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10301102121"/>
                    <pic:cNvPicPr>
                      <a:picLocks noChangeAspect="1"/>
                    </pic:cNvPicPr>
                  </pic:nvPicPr>
                  <pic:blipFill>
                    <a:blip r:embed="rId7"/>
                    <a:stretch>
                      <a:fillRect/>
                    </a:stretch>
                  </pic:blipFill>
                  <pic:spPr>
                    <a:xfrm>
                      <a:off x="0" y="0"/>
                      <a:ext cx="4438650" cy="4457065"/>
                    </a:xfrm>
                    <a:prstGeom prst="rect">
                      <a:avLst/>
                    </a:prstGeom>
                  </pic:spPr>
                </pic:pic>
              </a:graphicData>
            </a:graphic>
          </wp:inline>
        </w:drawing>
      </w:r>
      <w:r>
        <w:rPr>
          <w:rFonts w:hint="eastAsia" w:ascii="宋体" w:hAnsi="宋体"/>
          <w:b/>
          <w:sz w:val="24"/>
        </w:rPr>
        <w:tab/>
      </w:r>
      <w:r>
        <w:rPr>
          <w:rFonts w:hint="eastAsia" w:ascii="宋体" w:hAnsi="宋体"/>
          <w:b/>
          <w:sz w:val="24"/>
        </w:rPr>
        <w:tab/>
      </w:r>
      <w:bookmarkStart w:id="25" w:name="基地外参与叠加分析的主体建筑"/>
      <w:bookmarkEnd w:id="25"/>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2"/>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2"/>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2"/>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3"/>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3"/>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3"/>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3"/>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bookmarkStart w:id="28" w:name="_GoBack"/>
      <w:bookmarkEnd w:id="28"/>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2～3</w:t>
            </w:r>
          </w:p>
        </w:tc>
        <w:tc>
          <w:tcPr>
            <w:vAlign w:val="center"/>
          </w:tcPr>
          <w:p>
            <w:pPr>
              <w:jc w:val="center"/>
            </w:pPr>
            <w:r>
              <w:t>0.90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0.90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10～23</w:t>
            </w:r>
          </w:p>
        </w:tc>
        <w:tc>
          <w:tcPr>
            <w:vAlign w:val="center"/>
          </w:tcPr>
          <w:p>
            <w:pPr>
              <w:jc w:val="center"/>
            </w:pPr>
            <w:r>
              <w:t>0.90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24～25</w:t>
            </w:r>
          </w:p>
        </w:tc>
        <w:tc>
          <w:tcPr>
            <w:vAlign w:val="center"/>
          </w:tcPr>
          <w:p>
            <w:pPr>
              <w:jc w:val="center"/>
            </w:pPr>
            <w:r>
              <w:t>0.90</w:t>
            </w:r>
          </w:p>
        </w:tc>
        <w:tc>
          <w:tcPr>
            <w:vAlign w:val="center"/>
          </w:tcPr>
          <w:p>
            <w:pPr>
              <w:jc w:val="center"/>
            </w:pPr>
            <w:r>
              <w:t>08:00～11:37</w:t>
            </w:r>
          </w:p>
        </w:tc>
        <w:tc>
          <w:tcPr>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1～2</w:t>
            </w:r>
          </w:p>
        </w:tc>
        <w:tc>
          <w:tcPr>
            <w:vAlign w:val="center"/>
          </w:tcPr>
          <w:p>
            <w:pPr>
              <w:jc w:val="center"/>
            </w:pPr>
            <w:r>
              <w:t>6.30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6.30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6.30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5～13</w:t>
            </w:r>
          </w:p>
        </w:tc>
        <w:tc>
          <w:tcPr>
            <w:vAlign w:val="center"/>
          </w:tcPr>
          <w:p>
            <w:pPr>
              <w:jc w:val="center"/>
            </w:pPr>
            <w:r>
              <w:t>6.30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14～15</w:t>
            </w:r>
          </w:p>
        </w:tc>
        <w:tc>
          <w:tcPr>
            <w:vAlign w:val="center"/>
          </w:tcPr>
          <w:p>
            <w:pPr>
              <w:jc w:val="center"/>
            </w:pPr>
            <w:r>
              <w:t>6.30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16～17</w:t>
            </w:r>
          </w:p>
        </w:tc>
        <w:tc>
          <w:tcPr>
            <w:vAlign w:val="center"/>
          </w:tcPr>
          <w:p>
            <w:pPr>
              <w:jc w:val="center"/>
            </w:pPr>
            <w:r>
              <w:t>6.30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6.30</w:t>
            </w:r>
          </w:p>
        </w:tc>
        <w:tc>
          <w:tcPr>
            <w:vAlign w:val="center"/>
          </w:tcPr>
          <w:p>
            <w:pPr>
              <w:jc w:val="center"/>
            </w:pPr>
            <w:r>
              <w:t>08:00～11:37</w:t>
            </w:r>
          </w:p>
        </w:tc>
        <w:tc>
          <w:tcPr>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3～4</w:t>
            </w:r>
          </w:p>
        </w:tc>
        <w:tc>
          <w:tcPr>
            <w:vAlign w:val="center"/>
          </w:tcPr>
          <w:p>
            <w:pPr>
              <w:jc w:val="center"/>
            </w:pPr>
            <w:r>
              <w:t>9.90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9.90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7～12,14～15</w:t>
            </w:r>
          </w:p>
        </w:tc>
        <w:tc>
          <w:tcPr>
            <w:vAlign w:val="center"/>
          </w:tcPr>
          <w:p>
            <w:pPr>
              <w:jc w:val="center"/>
            </w:pPr>
            <w:r>
              <w:t>9.90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20,23</w:t>
            </w:r>
          </w:p>
        </w:tc>
        <w:tc>
          <w:tcPr>
            <w:vAlign w:val="center"/>
          </w:tcPr>
          <w:p>
            <w:pPr>
              <w:jc w:val="center"/>
            </w:pPr>
            <w:r>
              <w:t>9.90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24,26</w:t>
            </w:r>
          </w:p>
        </w:tc>
        <w:tc>
          <w:tcPr>
            <w:vAlign w:val="center"/>
          </w:tcPr>
          <w:p>
            <w:pPr>
              <w:jc w:val="center"/>
            </w:pPr>
            <w:r>
              <w:t>9.90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9.90</w:t>
            </w:r>
          </w:p>
        </w:tc>
        <w:tc>
          <w:tcPr>
            <w:vAlign w:val="center"/>
          </w:tcPr>
          <w:p>
            <w:pPr>
              <w:jc w:val="center"/>
            </w:pPr>
            <w:r>
              <w:t>08:00～11:37</w:t>
            </w:r>
          </w:p>
        </w:tc>
        <w:tc>
          <w:tcPr>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31,33～34</w:t>
            </w:r>
          </w:p>
        </w:tc>
        <w:tc>
          <w:tcPr>
            <w:vAlign w:val="center"/>
          </w:tcPr>
          <w:p>
            <w:pPr>
              <w:jc w:val="center"/>
            </w:pPr>
            <w:r>
              <w:t>9.90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9.90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9.90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1～2</w:t>
            </w:r>
          </w:p>
        </w:tc>
        <w:tc>
          <w:tcPr>
            <w:vAlign w:val="center"/>
          </w:tcPr>
          <w:p>
            <w:pPr>
              <w:jc w:val="center"/>
            </w:pPr>
            <w:r>
              <w:t>13.50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13.50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4～12</w:t>
            </w:r>
          </w:p>
        </w:tc>
        <w:tc>
          <w:tcPr>
            <w:vAlign w:val="center"/>
          </w:tcPr>
          <w:p>
            <w:pPr>
              <w:jc w:val="center"/>
            </w:pPr>
            <w:r>
              <w:t>13.50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13.50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13.50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16～17</w:t>
            </w:r>
          </w:p>
        </w:tc>
        <w:tc>
          <w:tcPr>
            <w:vAlign w:val="center"/>
          </w:tcPr>
          <w:p>
            <w:pPr>
              <w:jc w:val="center"/>
            </w:pPr>
            <w:r>
              <w:t>13.50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18～19</w:t>
            </w:r>
          </w:p>
        </w:tc>
        <w:tc>
          <w:tcPr>
            <w:vAlign w:val="center"/>
          </w:tcPr>
          <w:p>
            <w:pPr>
              <w:jc w:val="center"/>
            </w:pPr>
            <w:r>
              <w:t>13.50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20～21</w:t>
            </w:r>
          </w:p>
        </w:tc>
        <w:tc>
          <w:tcPr>
            <w:vAlign w:val="center"/>
          </w:tcPr>
          <w:p>
            <w:pPr>
              <w:jc w:val="center"/>
            </w:pPr>
            <w:r>
              <w:t>13.50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w:t>
            </w:r>
          </w:p>
        </w:tc>
        <w:tc>
          <w:tcPr>
            <w:vAlign w:val="center"/>
          </w:tcPr>
          <w:p>
            <w:pPr>
              <w:jc w:val="center"/>
            </w:pPr>
            <w:r>
              <w:t>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17.10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3～8,10</w:t>
            </w:r>
          </w:p>
        </w:tc>
        <w:tc>
          <w:tcPr>
            <w:vAlign w:val="center"/>
          </w:tcPr>
          <w:p>
            <w:pPr>
              <w:jc w:val="center"/>
            </w:pPr>
            <w:r>
              <w:t>17.10</w:t>
            </w:r>
          </w:p>
        </w:tc>
        <w:tc>
          <w:tcPr>
            <w:vAlign w:val="center"/>
          </w:tcPr>
          <w:p>
            <w:pPr>
              <w:jc w:val="center"/>
            </w:pPr>
            <w:r>
              <w:t>11:35～16:00</w:t>
            </w:r>
          </w:p>
        </w:tc>
        <w:tc>
          <w:tcPr>
            <w:vAlign w:val="center"/>
          </w:tcPr>
          <w:p>
            <w:pPr>
              <w:jc w:val="center"/>
            </w:pPr>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11～12</w:t>
            </w:r>
          </w:p>
        </w:tc>
        <w:tc>
          <w:tcPr>
            <w:vAlign w:val="center"/>
          </w:tcPr>
          <w:p>
            <w:pPr>
              <w:jc w:val="center"/>
            </w:pPr>
            <w:r>
              <w:t>17.10</w:t>
            </w:r>
          </w:p>
        </w:tc>
        <w:tc>
          <w:tcPr>
            <w:vAlign w:val="center"/>
          </w:tcPr>
          <w:p>
            <w:pPr>
              <w:jc w:val="center"/>
            </w:pPr>
            <w:r>
              <w:t>08:00～11:36</w:t>
            </w:r>
          </w:p>
        </w:tc>
        <w:tc>
          <w:tcPr>
            <w:vAlign w:val="center"/>
          </w:tcPr>
          <w:p>
            <w:pPr>
              <w:jc w:val="center"/>
            </w:pPr>
            <w:r>
              <w:t>03:36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17.10</w:t>
            </w:r>
          </w:p>
        </w:tc>
        <w:tc>
          <w:tcPr>
            <w:vAlign w:val="center"/>
          </w:tcPr>
          <w:p>
            <w:pPr>
              <w:jc w:val="center"/>
            </w:pPr>
            <w:r>
              <w:t>11:35～16:00</w:t>
            </w:r>
          </w:p>
        </w:tc>
        <w:tc>
          <w:tcPr>
            <w:vAlign w:val="center"/>
          </w:tcPr>
          <w:p>
            <w:pPr>
              <w:jc w:val="center"/>
            </w:pPr>
            <w:r>
              <w:t>04:25</w:t>
            </w:r>
          </w:p>
        </w:tc>
      </w:tr>
    </w:tbl>
    <w:p/>
    <w:p>
      <w:pPr>
        <w:spacing w:line="360" w:lineRule="auto"/>
        <w:rPr>
          <w:rFonts w:hint="eastAsia" w:ascii="宋体" w:hAnsi="宋体"/>
          <w:sz w:val="22"/>
        </w:rPr>
      </w:pPr>
      <w:bookmarkStart w:id="26" w:name="ANALYSE_TABLE"/>
      <w:bookmarkEnd w:id="26"/>
      <w:bookmarkStart w:id="27" w:name="窗照分析表"/>
      <w:bookmarkEnd w:id="27"/>
    </w:p>
    <w:p>
      <w:pPr>
        <w:spacing w:line="360" w:lineRule="auto"/>
        <w:rPr>
          <w:rFonts w:hint="eastAsia" w:ascii="宋体" w:hAnsi="宋体"/>
          <w:sz w:val="22"/>
        </w:rPr>
      </w:pPr>
      <w:r>
        <w:rPr>
          <w:rFonts w:hint="eastAsia" w:ascii="宋体" w:hAnsi="宋体"/>
          <w:sz w:val="22"/>
        </w:rPr>
        <w:t>注 释：</w:t>
      </w:r>
    </w:p>
    <w:p>
      <w:pPr>
        <w:numPr>
          <w:ilvl w:val="0"/>
          <w:numId w:val="4"/>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4"/>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4"/>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4"/>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4"/>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line="360" w:lineRule="auto"/>
        <w:ind w:firstLine="465"/>
        <w:rPr>
          <w:rFonts w:ascii="宋体" w:hAnsi="宋体"/>
          <w:sz w:val="24"/>
        </w:rPr>
      </w:pP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D676"/>
    <w:multiLevelType w:val="singleLevel"/>
    <w:tmpl w:val="8B83D676"/>
    <w:lvl w:ilvl="0" w:tentative="0">
      <w:start w:val="3"/>
      <w:numFmt w:val="chineseCounting"/>
      <w:suff w:val="nothing"/>
      <w:lvlText w:val="（%1）"/>
      <w:lvlJc w:val="left"/>
      <w:rPr>
        <w:rFonts w:hint="eastAsia"/>
      </w:rPr>
    </w:lvl>
  </w:abstractNum>
  <w:abstractNum w:abstractNumId="1">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17AE"/>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168F17AE"/>
    <w:rsid w:val="327D0D47"/>
    <w:rsid w:val="7A1D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Pages>6</Pages>
  <Words>2059</Words>
  <Characters>2772</Characters>
  <Lines>17</Lines>
  <Paragraphs>5</Paragraphs>
  <TotalTime>7</TotalTime>
  <ScaleCrop>false</ScaleCrop>
  <LinksUpToDate>false</LinksUpToDate>
  <CharactersWithSpaces>3377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2021-02-28T15:19:00Z</dcterms:created>
  <dc:creator>Hudey</dc:creator>
  <cp:lastModifiedBy>Hudey</cp:lastModifiedBy>
  <dcterms:modified xsi:type="dcterms:W3CDTF">2021-03-01T02:24:24Z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