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hint="eastAsia"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既有建筑绿色改造</w:t>
            </w:r>
            <w:bookmarkStart w:id="72" w:name="_GoBack"/>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2021年01月04日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855"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855"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北京绿建软件有限公司</w:t>
            </w:r>
          </w:p>
          <w:p>
            <w:pPr>
              <w:spacing w:line="240" w:lineRule="auto"/>
              <w:jc w:val="both"/>
              <w:rPr>
                <w:rFonts w:ascii="宋体" w:hAnsi="宋体"/>
                <w:szCs w:val="18"/>
              </w:rPr>
            </w:pPr>
            <w:r>
              <w:rPr>
                <w:rFonts w:hint="eastAsia" w:ascii="宋体" w:hAnsi="宋体"/>
                <w:szCs w:val="18"/>
              </w:rPr>
              <w:t>深圳市斯维尔科技有限公司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_Toc17105 </w:instrText>
      </w:r>
      <w:r>
        <w:rPr>
          <w:rFonts w:ascii="宋体" w:hAnsi="宋体"/>
          <w:bCs w:val="0"/>
          <w:caps/>
        </w:rPr>
        <w:fldChar w:fldCharType="separate"/>
      </w:r>
      <w:r>
        <w:rPr>
          <w:rFonts w:hint="eastAsia"/>
        </w:rPr>
        <w:t>1 项目概况</w:t>
      </w:r>
      <w:r>
        <w:tab/>
      </w:r>
      <w:r>
        <w:fldChar w:fldCharType="begin"/>
      </w:r>
      <w:r>
        <w:instrText xml:space="preserve"> PAGEREF _Toc17105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_Toc13192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_Toc13192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_Toc4002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_Toc4002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_Toc24134 </w:instrText>
      </w:r>
      <w:r>
        <w:fldChar w:fldCharType="separate"/>
      </w:r>
      <w:r>
        <w:rPr>
          <w:rFonts w:hint="eastAsia"/>
        </w:rPr>
        <w:t>2 计算</w:t>
      </w:r>
      <w:r>
        <w:t>依据</w:t>
      </w:r>
      <w:r>
        <w:tab/>
      </w:r>
      <w:r>
        <w:fldChar w:fldCharType="begin"/>
      </w:r>
      <w:r>
        <w:instrText xml:space="preserve"> PAGEREF _Toc24134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_Toc16503 </w:instrText>
      </w:r>
      <w:r>
        <w:fldChar w:fldCharType="separate"/>
      </w:r>
      <w:r>
        <w:rPr>
          <w:rFonts w:hint="eastAsia"/>
        </w:rPr>
        <w:t>3 参考</w:t>
      </w:r>
      <w:r>
        <w:t>标准</w:t>
      </w:r>
      <w:r>
        <w:tab/>
      </w:r>
      <w:r>
        <w:fldChar w:fldCharType="begin"/>
      </w:r>
      <w:r>
        <w:instrText xml:space="preserve"> PAGEREF _Toc16503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_Toc2748 </w:instrText>
      </w:r>
      <w:r>
        <w:fldChar w:fldCharType="separate"/>
      </w:r>
      <w:r>
        <w:rPr>
          <w:rFonts w:hint="eastAsia"/>
        </w:rPr>
        <w:t>4 计算原理</w:t>
      </w:r>
      <w:r>
        <w:tab/>
      </w:r>
      <w:r>
        <w:fldChar w:fldCharType="begin"/>
      </w:r>
      <w:r>
        <w:instrText xml:space="preserve"> PAGEREF _Toc2748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_Toc2002 </w:instrText>
      </w:r>
      <w:r>
        <w:fldChar w:fldCharType="separate"/>
      </w:r>
      <w:r>
        <w:rPr>
          <w:rFonts w:hint="eastAsia"/>
          <w:lang w:val="en-GB"/>
        </w:rPr>
        <w:t xml:space="preserve">4.1 </w:t>
      </w:r>
      <w:r>
        <w:rPr>
          <w:rFonts w:hint="eastAsia"/>
        </w:rPr>
        <w:t>风场计算域</w:t>
      </w:r>
      <w:r>
        <w:tab/>
      </w:r>
      <w:r>
        <w:fldChar w:fldCharType="begin"/>
      </w:r>
      <w:r>
        <w:instrText xml:space="preserve"> PAGEREF _Toc2002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_Toc12687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_Toc12687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_Toc29514 </w:instrText>
      </w:r>
      <w:r>
        <w:fldChar w:fldCharType="separate"/>
      </w:r>
      <w:r>
        <w:rPr>
          <w:rFonts w:hint="eastAsia"/>
          <w:lang w:val="en-GB"/>
        </w:rPr>
        <w:t xml:space="preserve">4.2 </w:t>
      </w:r>
      <w:r>
        <w:rPr>
          <w:rFonts w:hint="eastAsia"/>
        </w:rPr>
        <w:t>网格划分</w:t>
      </w:r>
      <w:r>
        <w:tab/>
      </w:r>
      <w:r>
        <w:fldChar w:fldCharType="begin"/>
      </w:r>
      <w:r>
        <w:instrText xml:space="preserve"> PAGEREF _Toc29514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_Toc19318 </w:instrText>
      </w:r>
      <w:r>
        <w:fldChar w:fldCharType="separate"/>
      </w:r>
      <w:r>
        <w:rPr>
          <w:rFonts w:hint="eastAsia"/>
          <w:lang w:val="en-GB"/>
        </w:rPr>
        <w:t xml:space="preserve">4.3 </w:t>
      </w:r>
      <w:r>
        <w:rPr>
          <w:rFonts w:hint="eastAsia"/>
        </w:rPr>
        <w:t>边界条件</w:t>
      </w:r>
      <w:r>
        <w:tab/>
      </w:r>
      <w:r>
        <w:fldChar w:fldCharType="begin"/>
      </w:r>
      <w:r>
        <w:instrText xml:space="preserve"> PAGEREF _Toc19318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_Toc7241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_Toc7241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_Toc18812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_Toc18812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_Toc8148 </w:instrText>
      </w:r>
      <w:r>
        <w:fldChar w:fldCharType="separate"/>
      </w:r>
      <w:r>
        <w:rPr>
          <w:rFonts w:hint="eastAsia"/>
          <w:lang w:val="en-GB"/>
        </w:rPr>
        <w:t xml:space="preserve">4.4 </w:t>
      </w:r>
      <w:r>
        <w:rPr>
          <w:rFonts w:hint="eastAsia"/>
        </w:rPr>
        <w:t>湍流模型</w:t>
      </w:r>
      <w:r>
        <w:tab/>
      </w:r>
      <w:r>
        <w:fldChar w:fldCharType="begin"/>
      </w:r>
      <w:r>
        <w:instrText xml:space="preserve"> PAGEREF _Toc8148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_Toc3114 </w:instrText>
      </w:r>
      <w:r>
        <w:fldChar w:fldCharType="separate"/>
      </w:r>
      <w:r>
        <w:rPr>
          <w:rFonts w:hint="eastAsia"/>
          <w:lang w:val="en-GB"/>
        </w:rPr>
        <w:t xml:space="preserve">4.5 </w:t>
      </w:r>
      <w:r>
        <w:rPr>
          <w:rFonts w:hint="eastAsia"/>
        </w:rPr>
        <w:t>求解计算</w:t>
      </w:r>
      <w:r>
        <w:tab/>
      </w:r>
      <w:r>
        <w:fldChar w:fldCharType="begin"/>
      </w:r>
      <w:r>
        <w:instrText xml:space="preserve"> PAGEREF _Toc3114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_Toc7549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_Toc7549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_Toc16107 </w:instrText>
      </w:r>
      <w:r>
        <w:fldChar w:fldCharType="separate"/>
      </w:r>
      <w:r>
        <w:rPr>
          <w:rFonts w:hint="eastAsia"/>
        </w:rPr>
        <w:t>5 结果</w:t>
      </w:r>
      <w:r>
        <w:t>分析</w:t>
      </w:r>
      <w:r>
        <w:tab/>
      </w:r>
      <w:r>
        <w:fldChar w:fldCharType="begin"/>
      </w:r>
      <w:r>
        <w:instrText xml:space="preserve"> PAGEREF _Toc16107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_Toc2913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_Toc2913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_Toc5278 </w:instrText>
      </w:r>
      <w:r>
        <w:fldChar w:fldCharType="separate"/>
      </w:r>
      <w:r>
        <w:rPr>
          <w:rFonts w:hint="eastAsia"/>
          <w:lang w:val="en-GB"/>
        </w:rPr>
        <w:t xml:space="preserve">5.2 </w:t>
      </w:r>
      <w:r>
        <w:rPr>
          <w:rFonts w:hint="eastAsia"/>
        </w:rPr>
        <w:t>冬季工况</w:t>
      </w:r>
      <w:r>
        <w:tab/>
      </w:r>
      <w:r>
        <w:fldChar w:fldCharType="begin"/>
      </w:r>
      <w:r>
        <w:instrText xml:space="preserve"> PAGEREF _Toc5278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_Toc22203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_Toc22203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_Toc14808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_Toc14808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_Toc2900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_Toc2900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_Toc214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_Toc214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_Toc4897 </w:instrText>
      </w:r>
      <w:r>
        <w:fldChar w:fldCharType="separate"/>
      </w:r>
      <w:r>
        <w:rPr>
          <w:rFonts w:hint="eastAsia"/>
          <w:lang w:val="en-GB"/>
        </w:rPr>
        <w:t xml:space="preserve">5.3 </w:t>
      </w:r>
      <w:r>
        <w:rPr>
          <w:rFonts w:hint="eastAsia"/>
        </w:rPr>
        <w:t>结论</w:t>
      </w:r>
      <w:r>
        <w:tab/>
      </w:r>
      <w:r>
        <w:fldChar w:fldCharType="begin"/>
      </w:r>
      <w:r>
        <w:instrText xml:space="preserve"> PAGEREF _Toc4897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_Toc12729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_Toc12729 </w:instrText>
      </w:r>
      <w:r>
        <w:fldChar w:fldCharType="separate"/>
      </w:r>
      <w:r>
        <w:t>17</w:t>
      </w:r>
      <w:r>
        <w:fldChar w:fldCharType="end"/>
      </w:r>
      <w:r>
        <w:fldChar w:fldCharType="end"/>
      </w:r>
    </w:p>
    <w:p>
      <w:pPr>
        <w:pStyle w:val="19"/>
        <w:spacing w:line="240" w:lineRule="auto"/>
        <w:sectPr>
          <w:footerReference r:id="rId5" w:type="first"/>
          <w:headerReference r:id="rId3" w:type="default"/>
          <w:footerReference r:id="rId4"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17105"/>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13192"/>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8"/>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4002"/>
      <w:r>
        <w:rPr>
          <w:rFonts w:hint="eastAsia"/>
        </w:rPr>
        <w:t>三</w:t>
      </w:r>
      <w:r>
        <w:t>维视图</w:t>
      </w:r>
      <w:bookmarkEnd w:id="15"/>
      <w:bookmarkEnd w:id="16"/>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9"/>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24134"/>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50378—2014</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16503"/>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50378-2014）中有关室外风环境的条目要求。具体要求如下：</w:t>
      </w:r>
    </w:p>
    <w:p>
      <w:pPr>
        <w:pStyle w:val="3"/>
        <w:ind w:firstLine="420"/>
        <w:rPr>
          <w:lang w:val="en-US"/>
        </w:rPr>
      </w:pPr>
      <w:bookmarkStart w:id="23" w:name="_Toc451436145"/>
      <w:bookmarkStart w:id="24" w:name="_Toc452108764"/>
      <w:bookmarkStart w:id="25" w:name="_Toc451698935"/>
      <w:r>
        <w:rPr>
          <w:rFonts w:hint="eastAsia"/>
          <w:lang w:val="en-US"/>
        </w:rPr>
        <w:t>4.2.6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冬季典型风速和风向条件下，建筑物周围人行区风速低于5m/s，且室外风速放大系数小于2，得2分；除迎风第一排建筑外，建筑迎风面与背风面表面风压差不超过5Pa，得1分。</w:t>
      </w:r>
    </w:p>
    <w:p>
      <w:pPr>
        <w:pStyle w:val="3"/>
        <w:ind w:firstLine="420"/>
        <w:rPr>
          <w:lang w:val="en-US"/>
        </w:rPr>
      </w:pPr>
      <w:r>
        <w:rPr>
          <w:rFonts w:hint="eastAsia"/>
          <w:lang w:val="en-US"/>
        </w:rPr>
        <w:t>2  过渡季、夏季典型风速和风向条件下，场地内人活动区不出现涡旋或无风区，得2分；50%以上可开启外窗室内外表面的风压差大于0.5Pa，得1分。</w:t>
      </w:r>
    </w:p>
    <w:p>
      <w:pPr>
        <w:pStyle w:val="2"/>
      </w:pPr>
      <w:bookmarkStart w:id="26" w:name="_Toc2748"/>
      <w:r>
        <w:rPr>
          <w:rFonts w:hint="eastAsia"/>
        </w:rPr>
        <w:t>计算原理</w:t>
      </w:r>
      <w:bookmarkEnd w:id="26"/>
    </w:p>
    <w:p>
      <w:pPr>
        <w:pStyle w:val="4"/>
        <w:numPr>
          <w:ilvl w:val="1"/>
          <w:numId w:val="3"/>
        </w:numPr>
      </w:pPr>
      <w:bookmarkStart w:id="27" w:name="_Toc2002"/>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12687"/>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120</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0"/>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2"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3" w:name="_Toc29514"/>
      <w:bookmarkStart w:id="34" w:name="_Toc509844741"/>
      <w:r>
        <w:rPr>
          <w:rFonts w:hint="eastAsia"/>
        </w:rPr>
        <w:t>网格划分</w:t>
      </w:r>
      <w:bookmarkEnd w:id="3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5" w:name="OLE_LINK276"/>
      <w:bookmarkStart w:id="36" w:name="OLE_LINK277"/>
      <w:r>
        <w:rPr>
          <w:rFonts w:hint="eastAsia"/>
        </w:rPr>
        <w:t>1）普通网格：指除靠近地面和建筑以外的网格，通常不需要特别加密处理</w:t>
      </w:r>
    </w:p>
    <w:p>
      <w:pPr>
        <w:pStyle w:val="12"/>
        <w:numPr>
          <w:ilvl w:val="0"/>
          <w:numId w:val="4"/>
        </w:numPr>
        <w:spacing w:before="156"/>
      </w:pPr>
      <w:bookmarkStart w:id="37"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766971</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38" w:name="冬季建筑附面层数"/>
            <w:r>
              <w:t>0</w:t>
            </w:r>
          </w:p>
        </w:tc>
      </w:tr>
    </w:tbl>
    <w:p>
      <w:pPr>
        <w:rPr>
          <w:szCs w:val="21"/>
          <w:lang w:val="en-US"/>
        </w:rPr>
      </w:pPr>
    </w:p>
    <w:p>
      <w:pPr>
        <w:pStyle w:val="3"/>
        <w:ind w:firstLine="630" w:firstLineChars="300"/>
        <w:rPr>
          <w:rFonts w:ascii="黑体" w:hAnsi="黑体" w:eastAsia="黑体"/>
          <w:szCs w:val="20"/>
        </w:rPr>
      </w:pPr>
      <w:bookmarkStart w:id="39" w:name="网格划分信息"/>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509844742"/>
      <w:bookmarkStart w:id="41" w:name="_Toc19318"/>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509844743"/>
      <w:bookmarkStart w:id="43" w:name="_Toc7241"/>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0.28</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509844744"/>
      <w:bookmarkStart w:id="46" w:name="_Toc18812"/>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8148"/>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451698939"/>
      <w:bookmarkStart w:id="49" w:name="_Toc452108767"/>
      <w:bookmarkStart w:id="50" w:name="_Toc3114"/>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509844747"/>
      <w:bookmarkStart w:id="54" w:name="_Toc7549"/>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ctrlPr>
                              <w:rPr>
                                <w:rFonts w:ascii="Cambria Math" w:hAnsi="Cambria Math"/>
                                <w:i/>
                                <w:lang w:val="en-US"/>
                              </w:rPr>
                            </m:ctrlPr>
                          </m:e>
                          <m:sup>
                            <m:r>
                              <w:rPr>
                                <w:rFonts w:ascii="Cambria Math" w:hAnsi="Cambria Math"/>
                                <w:lang w:val="en-US"/>
                              </w:rPr>
                              <m:t>'</m:t>
                            </m:r>
                            <m:ctrlPr>
                              <w:rPr>
                                <w:rFonts w:ascii="Cambria Math" w:hAnsi="Cambria Math"/>
                                <w:i/>
                                <w:lang w:val="en-US"/>
                              </w:rPr>
                            </m:ctrlP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1.5f</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ctrlPr>
                              <w:rPr>
                                <w:rFonts w:ascii="Cambria Math" w:hAnsi="Cambria Math"/>
                                <w:i/>
                                <w:lang w:val="en-US"/>
                              </w:rPr>
                            </m:ctrlPr>
                          </m:e>
                          <m:sub>
                            <m: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ctrlPr>
                                      <w:rPr>
                                        <w:rFonts w:ascii="Cambria Math" w:hAnsi="Cambria Math"/>
                                        <w:i/>
                                        <w:lang w:val="en-US"/>
                                      </w:rPr>
                                    </m:ctrlPr>
                                  </m:num>
                                  <m:den>
                                    <m: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59" o:title=""/>
            <o:lock v:ext="edit" aspectratio="t"/>
            <w10:wrap type="none"/>
            <w10:anchorlock/>
          </v:shape>
          <o:OLEObject Type="Embed" ProgID="Equation.3" ShapeID="_x0000_i1028" DrawAspect="Content" ObjectID="_1468075728" r:id="rId58">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1" o:title=""/>
            <o:lock v:ext="edit" aspectratio="t"/>
            <w10:wrap type="none"/>
            <w10:anchorlock/>
          </v:shape>
          <o:OLEObject Type="Embed" ProgID="Equation.3" ShapeID="_x0000_i1029" DrawAspect="Content" ObjectID="_1468075729" r:id="rId60">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3" o:title=""/>
            <o:lock v:ext="edit" aspectratio="t"/>
            <w10:wrap type="none"/>
            <w10:anchorlock/>
          </v:shape>
          <o:OLEObject Type="Embed" ProgID="Equation.3" ShapeID="_x0000_i1030" DrawAspect="Content" ObjectID="_1468075730" r:id="rId62">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5" o:title=""/>
            <o:lock v:ext="edit" aspectratio="t"/>
            <w10:wrap type="none"/>
            <w10:anchorlock/>
          </v:shape>
          <o:OLEObject Type="Embed" ProgID="Equation.3" ShapeID="_x0000_i1031" DrawAspect="Content" ObjectID="_1468075731" r:id="rId64">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0.28</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16107"/>
      <w:bookmarkStart w:id="57" w:name="_Toc452108768"/>
      <w:r>
        <w:rPr>
          <w:rFonts w:hint="eastAsia"/>
        </w:rPr>
        <w:t>结果</w:t>
      </w:r>
      <w:r>
        <w:t>分析</w:t>
      </w:r>
      <w:bookmarkEnd w:id="56"/>
      <w:bookmarkEnd w:id="57"/>
    </w:p>
    <w:p>
      <w:pPr>
        <w:pStyle w:val="4"/>
        <w:rPr>
          <w:szCs w:val="21"/>
        </w:rPr>
      </w:pPr>
      <w:bookmarkStart w:id="58" w:name="_Toc2913"/>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2.06</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6"/>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0" w:name="_Toc5278"/>
      <w:r>
        <w:rPr>
          <w:rFonts w:hint="eastAsia"/>
        </w:rPr>
        <w:t>冬季工况</w:t>
      </w:r>
      <w:bookmarkEnd w:id="60"/>
    </w:p>
    <w:p>
      <w:pPr>
        <w:ind w:firstLine="420" w:firstLineChars="200"/>
        <w:jc w:val="both"/>
      </w:pPr>
      <w:r>
        <w:rPr>
          <w:rFonts w:hint="eastAsia"/>
          <w:lang w:val="en-US"/>
        </w:rPr>
        <w:t>本项目冬季工况的入口边界风速为</w:t>
      </w:r>
      <w:r>
        <w:rPr>
          <w:rFonts w:hint="eastAsia" w:ascii="Calibri" w:hAnsi="Calibri"/>
          <w:szCs w:val="21"/>
        </w:rPr>
        <w:t>2.06</w:t>
      </w:r>
      <w:r>
        <w:rPr>
          <w:rFonts w:ascii="Calibri" w:hAnsi="Calibri"/>
          <w:szCs w:val="21"/>
        </w:rPr>
        <w:t>m/s</w:t>
      </w:r>
      <w:r>
        <w:rPr>
          <w:rFonts w:hint="eastAsia" w:ascii="Calibri" w:hAnsi="Calibri"/>
          <w:szCs w:val="21"/>
        </w:rPr>
        <w:t>，风向为</w:t>
      </w:r>
      <w:r>
        <w:rPr>
          <w:szCs w:val="21"/>
        </w:rPr>
        <w:t>NE</w:t>
      </w:r>
      <w:r>
        <w:rPr>
          <w:rFonts w:hint="eastAsia"/>
          <w:szCs w:val="21"/>
        </w:rPr>
        <w:t>。</w:t>
      </w:r>
    </w:p>
    <w:p>
      <w:pPr>
        <w:pStyle w:val="5"/>
      </w:pPr>
      <w:bookmarkStart w:id="61" w:name="_Toc22203"/>
      <w:r>
        <w:rPr>
          <w:rFonts w:hint="eastAsia"/>
        </w:rPr>
        <w:t>风速达标分析</w:t>
      </w:r>
      <w:bookmarkEnd w:id="61"/>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7"/>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2" w:name="_Toc14808"/>
      <w:r>
        <w:rPr>
          <w:rFonts w:hint="eastAsia"/>
        </w:rPr>
        <w:t>风速放大系数达标分析</w:t>
      </w:r>
      <w:bookmarkEnd w:id="62"/>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bookmarkEnd w:id="38"/>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68"/>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3" w:name="_Toc2900"/>
      <w:r>
        <w:rPr>
          <w:rFonts w:hint="eastAsia" w:cs="宋体"/>
          <w:lang w:val="en-GB"/>
        </w:rPr>
        <w:t>人行区域</w:t>
      </w:r>
      <w:r>
        <w:rPr>
          <w:rFonts w:hint="eastAsia"/>
        </w:rPr>
        <w:t>冬季工况风速/风速放大系数达标判定</w:t>
      </w:r>
      <w:bookmarkEnd w:id="14"/>
      <w:bookmarkEnd w:id="6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4" w:name="冬季工况风速是否有超限区域"/>
            <w:r>
              <w:rPr>
                <w:rFonts w:hint="eastAsia" w:ascii="宋体" w:hAnsi="宋体" w:cs="宋体"/>
                <w:color w:val="000000"/>
                <w:sz w:val="22"/>
                <w:szCs w:val="22"/>
                <w:lang w:val="en-US"/>
              </w:rPr>
              <w:t>否</w:t>
            </w:r>
            <w:bookmarkEnd w:id="64"/>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7"/>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9"/>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20"/>
          </w:p>
        </w:tc>
      </w:tr>
      <w:bookmarkEnd w:id="22"/>
      <w:bookmarkEnd w:id="23"/>
      <w:bookmarkEnd w:id="24"/>
      <w:bookmarkEnd w:id="25"/>
    </w:tbl>
    <w:p>
      <w:pPr>
        <w:pStyle w:val="5"/>
      </w:pPr>
      <w:bookmarkStart w:id="65" w:name="_Toc214"/>
      <w:r>
        <w:rPr>
          <w:rFonts w:hint="eastAsia"/>
        </w:rPr>
        <w:t>建筑迎风面和背风面风压分析</w:t>
      </w:r>
      <w:bookmarkEnd w:id="28"/>
      <w:bookmarkEnd w:id="65"/>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9"/>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69">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w:rPr>
                            <w:rFonts w:ascii="Cambria Math" w:hAnsi="Cambria Math"/>
                            <w:lang w:val="en-US"/>
                          </w:rPr>
                          <m:t>+P</m:t>
                        </m:r>
                        <m:ctrlPr>
                          <w:rPr>
                            <w:rFonts w:ascii="Cambria Math" w:hAnsi="Cambria Math"/>
                            <w:i/>
                            <w:lang w:val="en-US"/>
                          </w:rPr>
                        </m:ctrlPr>
                      </m:e>
                      <m:sub>
                        <m: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30"/>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0"/>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2"/>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1"/>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-DT单体(风模拟CAD)</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0.56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0.13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-1.08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-0.19</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0.27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-0.46</w:t>
            </w:r>
          </w:p>
        </w:tc>
      </w:tr>
    </w:tbl>
    <w:p>
      <w:r>
        <w:t>标准要求：迎背风面窗平均风压差（绝对值）≤5Pa。结论：该楼</w:t>
      </w:r>
      <w:r>
        <w:rPr>
          <w:b/>
          <w:color w:val="0000FF"/>
        </w:rPr>
        <w:t>达标</w:t>
      </w:r>
      <w:r>
        <w:t>。</w:t>
      </w:r>
    </w:p>
    <w:bookmarkEnd w:id="34"/>
    <w:bookmarkEnd w:id="35"/>
    <w:p>
      <w:pPr>
        <w:jc w:val="center"/>
        <w:rPr>
          <w:rFonts w:ascii="Cambria" w:hAnsi="Cambria" w:eastAsia="黑体"/>
          <w:sz w:val="20"/>
        </w:rPr>
      </w:pP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DT单体(风模拟CAD)</w:t>
            </w:r>
          </w:p>
        </w:tc>
        <w:tc>
          <w:tcPr>
            <w:tcW w:w="1276" w:type="dxa"/>
            <w:shd w:val="clear" w:color="auto" w:fill="auto"/>
            <w:vAlign w:val="center"/>
          </w:tcPr>
          <w:p>
            <w:pPr>
              <w:jc w:val="center"/>
              <w:rPr>
                <w:lang w:val="en-US"/>
              </w:rPr>
            </w:pPr>
            <w:r>
              <w:rPr>
                <w:lang w:val="en-US"/>
              </w:rPr>
              <w:t>-0.19</w:t>
            </w:r>
          </w:p>
        </w:tc>
        <w:tc>
          <w:tcPr>
            <w:tcW w:w="1276" w:type="dxa"/>
            <w:shd w:val="clear" w:color="auto" w:fill="auto"/>
            <w:vAlign w:val="center"/>
          </w:tcPr>
          <w:p>
            <w:pPr>
              <w:jc w:val="center"/>
              <w:rPr>
                <w:lang w:val="en-US"/>
              </w:rPr>
            </w:pPr>
            <w:r>
              <w:rPr>
                <w:lang w:val="en-US"/>
              </w:rPr>
              <w:t>0.27</w:t>
            </w:r>
          </w:p>
        </w:tc>
        <w:tc>
          <w:tcPr>
            <w:tcW w:w="1701" w:type="dxa"/>
            <w:shd w:val="clear" w:color="auto" w:fill="auto"/>
            <w:vAlign w:val="center"/>
          </w:tcPr>
          <w:p>
            <w:pPr>
              <w:jc w:val="center"/>
              <w:rPr>
                <w:lang w:val="en-US"/>
              </w:rPr>
            </w:pPr>
            <w:r>
              <w:rPr>
                <w:lang w:val="en-US"/>
              </w:rPr>
              <w:t>-0.46</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未命名(195)</w:t>
            </w:r>
          </w:p>
        </w:tc>
        <w:tc>
          <w:tcPr>
            <w:tcW w:w="1276" w:type="dxa"/>
            <w:shd w:val="clear" w:color="auto" w:fill="auto"/>
            <w:vAlign w:val="center"/>
          </w:tcPr>
          <w:p>
            <w:pPr>
              <w:jc w:val="center"/>
              <w:rPr>
                <w:lang w:val="en-US"/>
              </w:rPr>
            </w:pPr>
            <w:r>
              <w:rPr>
                <w:lang w:val="en-US"/>
              </w:rPr>
              <w:t>-0.52</w:t>
            </w:r>
          </w:p>
        </w:tc>
        <w:tc>
          <w:tcPr>
            <w:tcW w:w="1276" w:type="dxa"/>
            <w:shd w:val="clear" w:color="auto" w:fill="auto"/>
            <w:vAlign w:val="center"/>
          </w:tcPr>
          <w:p>
            <w:pPr>
              <w:jc w:val="center"/>
              <w:rPr>
                <w:lang w:val="en-US"/>
              </w:rPr>
            </w:pPr>
            <w:r>
              <w:rPr>
                <w:lang w:val="en-US"/>
              </w:rPr>
              <w:t>-1.01</w:t>
            </w:r>
          </w:p>
        </w:tc>
        <w:tc>
          <w:tcPr>
            <w:tcW w:w="1701" w:type="dxa"/>
            <w:shd w:val="clear" w:color="auto" w:fill="auto"/>
            <w:vAlign w:val="center"/>
          </w:tcPr>
          <w:p>
            <w:pPr>
              <w:jc w:val="center"/>
              <w:rPr>
                <w:lang w:val="en-US"/>
              </w:rPr>
            </w:pPr>
            <w:r>
              <w:rPr>
                <w:lang w:val="en-US"/>
              </w:rPr>
              <w:t>0.49</w:t>
            </w:r>
          </w:p>
        </w:tc>
        <w:tc>
          <w:tcPr>
            <w:tcW w:w="973" w:type="dxa"/>
            <w:shd w:val="clear" w:color="auto" w:fill="auto"/>
            <w:vAlign w:val="center"/>
          </w:tcPr>
          <w:p>
            <w:pPr>
              <w:jc w:val="center"/>
              <w:rPr>
                <w:lang w:val="en-US"/>
              </w:rPr>
            </w:pPr>
            <w:r>
              <w:rPr>
                <w:lang w:val="en-US"/>
              </w:rPr>
              <w:t>是</w:t>
            </w:r>
          </w:p>
        </w:tc>
      </w:tr>
      <w:bookmarkEnd w:id="37"/>
      <w:bookmarkEnd w:id="39"/>
    </w:tbl>
    <w:p>
      <w:pPr>
        <w:rPr>
          <w:lang w:val="en-US"/>
        </w:rPr>
      </w:pPr>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66" w:name="冬季工况"/>
      <w:bookmarkEnd w:id="66"/>
      <w:r>
        <w:rPr>
          <w:rFonts w:hint="eastAsia"/>
          <w:lang w:val="en-US"/>
        </w:rPr>
        <w:t xml:space="preserve"> </w:t>
      </w:r>
    </w:p>
    <w:p>
      <w:pPr>
        <w:rPr>
          <w:lang w:val="en-US"/>
        </w:rPr>
      </w:pPr>
      <w:bookmarkStart w:id="67" w:name="其他工况"/>
      <w:bookmarkEnd w:id="67"/>
      <w:r>
        <w:rPr>
          <w:rFonts w:hint="eastAsia"/>
          <w:lang w:val="en-US"/>
        </w:rPr>
        <w:t xml:space="preserve"> </w:t>
      </w:r>
    </w:p>
    <w:p>
      <w:pPr>
        <w:pStyle w:val="4"/>
      </w:pPr>
      <w:bookmarkStart w:id="68" w:name="_Toc4897"/>
      <w:bookmarkStart w:id="69" w:name="_Toc509844764"/>
      <w:r>
        <w:rPr>
          <w:rFonts w:hint="eastAsia"/>
        </w:rPr>
        <w:t>结论</w:t>
      </w:r>
      <w:bookmarkEnd w:id="68"/>
      <w:bookmarkEnd w:id="69"/>
    </w:p>
    <w:p>
      <w:pPr>
        <w:pStyle w:val="5"/>
      </w:pPr>
      <w:bookmarkStart w:id="70" w:name="_Toc12729"/>
      <w:r>
        <w:rPr>
          <w:rFonts w:hint="eastAsia"/>
        </w:rPr>
        <w:t>冬季工况达标判断</w:t>
      </w:r>
      <w:bookmarkEnd w:id="0"/>
      <w:bookmarkEnd w:id="1"/>
      <w:bookmarkEnd w:id="7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冬季典型风速和风向条件下，建筑物周围人行区</w:t>
            </w:r>
            <w:r>
              <w:rPr>
                <w:rFonts w:hint="eastAsia"/>
                <w:b/>
                <w:lang w:val="en-US"/>
              </w:rPr>
              <w:t>风速低于</w:t>
            </w:r>
            <w:r>
              <w:rPr>
                <w:b/>
                <w:lang w:val="en-US"/>
              </w:rPr>
              <w:t>5m/s</w:t>
            </w:r>
            <w:r>
              <w:rPr>
                <w:rFonts w:hint="eastAsia"/>
                <w:lang w:val="en-US"/>
              </w:rPr>
              <w:t>，</w:t>
            </w:r>
            <w:r>
              <w:rPr>
                <w:rFonts w:hint="eastAsia"/>
                <w:b/>
                <w:lang w:val="en-US"/>
              </w:rPr>
              <w:t>且</w:t>
            </w:r>
            <w:r>
              <w:rPr>
                <w:rFonts w:hint="eastAsia"/>
                <w:lang w:val="en-US"/>
              </w:rPr>
              <w:t>室外</w:t>
            </w:r>
            <w:r>
              <w:rPr>
                <w:rFonts w:hint="eastAsia"/>
                <w:b/>
                <w:lang w:val="en-US"/>
              </w:rPr>
              <w:t>风速放大系数小于</w:t>
            </w:r>
            <w:r>
              <w:rPr>
                <w:b/>
                <w:lang w:val="en-US"/>
              </w:rPr>
              <w:t>2</w:t>
            </w:r>
            <w:r>
              <w:rPr>
                <w:rFonts w:hint="eastAsia"/>
                <w:lang w:val="en-US"/>
              </w:rPr>
              <w:t>，得2分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3"/>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2</w:t>
            </w:r>
            <w:bookmarkEnd w:id="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5"/>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除迎风第一排建筑外，建筑迎风面与背风面表面风压差不超过5Pa，得1分</w:t>
            </w:r>
          </w:p>
        </w:tc>
        <w:tc>
          <w:tcPr>
            <w:tcW w:w="1985" w:type="dxa"/>
            <w:shd w:val="clear" w:color="auto" w:fill="auto"/>
            <w:vAlign w:val="center"/>
          </w:tcPr>
          <w:p>
            <w:pPr>
              <w:jc w:val="center"/>
              <w:rPr>
                <w:lang w:val="en-US"/>
              </w:rPr>
            </w:pPr>
            <w:r>
              <w:rPr>
                <w:rFonts w:hint="eastAsia"/>
                <w:lang w:val="en-US"/>
              </w:rPr>
              <w:t>本项目</w:t>
            </w:r>
            <w:r>
              <w:t>没有出现</w:t>
            </w:r>
            <w:bookmarkEnd w:id="6"/>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7"/>
            <w:bookmarkEnd w:id="8"/>
          </w:p>
        </w:tc>
        <w:tc>
          <w:tcPr>
            <w:tcW w:w="1416" w:type="dxa"/>
            <w:shd w:val="clear" w:color="auto" w:fill="auto"/>
            <w:vAlign w:val="center"/>
          </w:tcPr>
          <w:p>
            <w:pPr>
              <w:jc w:val="center"/>
              <w:rPr>
                <w:lang w:val="en-US"/>
              </w:rPr>
            </w:pPr>
            <w:r>
              <w:rPr>
                <w:rFonts w:hint="eastAsia"/>
                <w:lang w:val="en-US"/>
              </w:rPr>
              <w:t>1</w:t>
            </w:r>
            <w:bookmarkEnd w:id="10"/>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1" w:name="总得分"/>
      <w:r>
        <w:rPr>
          <w:rFonts w:hint="eastAsia"/>
          <w:lang w:val="en-US"/>
        </w:rPr>
        <w:t>3</w:t>
      </w:r>
      <w:bookmarkEnd w:id="7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ENT2018</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DA2F2F"/>
    <w:rsid w:val="00005045"/>
    <w:rsid w:val="0000578F"/>
    <w:rsid w:val="00015AD3"/>
    <w:rsid w:val="0002001E"/>
    <w:rsid w:val="000219DF"/>
    <w:rsid w:val="00037A4C"/>
    <w:rsid w:val="000678A8"/>
    <w:rsid w:val="00067FD6"/>
    <w:rsid w:val="00070047"/>
    <w:rsid w:val="00073958"/>
    <w:rsid w:val="00081A16"/>
    <w:rsid w:val="000A23A8"/>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47B9"/>
    <w:rsid w:val="003857DF"/>
    <w:rsid w:val="003A50E3"/>
    <w:rsid w:val="003A6A7F"/>
    <w:rsid w:val="003B2E2C"/>
    <w:rsid w:val="003C51B9"/>
    <w:rsid w:val="003C5F3A"/>
    <w:rsid w:val="003D123E"/>
    <w:rsid w:val="003D3E8E"/>
    <w:rsid w:val="003E405A"/>
    <w:rsid w:val="00407998"/>
    <w:rsid w:val="00412598"/>
    <w:rsid w:val="00412ACB"/>
    <w:rsid w:val="00413DB8"/>
    <w:rsid w:val="004169B3"/>
    <w:rsid w:val="00437A5C"/>
    <w:rsid w:val="00453246"/>
    <w:rsid w:val="004556B5"/>
    <w:rsid w:val="0046589C"/>
    <w:rsid w:val="0047200C"/>
    <w:rsid w:val="004825F5"/>
    <w:rsid w:val="00483193"/>
    <w:rsid w:val="00494ADE"/>
    <w:rsid w:val="0049520E"/>
    <w:rsid w:val="004A0D3B"/>
    <w:rsid w:val="004C7D33"/>
    <w:rsid w:val="004D230F"/>
    <w:rsid w:val="004D449D"/>
    <w:rsid w:val="004E2AEB"/>
    <w:rsid w:val="004F0639"/>
    <w:rsid w:val="0050569B"/>
    <w:rsid w:val="00511D13"/>
    <w:rsid w:val="00512B1A"/>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E2482"/>
    <w:rsid w:val="005F4F73"/>
    <w:rsid w:val="006105F7"/>
    <w:rsid w:val="006156D5"/>
    <w:rsid w:val="0062338D"/>
    <w:rsid w:val="006254D5"/>
    <w:rsid w:val="00634E08"/>
    <w:rsid w:val="00642309"/>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2690"/>
    <w:rsid w:val="00782889"/>
    <w:rsid w:val="00790965"/>
    <w:rsid w:val="007A20AF"/>
    <w:rsid w:val="007A5318"/>
    <w:rsid w:val="007B2D7C"/>
    <w:rsid w:val="007B61C5"/>
    <w:rsid w:val="007C15B9"/>
    <w:rsid w:val="007C4F93"/>
    <w:rsid w:val="007D02FB"/>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B4ED4"/>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D0C1B"/>
    <w:rsid w:val="00BE0E75"/>
    <w:rsid w:val="00BE4681"/>
    <w:rsid w:val="00BE75B4"/>
    <w:rsid w:val="00BF173E"/>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C7756"/>
    <w:rsid w:val="00FE4CC4"/>
    <w:rsid w:val="00FE79B9"/>
    <w:rsid w:val="00FF2243"/>
    <w:rsid w:val="09DA2F2F"/>
    <w:rsid w:val="285D5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9.png"/><Relationship Id="rId70" Type="http://schemas.openxmlformats.org/officeDocument/2006/relationships/image" Target="media/image58.png"/><Relationship Id="rId7" Type="http://schemas.openxmlformats.org/officeDocument/2006/relationships/image" Target="media/image2.bmp"/><Relationship Id="rId69" Type="http://schemas.openxmlformats.org/officeDocument/2006/relationships/image" Target="media/image57.png"/><Relationship Id="rId68" Type="http://schemas.openxmlformats.org/officeDocument/2006/relationships/image" Target="media/image56.png"/><Relationship Id="rId67" Type="http://schemas.openxmlformats.org/officeDocument/2006/relationships/image" Target="media/image55.png"/><Relationship Id="rId66" Type="http://schemas.openxmlformats.org/officeDocument/2006/relationships/image" Target="media/image54.png"/><Relationship Id="rId65" Type="http://schemas.openxmlformats.org/officeDocument/2006/relationships/image" Target="media/image53.wmf"/><Relationship Id="rId64" Type="http://schemas.openxmlformats.org/officeDocument/2006/relationships/oleObject" Target="embeddings/oleObject7.bin"/><Relationship Id="rId63" Type="http://schemas.openxmlformats.org/officeDocument/2006/relationships/image" Target="media/image52.wmf"/><Relationship Id="rId62" Type="http://schemas.openxmlformats.org/officeDocument/2006/relationships/oleObject" Target="embeddings/oleObject6.bin"/><Relationship Id="rId61" Type="http://schemas.openxmlformats.org/officeDocument/2006/relationships/image" Target="media/image51.wmf"/><Relationship Id="rId60" Type="http://schemas.openxmlformats.org/officeDocument/2006/relationships/oleObject" Target="embeddings/oleObject5.bin"/><Relationship Id="rId6" Type="http://schemas.openxmlformats.org/officeDocument/2006/relationships/theme" Target="theme/theme1.xml"/><Relationship Id="rId59" Type="http://schemas.openxmlformats.org/officeDocument/2006/relationships/image" Target="media/image50.wmf"/><Relationship Id="rId58" Type="http://schemas.openxmlformats.org/officeDocument/2006/relationships/oleObject" Target="embeddings/oleObject4.bin"/><Relationship Id="rId57" Type="http://schemas.openxmlformats.org/officeDocument/2006/relationships/image" Target="media/image49.wmf"/><Relationship Id="rId56" Type="http://schemas.openxmlformats.org/officeDocument/2006/relationships/image" Target="media/image48.wmf"/><Relationship Id="rId55" Type="http://schemas.openxmlformats.org/officeDocument/2006/relationships/image" Target="media/image47.wmf"/><Relationship Id="rId54" Type="http://schemas.openxmlformats.org/officeDocument/2006/relationships/image" Target="media/image46.wmf"/><Relationship Id="rId53" Type="http://schemas.openxmlformats.org/officeDocument/2006/relationships/image" Target="media/image45.wmf"/><Relationship Id="rId52" Type="http://schemas.openxmlformats.org/officeDocument/2006/relationships/image" Target="media/image44.wmf"/><Relationship Id="rId51" Type="http://schemas.openxmlformats.org/officeDocument/2006/relationships/image" Target="media/image43.wmf"/><Relationship Id="rId50" Type="http://schemas.openxmlformats.org/officeDocument/2006/relationships/image" Target="media/image42.wmf"/><Relationship Id="rId5" Type="http://schemas.openxmlformats.org/officeDocument/2006/relationships/footer" Target="footer2.xml"/><Relationship Id="rId49" Type="http://schemas.openxmlformats.org/officeDocument/2006/relationships/image" Target="media/image41.wmf"/><Relationship Id="rId48" Type="http://schemas.openxmlformats.org/officeDocument/2006/relationships/image" Target="media/image40.wmf"/><Relationship Id="rId47" Type="http://schemas.openxmlformats.org/officeDocument/2006/relationships/image" Target="media/image39.wmf"/><Relationship Id="rId46" Type="http://schemas.openxmlformats.org/officeDocument/2006/relationships/image" Target="media/image38.wmf"/><Relationship Id="rId45" Type="http://schemas.openxmlformats.org/officeDocument/2006/relationships/image" Target="media/image37.wmf"/><Relationship Id="rId44" Type="http://schemas.openxmlformats.org/officeDocument/2006/relationships/image" Target="media/image36.wmf"/><Relationship Id="rId43" Type="http://schemas.openxmlformats.org/officeDocument/2006/relationships/image" Target="media/image35.wmf"/><Relationship Id="rId42" Type="http://schemas.openxmlformats.org/officeDocument/2006/relationships/image" Target="media/image34.wmf"/><Relationship Id="rId41" Type="http://schemas.openxmlformats.org/officeDocument/2006/relationships/image" Target="media/image33.wmf"/><Relationship Id="rId40" Type="http://schemas.openxmlformats.org/officeDocument/2006/relationships/image" Target="media/image32.wmf"/><Relationship Id="rId4" Type="http://schemas.openxmlformats.org/officeDocument/2006/relationships/footer" Target="footer1.xml"/><Relationship Id="rId39" Type="http://schemas.openxmlformats.org/officeDocument/2006/relationships/image" Target="media/image31.wmf"/><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header" Target="header1.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2D19D-4265-4DB5-835F-DB3ACFB0FF15}">
  <ds:schemaRefs/>
</ds:datastoreItem>
</file>

<file path=docProps/app.xml><?xml version="1.0" encoding="utf-8"?>
<Properties xmlns="http://schemas.openxmlformats.org/officeDocument/2006/extended-properties" xmlns:vt="http://schemas.openxmlformats.org/officeDocument/2006/docPropsVTypes">
  <Template>tmp1.dotx</Template>
  <Pages>17</Pages>
  <Words>4548</Words>
  <Characters>5105</Characters>
  <Lines>40</Lines>
  <Paragraphs>11</Paragraphs>
  <TotalTime>0</TotalTime>
  <ScaleCrop>false</ScaleCrop>
  <LinksUpToDate>false</LinksUpToDate>
  <CharactersWithSpaces>5295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2021-01-04T07:23:00Z</dcterms:created>
  <dc:creator>Hudey</dc:creator>
  <cp:lastModifiedBy>Hudey</cp:lastModifiedBy>
  <dcterms:modified xsi:type="dcterms:W3CDTF">2021-02-28T15:28:07Z</dcterms:modified>
  <dc:title>室外风环境模拟分析报告</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