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水舍新市商业街</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T17751794670</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2</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2</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2</w:t>
      </w:r>
      <w:r>
        <w:fldChar w:fldCharType="end"/>
      </w:r>
      <w:r>
        <w:fldChar w:fldCharType="end"/>
      </w:r>
    </w:p>
    <w:p>
      <w:pPr>
        <w:pStyle w:val="19"/>
      </w:pPr>
      <w:r>
        <w:fldChar w:fldCharType="begin"/>
      </w:r>
      <w:r>
        <w:instrText xml:space="preserve"> HYPERLINK \l "_Toc441480677" </w:instrText>
      </w:r>
      <w:r>
        <w:fldChar w:fldCharType="separate"/>
      </w:r>
      <w:r>
        <w:rPr>
          <w:rStyle w:val="24"/>
          <w:lang w:val="en-GB"/>
        </w:rPr>
        <w:t>3.1</w:t>
      </w:r>
      <w:r>
        <w:tab/>
      </w:r>
      <w:r>
        <w:rPr>
          <w:rStyle w:val="24"/>
          <w:rFonts w:hint="eastAsia"/>
        </w:rPr>
        <w:t>空气声隔声单值评价量</w:t>
      </w:r>
      <w:r>
        <w:tab/>
      </w:r>
      <w:r>
        <w:rPr>
          <w:rFonts w:hint="eastAsia"/>
          <w:b/>
          <w:bCs/>
          <w:lang w:val="en-US" w:eastAsia="zh-CN"/>
        </w:rPr>
        <w:t>7</w:t>
      </w:r>
      <w:r>
        <w:fldChar w:fldCharType="end"/>
      </w:r>
    </w:p>
    <w:p>
      <w:pPr>
        <w:pStyle w:val="19"/>
      </w:pPr>
      <w:r>
        <w:fldChar w:fldCharType="begin"/>
      </w:r>
      <w:r>
        <w:instrText xml:space="preserve"> HYPERLINK \l "_Toc441480678" </w:instrText>
      </w:r>
      <w:r>
        <w:fldChar w:fldCharType="separate"/>
      </w:r>
      <w:r>
        <w:rPr>
          <w:rStyle w:val="24"/>
          <w:lang w:val="en-GB"/>
        </w:rPr>
        <w:t>3.2</w:t>
      </w:r>
      <w:r>
        <w:tab/>
      </w:r>
      <w:r>
        <w:rPr>
          <w:rStyle w:val="24"/>
          <w:rFonts w:hint="eastAsia"/>
        </w:rPr>
        <w:t>空气声频谱修正量</w:t>
      </w:r>
      <w:r>
        <w:tab/>
      </w:r>
      <w:r>
        <w:rPr>
          <w:rFonts w:hint="eastAsia"/>
          <w:b/>
          <w:bCs/>
          <w:lang w:val="en-US" w:eastAsia="zh-CN"/>
        </w:rPr>
        <w:t>9</w:t>
      </w:r>
      <w:r>
        <w:fldChar w:fldCharType="end"/>
      </w:r>
    </w:p>
    <w:p>
      <w:pPr>
        <w:pStyle w:val="19"/>
      </w:pPr>
      <w:r>
        <w:fldChar w:fldCharType="begin"/>
      </w:r>
      <w:r>
        <w:instrText xml:space="preserve"> HYPERLINK \l "_Toc441480679" </w:instrText>
      </w:r>
      <w:r>
        <w:fldChar w:fldCharType="separate"/>
      </w:r>
      <w:r>
        <w:rPr>
          <w:rStyle w:val="24"/>
          <w:lang w:val="en-GB"/>
        </w:rPr>
        <w:t>3.3</w:t>
      </w:r>
      <w:r>
        <w:tab/>
      </w:r>
      <w:r>
        <w:rPr>
          <w:rStyle w:val="24"/>
          <w:rFonts w:hint="eastAsia"/>
        </w:rPr>
        <w:t>撞击声隔声单值评价量</w:t>
      </w:r>
      <w:r>
        <w:tab/>
      </w:r>
      <w:r>
        <w:rPr>
          <w:rFonts w:hint="eastAsia"/>
          <w:b/>
          <w:bCs/>
          <w:lang w:val="en-US" w:eastAsia="zh-CN"/>
        </w:rPr>
        <w:t>9</w:t>
      </w:r>
      <w:r>
        <w:fldChar w:fldCharType="end"/>
      </w:r>
    </w:p>
    <w:p>
      <w:pPr>
        <w:pStyle w:val="19"/>
        <w:rPr>
          <w:rFonts w:hint="eastAsia" w:eastAsia="宋体"/>
          <w:lang w:val="en-US" w:eastAsia="zh-CN"/>
        </w:rPr>
      </w:pPr>
      <w:r>
        <w:fldChar w:fldCharType="begin"/>
      </w:r>
      <w:r>
        <w:instrText xml:space="preserve"> HYPERLINK \l "_Toc441480680" </w:instrText>
      </w:r>
      <w:r>
        <w:fldChar w:fldCharType="separate"/>
      </w:r>
      <w:r>
        <w:rPr>
          <w:rStyle w:val="24"/>
          <w:lang w:val="en-GB"/>
        </w:rPr>
        <w:t>3.4</w:t>
      </w:r>
      <w:r>
        <w:tab/>
      </w:r>
      <w:r>
        <w:rPr>
          <w:rStyle w:val="24"/>
          <w:rFonts w:hint="eastAsia"/>
        </w:rPr>
        <w:t>组合墙有效隔声量</w:t>
      </w:r>
      <w:r>
        <w:tab/>
      </w:r>
      <w:r>
        <w:rPr>
          <w:rFonts w:hint="eastAsia"/>
          <w:b/>
          <w:bCs/>
          <w:lang w:val="en-US" w:eastAsia="zh-CN"/>
        </w:rPr>
        <w:t>1</w:t>
      </w:r>
      <w:r>
        <w:fldChar w:fldCharType="end"/>
      </w:r>
      <w:r>
        <w:rPr>
          <w:rFonts w:hint="eastAsia"/>
          <w:b/>
          <w:bCs/>
          <w:lang w:val="en-US" w:eastAsia="zh-CN"/>
        </w:rPr>
        <w:t>1</w:t>
      </w:r>
    </w:p>
    <w:p>
      <w:pPr>
        <w:pStyle w:val="14"/>
      </w:pPr>
      <w:r>
        <w:fldChar w:fldCharType="begin"/>
      </w:r>
      <w:r>
        <w:instrText xml:space="preserve"> HYPERLINK \l "_Toc441480681" </w:instrText>
      </w:r>
      <w:r>
        <w:fldChar w:fldCharType="separate"/>
      </w:r>
      <w:r>
        <w:rPr>
          <w:rStyle w:val="24"/>
          <w:lang w:val="en-GB"/>
        </w:rPr>
        <w:t>3.4.1</w:t>
      </w:r>
      <w:r>
        <w:tab/>
      </w:r>
      <w:r>
        <w:rPr>
          <w:rStyle w:val="24"/>
          <w:rFonts w:hint="eastAsia"/>
        </w:rPr>
        <w:t>组合墙有效隔声量</w:t>
      </w:r>
      <w:r>
        <w:tab/>
      </w:r>
      <w:r>
        <w:rPr>
          <w:rFonts w:hint="eastAsia"/>
          <w:b/>
          <w:bCs/>
          <w:lang w:val="en-US" w:eastAsia="zh-CN"/>
        </w:rPr>
        <w:t>1</w:t>
      </w:r>
      <w:r>
        <w:fldChar w:fldCharType="end"/>
      </w:r>
      <w:r>
        <w:rPr>
          <w:rFonts w:hint="eastAsia"/>
          <w:b/>
          <w:bCs/>
          <w:lang w:val="en-US" w:eastAsia="zh-CN"/>
        </w:rPr>
        <w:t>1</w:t>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Start w:id="55" w:name="_GoBack"/>
      <w:bookmarkEnd w:id="55"/>
    </w:p>
    <w:p>
      <w:pPr>
        <w:pStyle w:val="18"/>
      </w:pPr>
    </w:p>
    <w:p>
      <w:pPr>
        <w:pStyle w:val="2"/>
      </w:pPr>
      <w:bookmarkStart w:id="11" w:name="_Toc4414806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r>
              <w:t>水舍新市商业街</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3402</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3</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p>
        </w:tc>
        <w:tc>
          <w:tcPr>
            <w:tcW w:w="6231" w:type="dxa"/>
          </w:tcPr>
          <w:p>
            <w:pPr>
              <w:pStyle w:val="3"/>
              <w:ind w:firstLine="0" w:firstLineChars="0"/>
              <w:rPr>
                <w:rFonts w:ascii="宋体" w:hAnsi="宋体"/>
                <w:lang w:val="en-US"/>
              </w:rPr>
            </w:pPr>
            <w:bookmarkStart w:id="17" w:name="地上建筑高度"/>
            <w:r>
              <w:rPr>
                <w:rFonts w:hint="eastAsia" w:ascii="宋体" w:hAnsi="宋体"/>
                <w:lang w:val="en-US"/>
              </w:rPr>
              <w:t>12.0</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ind w:firstLine="0" w:firstLineChars="0"/>
              <w:rPr>
                <w:rFonts w:ascii="宋体" w:hAnsi="宋体"/>
                <w:lang w:val="en-US"/>
              </w:rPr>
            </w:pPr>
            <w:bookmarkStart w:id="18" w:name="北向角度"/>
            <w:r>
              <w:t>90</w:t>
            </w:r>
            <w:bookmarkEnd w:id="18"/>
          </w:p>
        </w:tc>
      </w:tr>
    </w:tbl>
    <w:p>
      <w:pPr>
        <w:pStyle w:val="3"/>
        <w:ind w:firstLine="0" w:firstLineChars="0"/>
        <w:jc w:val="center"/>
        <w:rPr>
          <w:lang w:val="en-US"/>
        </w:rPr>
      </w:pPr>
      <w:bookmarkStart w:id="19" w:name="单体模型观察图"/>
      <w:bookmarkEnd w:id="19"/>
      <w:bookmarkStart w:id="20" w:name="围护结构概况"/>
      <w:bookmarkEnd w:id="20"/>
      <w:bookmarkStart w:id="21" w:name="TitleFormat"/>
      <w:r>
        <w:rPr>
          <w:lang w:val="en-US"/>
        </w:rPr>
        <w:t>请先在[模型观察]命令中保存图片！</w:t>
      </w:r>
    </w:p>
    <w:p>
      <w:pPr>
        <w:jc w:val="center"/>
        <w:rPr>
          <w:rFonts w:ascii="黑体" w:hAnsi="黑体" w:eastAsia="黑体"/>
          <w:lang w:val="en-US"/>
        </w:rPr>
      </w:pPr>
      <w:bookmarkStart w:id="22" w:name="_Toc441480675"/>
      <w:r>
        <w:rPr>
          <w:rFonts w:hint="eastAsia" w:ascii="黑体" w:hAnsi="黑体" w:eastAsia="黑体"/>
          <w:lang w:val="en-US"/>
        </w:rPr>
        <w:t>图1</w:t>
      </w:r>
      <w:r>
        <w:rPr>
          <w:rFonts w:ascii="黑体" w:hAnsi="黑体" w:eastAsia="黑体"/>
          <w:lang w:val="en-US"/>
        </w:rPr>
        <w:t>-1</w:t>
      </w:r>
      <w:r>
        <w:rPr>
          <w:rFonts w:hint="eastAsia" w:ascii="黑体" w:hAnsi="黑体" w:eastAsia="黑体"/>
          <w:lang w:val="en-US"/>
        </w:rPr>
        <w:t xml:space="preserve"> 目标</w:t>
      </w:r>
      <w:r>
        <w:rPr>
          <w:rFonts w:ascii="黑体" w:hAnsi="黑体" w:eastAsia="黑体"/>
          <w:lang w:val="en-US"/>
        </w:rPr>
        <w:t>建筑模型</w:t>
      </w:r>
    </w:p>
    <w:p>
      <w:pPr>
        <w:pStyle w:val="2"/>
      </w:pPr>
      <w:r>
        <w:rPr>
          <w:rFonts w:hint="eastAsia"/>
        </w:rPr>
        <w:t>标准依据</w:t>
      </w:r>
      <w:bookmarkEnd w:id="22"/>
    </w:p>
    <w:bookmarkEnd w:id="21"/>
    <w:p>
      <w:pPr>
        <w:pStyle w:val="27"/>
        <w:widowControl w:val="0"/>
        <w:numPr>
          <w:ilvl w:val="0"/>
          <w:numId w:val="2"/>
        </w:numPr>
        <w:ind w:firstLineChars="0"/>
        <w:jc w:val="both"/>
        <w:rPr>
          <w:kern w:val="2"/>
          <w:szCs w:val="24"/>
          <w:lang w:val="en-US"/>
        </w:rPr>
      </w:pPr>
      <w:bookmarkStart w:id="23" w:name="计算依据"/>
      <w:bookmarkEnd w:id="23"/>
      <w:r>
        <w:rPr>
          <w:rFonts w:hint="eastAsia"/>
          <w:kern w:val="2"/>
          <w:szCs w:val="24"/>
          <w:lang w:val="en-US"/>
        </w:rPr>
        <w:t>《绿色建筑评价标准》GB/T50378-201</w:t>
      </w:r>
      <w:r>
        <w:rPr>
          <w:kern w:val="2"/>
          <w:szCs w:val="24"/>
          <w:lang w:val="en-US"/>
        </w:rPr>
        <w:t>9</w:t>
      </w:r>
    </w:p>
    <w:p>
      <w:pPr>
        <w:pStyle w:val="27"/>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pPr>
        <w:pStyle w:val="27"/>
        <w:widowControl w:val="0"/>
        <w:numPr>
          <w:ilvl w:val="0"/>
          <w:numId w:val="2"/>
        </w:numPr>
        <w:ind w:firstLineChars="0"/>
        <w:jc w:val="both"/>
        <w:rPr>
          <w:kern w:val="2"/>
          <w:szCs w:val="24"/>
          <w:lang w:val="en-US"/>
        </w:rPr>
      </w:pPr>
      <w:r>
        <w:rPr>
          <w:rFonts w:hint="eastAsia"/>
          <w:kern w:val="2"/>
          <w:szCs w:val="24"/>
          <w:lang w:val="en-US"/>
        </w:rPr>
        <w:t>《民用建筑隔声设计规范》GB50118-2010</w:t>
      </w:r>
    </w:p>
    <w:p>
      <w:pPr>
        <w:pStyle w:val="27"/>
        <w:widowControl w:val="0"/>
        <w:numPr>
          <w:ilvl w:val="0"/>
          <w:numId w:val="2"/>
        </w:numPr>
        <w:ind w:firstLineChars="0"/>
        <w:jc w:val="both"/>
        <w:rPr>
          <w:kern w:val="2"/>
          <w:szCs w:val="24"/>
          <w:lang w:val="en-US"/>
        </w:rPr>
      </w:pPr>
      <w:r>
        <w:rPr>
          <w:rFonts w:hint="eastAsia"/>
          <w:kern w:val="2"/>
          <w:szCs w:val="24"/>
          <w:lang w:val="en-US"/>
        </w:rPr>
        <w:t>《建筑隔声评价标准》GB/T 50121-2005</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pStyle w:val="27"/>
        <w:widowControl w:val="0"/>
        <w:numPr>
          <w:ilvl w:val="0"/>
          <w:numId w:val="2"/>
        </w:numPr>
        <w:spacing w:line="276" w:lineRule="auto"/>
        <w:ind w:firstLineChars="0"/>
        <w:jc w:val="both"/>
        <w:rPr>
          <w:szCs w:val="21"/>
          <w:lang w:val="en-US"/>
        </w:rPr>
      </w:pPr>
      <w:r>
        <w:rPr>
          <w:rFonts w:hint="eastAsia"/>
          <w:szCs w:val="21"/>
          <w:lang w:val="en-US"/>
        </w:rPr>
        <w:t>《声学手册》</w:t>
      </w:r>
    </w:p>
    <w:p>
      <w:pPr>
        <w:pStyle w:val="27"/>
        <w:widowControl w:val="0"/>
        <w:numPr>
          <w:ilvl w:val="0"/>
          <w:numId w:val="2"/>
        </w:numPr>
        <w:spacing w:line="276" w:lineRule="auto"/>
        <w:ind w:firstLineChars="0"/>
        <w:jc w:val="both"/>
        <w:rPr>
          <w:szCs w:val="21"/>
          <w:lang w:val="en-US"/>
        </w:rPr>
      </w:pPr>
      <w:r>
        <w:rPr>
          <w:rFonts w:hint="eastAsia"/>
          <w:szCs w:val="21"/>
          <w:lang w:val="en-US"/>
        </w:rPr>
        <w:t>《噪声与振动控制工程手册 》</w:t>
      </w:r>
    </w:p>
    <w:p>
      <w:pPr>
        <w:pStyle w:val="27"/>
        <w:widowControl w:val="0"/>
        <w:numPr>
          <w:ilvl w:val="0"/>
          <w:numId w:val="2"/>
        </w:numPr>
        <w:spacing w:line="276" w:lineRule="auto"/>
        <w:ind w:firstLineChars="0"/>
        <w:jc w:val="both"/>
        <w:rPr>
          <w:szCs w:val="21"/>
          <w:lang w:val="en-US"/>
        </w:rPr>
      </w:pPr>
      <w:r>
        <w:rPr>
          <w:rFonts w:hint="eastAsia"/>
          <w:szCs w:val="21"/>
          <w:lang w:val="en-US"/>
        </w:rPr>
        <w:t>《建筑声学设计原理》</w:t>
      </w:r>
    </w:p>
    <w:p>
      <w:pPr>
        <w:pStyle w:val="27"/>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《建筑设计资料集》（第二版）第2集</w:t>
      </w:r>
    </w:p>
    <w:p>
      <w:pPr>
        <w:pStyle w:val="27"/>
        <w:widowControl w:val="0"/>
        <w:ind w:left="360" w:firstLine="0" w:firstLineChars="0"/>
        <w:jc w:val="both"/>
        <w:rPr>
          <w:kern w:val="2"/>
          <w:szCs w:val="24"/>
          <w:lang w:val="en-US"/>
        </w:rPr>
      </w:pPr>
    </w:p>
    <w:p>
      <w:pPr>
        <w:pStyle w:val="2"/>
      </w:pPr>
      <w:r>
        <w:rPr>
          <w:rFonts w:hint="eastAsia"/>
        </w:rPr>
        <w:t>评价</w:t>
      </w:r>
      <w:r>
        <w:t>要求</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 GB/T 50378-2019第5.1.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6</w:t>
      </w:r>
      <w:r>
        <w:rPr>
          <w:rFonts w:hint="eastAsia" w:ascii="Times New Roman" w:hAnsi="Times New Roman" w:eastAsia="宋体"/>
          <w:sz w:val="21"/>
          <w:szCs w:val="21"/>
        </w:rPr>
        <w:t>条对主要功能房间提出了明确要求。</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控制项要求</w:t>
      </w:r>
      <w:r>
        <w:rPr>
          <w:rFonts w:ascii="Times New Roman" w:hAnsi="Times New Roman" w:eastAsia="宋体"/>
          <w:b/>
          <w:sz w:val="21"/>
          <w:szCs w:val="21"/>
        </w:rPr>
        <w:t>：</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6 采取措施优化主要功能房间的室内声环境，评价总分值为8 分。</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p>
      <w:pPr>
        <w:pStyle w:val="2"/>
        <w:rPr>
          <w:kern w:val="2"/>
        </w:rPr>
      </w:pPr>
      <w:r>
        <w:rPr>
          <w:rFonts w:hint="eastAsia"/>
          <w:kern w:val="2"/>
        </w:rPr>
        <w:t>分析</w:t>
      </w:r>
      <w:r>
        <w:rPr>
          <w:kern w:val="2"/>
        </w:rPr>
        <w:t>目的</w:t>
      </w:r>
    </w:p>
    <w:p>
      <w:pPr>
        <w:pStyle w:val="3"/>
        <w:ind w:firstLine="420"/>
        <w:rPr>
          <w:lang w:val="en-US"/>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本项目所确定的最不利房间为</w:t>
      </w:r>
      <w:bookmarkStart w:id="24" w:name="最不利房间编号3"/>
      <w:r>
        <w:rPr>
          <w:rFonts w:hint="eastAsia"/>
          <w:lang w:val="en-US"/>
        </w:rPr>
        <w:t>1012[商场商店]</w:t>
      </w:r>
      <w:bookmarkEnd w:id="24"/>
      <w:r>
        <w:rPr>
          <w:rFonts w:hint="eastAsia"/>
          <w:lang w:val="en-US"/>
        </w:rPr>
        <w:t>，最终评估该房间的达标情况。</w:t>
      </w:r>
    </w:p>
    <w:p>
      <w:pPr>
        <w:pStyle w:val="3"/>
        <w:ind w:firstLine="420"/>
        <w:rPr>
          <w:lang w:val="en-US"/>
        </w:rPr>
      </w:pPr>
    </w:p>
    <w:p>
      <w:pPr>
        <w:pStyle w:val="2"/>
        <w:rPr>
          <w:kern w:val="2"/>
        </w:rPr>
      </w:pPr>
      <w:r>
        <w:rPr>
          <w:rFonts w:hint="eastAsia"/>
          <w:kern w:val="2"/>
        </w:rPr>
        <w:t>计算原理</w:t>
      </w:r>
    </w:p>
    <w:p>
      <w:pPr>
        <w:pStyle w:val="4"/>
      </w:pPr>
      <w:r>
        <w:rPr>
          <w:rFonts w:hint="eastAsia"/>
        </w:rPr>
        <w:t>最不利</w:t>
      </w:r>
      <w:r>
        <w:t>房间确定</w:t>
      </w:r>
    </w:p>
    <w:p>
      <w:pPr>
        <w:pStyle w:val="3"/>
        <w:numPr>
          <w:ilvl w:val="0"/>
          <w:numId w:val="3"/>
        </w:numPr>
        <w:ind w:firstLineChars="0"/>
        <w:rPr>
          <w:lang w:val="en-US"/>
        </w:rPr>
      </w:pPr>
      <w:bookmarkStart w:id="25" w:name="_Hlk498956250"/>
      <w:bookmarkStart w:id="26" w:name="_Toc438716944"/>
      <w:bookmarkStart w:id="27" w:name="_Toc441480676"/>
      <w:r>
        <w:rPr>
          <w:rFonts w:hint="eastAsia"/>
          <w:lang w:val="en-US"/>
        </w:rPr>
        <w:t>计算出整栋建筑每个房间的室内噪声级；</w:t>
      </w:r>
    </w:p>
    <w:p>
      <w:pPr>
        <w:pStyle w:val="3"/>
        <w:numPr>
          <w:ilvl w:val="0"/>
          <w:numId w:val="3"/>
        </w:numPr>
        <w:ind w:firstLineChars="0"/>
        <w:rPr>
          <w:lang w:val="en-US"/>
        </w:rPr>
      </w:pPr>
      <w:r>
        <w:rPr>
          <w:rFonts w:hint="eastAsia"/>
          <w:lang w:val="en-US"/>
        </w:rPr>
        <w:t>将上述结果从高到低分为“满足高要求标准”、“满足平均要求”、“满足低限要求”、“不满足”4个等级，然后筛选出满足最低等级的房间；</w:t>
      </w:r>
    </w:p>
    <w:p>
      <w:pPr>
        <w:pStyle w:val="3"/>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25"/>
    </w:p>
    <w:p>
      <w:pPr>
        <w:pStyle w:val="4"/>
      </w:pPr>
      <w:r>
        <w:rPr>
          <w:rFonts w:hint="eastAsia"/>
        </w:rPr>
        <w:t>室内</w:t>
      </w:r>
      <w:r>
        <w:t>噪声级</w:t>
      </w:r>
      <w:r>
        <w:rPr>
          <w:rFonts w:hint="eastAsia"/>
        </w:rPr>
        <w:t>计算</w:t>
      </w:r>
    </w:p>
    <w:p>
      <w:pPr>
        <w:pStyle w:val="3"/>
        <w:spacing w:line="276" w:lineRule="auto"/>
        <w:ind w:left="420" w:firstLine="0" w:firstLineChars="0"/>
        <w:rPr>
          <w:kern w:val="2"/>
          <w:lang w:val="en-US"/>
        </w:rPr>
      </w:pPr>
      <w:r>
        <w:rPr>
          <w:rFonts w:hint="eastAsia"/>
          <w:kern w:val="2"/>
          <w:lang w:val="en-US"/>
        </w:rPr>
        <w:t>1．室内噪声的主要影响因素：</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pPr>
        <w:spacing w:line="276" w:lineRule="auto"/>
        <w:ind w:left="420"/>
        <w:rPr>
          <w:kern w:val="2"/>
          <w:szCs w:val="21"/>
          <w:lang w:val="en-US"/>
        </w:rPr>
      </w:pPr>
      <w:r>
        <w:rPr>
          <w:rFonts w:hint="eastAsia"/>
          <w:kern w:val="2"/>
          <w:szCs w:val="21"/>
          <w:lang w:val="en-US"/>
        </w:rPr>
        <w:t>2．室内噪声源的组成：室外环境噪声经过外围护结构传到室内的噪声、建筑内相邻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spacing w:line="276" w:lineRule="auto"/>
        <w:ind w:firstLine="243" w:firstLineChars="135"/>
        <w:rPr>
          <w:kern w:val="2"/>
          <w:szCs w:val="21"/>
          <w:lang w:val="en-US"/>
        </w:rPr>
      </w:pPr>
      <w:r>
        <w:rPr>
          <w:rFonts w:hint="eastAsia"/>
          <w:sz w:val="18"/>
          <w:szCs w:val="18"/>
          <w:lang w:val="en-US"/>
        </w:rPr>
        <w:t xml:space="preserve">                                  </w:t>
      </w:r>
      <w:r>
        <w:rPr>
          <w:rFonts w:hint="eastAsia" w:ascii="黑体" w:hAnsi="黑体" w:eastAsia="黑体"/>
          <w:lang w:val="en-US"/>
        </w:rPr>
        <w:t>图5.2-1室内噪声声源传播示意图</w:t>
      </w:r>
    </w:p>
    <w:p>
      <w:pPr>
        <w:spacing w:line="276" w:lineRule="auto"/>
        <w:ind w:firstLine="420" w:firstLineChars="200"/>
        <w:rPr>
          <w:kern w:val="2"/>
          <w:szCs w:val="21"/>
          <w:lang w:val="en-US"/>
        </w:rPr>
      </w:pPr>
      <w:r>
        <w:rPr>
          <w:rFonts w:hint="eastAsia"/>
          <w:kern w:val="2"/>
          <w:szCs w:val="21"/>
          <w:lang w:val="en-US"/>
        </w:rPr>
        <w:t>3．室内</w:t>
      </w:r>
      <w:r>
        <w:rPr>
          <w:kern w:val="2"/>
          <w:szCs w:val="21"/>
          <w:lang w:val="en-US"/>
        </w:rPr>
        <w:t>噪声</w:t>
      </w:r>
      <w:r>
        <w:rPr>
          <w:rFonts w:hint="eastAsia"/>
          <w:kern w:val="2"/>
          <w:szCs w:val="21"/>
          <w:lang w:val="en-US"/>
        </w:rPr>
        <w:t>的计算原理：</w:t>
      </w:r>
    </w:p>
    <w:p>
      <w:pPr>
        <w:spacing w:line="276" w:lineRule="auto"/>
        <w:ind w:firstLine="420" w:firstLineChars="200"/>
        <w:rPr>
          <w:kern w:val="2"/>
          <w:szCs w:val="21"/>
          <w:lang w:val="en-US"/>
        </w:rPr>
      </w:pPr>
      <w:r>
        <w:rPr>
          <w:rFonts w:hint="eastAsia"/>
          <w:kern w:val="2"/>
          <w:szCs w:val="21"/>
          <w:lang w:val="en-US"/>
        </w:rPr>
        <w:t>按照上述室内噪声源的组成，分别计算各类声源通过内外围护结构传到室内的噪声。</w:t>
      </w:r>
    </w:p>
    <w:p>
      <w:pPr>
        <w:spacing w:line="276" w:lineRule="auto"/>
        <w:ind w:firstLine="420" w:firstLineChars="200"/>
        <w:rPr>
          <w:kern w:val="2"/>
          <w:szCs w:val="21"/>
          <w:lang w:val="en-US"/>
        </w:rPr>
      </w:pPr>
      <w:r>
        <w:rPr>
          <w:rFonts w:hint="eastAsia"/>
          <w:kern w:val="2"/>
          <w:szCs w:val="21"/>
          <w:lang w:val="en-US"/>
        </w:rPr>
        <w:t>1）计算室外环境噪声经过外围护结构传到室内的噪声，具体过程如下：</w:t>
      </w:r>
    </w:p>
    <w:p>
      <w:pPr>
        <w:pStyle w:val="27"/>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pPr>
        <w:pStyle w:val="27"/>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，得出构件的</w:t>
      </w:r>
      <w:r>
        <w:rPr>
          <w:kern w:val="2"/>
          <w:szCs w:val="21"/>
          <w:lang w:val="en-US"/>
        </w:rPr>
        <w:t>计权隔声量</w:t>
      </w:r>
      <w:r>
        <w:rPr>
          <w:rFonts w:hint="eastAsia"/>
          <w:kern w:val="2"/>
          <w:szCs w:val="21"/>
          <w:lang w:val="en-US"/>
        </w:rPr>
        <w:t>和</w:t>
      </w:r>
      <w:r>
        <w:rPr>
          <w:kern w:val="2"/>
          <w:szCs w:val="21"/>
          <w:lang w:val="en-US"/>
        </w:rPr>
        <w:t>频谱修正量</w:t>
      </w:r>
      <w:r>
        <w:rPr>
          <w:rFonts w:hint="eastAsia"/>
          <w:kern w:val="2"/>
          <w:szCs w:val="21"/>
          <w:lang w:val="en-US"/>
        </w:rPr>
        <w:t>；</w:t>
      </w:r>
    </w:p>
    <w:p>
      <w:pPr>
        <w:pStyle w:val="27"/>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pPr>
        <w:spacing w:line="276" w:lineRule="auto"/>
        <w:ind w:firstLine="420" w:firstLineChars="200"/>
        <w:rPr>
          <w:kern w:val="2"/>
          <w:szCs w:val="21"/>
          <w:lang w:val="en-US"/>
        </w:rPr>
      </w:pPr>
      <w:r>
        <w:rPr>
          <w:rFonts w:hint="eastAsia"/>
          <w:kern w:val="2"/>
          <w:szCs w:val="21"/>
          <w:lang w:val="en-US"/>
        </w:rPr>
        <w:t>2）建筑内相邻房间噪声传到室内的噪声计算</w:t>
      </w:r>
    </w:p>
    <w:p>
      <w:pPr>
        <w:spacing w:line="276" w:lineRule="auto"/>
        <w:ind w:left="420" w:leftChars="200" w:firstLine="315" w:firstLineChars="150"/>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级，计算过程类似于1）所述的室外环境噪声传到室内的计算过程。</w:t>
      </w:r>
    </w:p>
    <w:p>
      <w:pPr>
        <w:spacing w:line="276" w:lineRule="auto"/>
        <w:ind w:firstLine="424" w:firstLineChars="202"/>
        <w:rPr>
          <w:kern w:val="2"/>
          <w:szCs w:val="21"/>
          <w:lang w:val="en-US"/>
        </w:rPr>
      </w:pPr>
      <w:r>
        <w:rPr>
          <w:rFonts w:hint="eastAsia"/>
          <w:kern w:val="2"/>
          <w:szCs w:val="21"/>
          <w:lang w:val="en-US"/>
        </w:rPr>
        <w:t>3）</w:t>
      </w:r>
      <w:r>
        <w:rPr>
          <w:kern w:val="2"/>
          <w:szCs w:val="21"/>
          <w:lang w:val="en-US"/>
        </w:rPr>
        <w:t>室内声源</w:t>
      </w:r>
      <w:r>
        <w:rPr>
          <w:rFonts w:hint="eastAsia"/>
          <w:kern w:val="2"/>
          <w:szCs w:val="21"/>
          <w:lang w:val="en-US"/>
        </w:rPr>
        <w:t>噪声级计算：将目标房间内部所有噪声级叠加。</w:t>
      </w:r>
    </w:p>
    <w:p>
      <w:pPr>
        <w:spacing w:line="276" w:lineRule="auto"/>
        <w:ind w:firstLine="420" w:firstLineChars="200"/>
        <w:rPr>
          <w:kern w:val="2"/>
          <w:szCs w:val="21"/>
          <w:lang w:val="en-US"/>
        </w:rPr>
      </w:pPr>
      <w:r>
        <w:rPr>
          <w:rFonts w:hint="eastAsia"/>
          <w:kern w:val="2"/>
          <w:szCs w:val="21"/>
          <w:lang w:val="en-US"/>
        </w:rPr>
        <w:t>4）将以上三部分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pPr>
        <w:spacing w:line="276" w:lineRule="auto"/>
        <w:jc w:val="center"/>
        <w:rPr>
          <w:rFonts w:asciiTheme="minorEastAsia" w:hAnsiTheme="minorEastAsia" w:eastAsiaTheme="minorEastAsia"/>
        </w:rPr>
      </w:pPr>
      <w:r>
        <w:rPr>
          <w:rFonts w:asciiTheme="minorEastAsia" w:hAnsiTheme="minorEastAsia" w:eastAsiaTheme="minorEastAsia"/>
        </w:rPr>
        <w:object>
          <v:shape id="_x0000_i1025" o:spt="75" type="#_x0000_t75" style="height:401.3pt;width:379.4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spacing w:line="276" w:lineRule="auto"/>
        <w:ind w:left="840" w:firstLine="420"/>
        <w:jc w:val="center"/>
        <w:rPr>
          <w:rFonts w:asciiTheme="minorEastAsia" w:hAnsiTheme="minorEastAsia" w:eastAsiaTheme="minorEastAsia"/>
        </w:rPr>
      </w:pPr>
      <w:r>
        <w:rPr>
          <w:rFonts w:hint="eastAsia" w:ascii="黑体" w:hAnsi="黑体" w:eastAsia="黑体"/>
          <w:lang w:val="en-US"/>
        </w:rPr>
        <w:t>图5.2-2</w:t>
      </w:r>
      <w:r>
        <w:rPr>
          <w:rFonts w:hint="eastAsia" w:asciiTheme="minorEastAsia" w:hAnsiTheme="minorEastAsia" w:eastAsiaTheme="minorEastAsia"/>
        </w:rPr>
        <w:t xml:space="preserve"> </w:t>
      </w:r>
      <w:r>
        <w:rPr>
          <w:rFonts w:hint="eastAsia" w:ascii="黑体" w:hAnsi="黑体" w:eastAsia="黑体"/>
          <w:lang w:val="en-US"/>
        </w:rPr>
        <w:t>室内噪声计算原理图</w:t>
      </w:r>
    </w:p>
    <w:p>
      <w:pPr>
        <w:pStyle w:val="2"/>
        <w:rPr>
          <w:kern w:val="2"/>
        </w:rPr>
      </w:pPr>
      <w:r>
        <w:rPr>
          <w:rFonts w:hint="eastAsia"/>
          <w:kern w:val="2"/>
        </w:rPr>
        <w:t>计算</w:t>
      </w:r>
      <w:r>
        <w:rPr>
          <w:kern w:val="2"/>
        </w:rPr>
        <w:t>条件</w:t>
      </w:r>
    </w:p>
    <w:p>
      <w:pPr>
        <w:pStyle w:val="4"/>
      </w:pPr>
      <w:r>
        <w:rPr>
          <w:rFonts w:hint="eastAsia"/>
        </w:rPr>
        <w:t>环境</w:t>
      </w:r>
      <w:r>
        <w:t>噪声分析</w:t>
      </w:r>
    </w:p>
    <w:p>
      <w:pPr>
        <w:pStyle w:val="3"/>
        <w:ind w:firstLine="420"/>
        <w:rPr>
          <w:rFonts w:ascii="黑体" w:hAnsi="黑体" w:eastAsia="黑体"/>
          <w:lang w:val="en-US"/>
        </w:rPr>
      </w:pPr>
      <w:r>
        <w:rPr>
          <w:rFonts w:hint="eastAsia"/>
          <w:kern w:val="2"/>
          <w:lang w:val="en-US"/>
        </w:rPr>
        <w:t>本项目通过室外环境噪声评价获取了最不利房间周边的环境噪声值，昼间为</w:t>
      </w:r>
      <w:bookmarkStart w:id="28" w:name="昼间边界噪声"/>
      <w:r>
        <w:t>57</w:t>
      </w:r>
      <w:bookmarkEnd w:id="28"/>
      <w:r>
        <w:rPr>
          <w:rFonts w:hint="eastAsia"/>
          <w:kern w:val="2"/>
          <w:lang w:val="en-US"/>
        </w:rPr>
        <w:t>dB</w:t>
      </w:r>
      <w:r>
        <w:rPr>
          <w:kern w:val="2"/>
          <w:lang w:val="en-US"/>
        </w:rPr>
        <w:t>(A)</w:t>
      </w:r>
      <w:r>
        <w:rPr>
          <w:rFonts w:hint="eastAsia"/>
          <w:kern w:val="2"/>
          <w:lang w:val="en-US"/>
        </w:rPr>
        <w:t>， 夜间为</w:t>
      </w:r>
      <w:bookmarkStart w:id="29" w:name="夜间边界噪声"/>
      <w:r>
        <w:t>48</w:t>
      </w:r>
      <w:bookmarkEnd w:id="29"/>
      <w:r>
        <w:rPr>
          <w:kern w:val="2"/>
          <w:lang w:val="en-US"/>
        </w:rPr>
        <w:t>dB</w:t>
      </w:r>
      <w:r>
        <w:rPr>
          <w:rFonts w:hint="eastAsia"/>
          <w:kern w:val="2"/>
          <w:lang w:val="en-US"/>
        </w:rPr>
        <w:t>(</w:t>
      </w:r>
      <w:r>
        <w:rPr>
          <w:kern w:val="2"/>
          <w:lang w:val="en-US"/>
        </w:rPr>
        <w:t>A)</w:t>
      </w:r>
      <w:r>
        <w:rPr>
          <w:rFonts w:hint="eastAsia" w:ascii="黑体" w:hAnsi="黑体" w:eastAsia="黑体"/>
          <w:lang w:val="en-US"/>
        </w:rPr>
        <w:t>。</w:t>
      </w:r>
    </w:p>
    <w:p>
      <w:pPr>
        <w:pStyle w:val="4"/>
      </w:pPr>
      <w:r>
        <w:rPr>
          <w:rFonts w:hint="eastAsia"/>
        </w:rPr>
        <w:t>建筑</w:t>
      </w:r>
      <w:r>
        <w:t>围护结构隔声与吸声性能</w:t>
      </w:r>
    </w:p>
    <w:p>
      <w:pPr>
        <w:pStyle w:val="3"/>
        <w:spacing w:before="156" w:beforeLines="50" w:after="156" w:afterLines="50"/>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6.2.1    </w:t>
      </w:r>
      <w:r>
        <w:rPr>
          <w:rFonts w:hint="eastAsia" w:ascii="黑体" w:hAnsi="黑体" w:eastAsia="黑体"/>
          <w:kern w:val="2"/>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混合砂浆</w:t>
            </w:r>
          </w:p>
        </w:tc>
        <w:tc>
          <w:tcPr>
            <w:vAlign w:val="center"/>
          </w:tcPr>
          <w:p>
            <w:r>
              <w:t>15</w:t>
            </w:r>
          </w:p>
        </w:tc>
        <w:tc>
          <w:tcPr>
            <w:vAlign w:val="center"/>
          </w:tcPr>
          <w:p>
            <w:r>
              <w:t>1700</w:t>
            </w:r>
          </w:p>
        </w:tc>
        <w:tc>
          <w:tcPr>
            <w:vAlign w:val="center"/>
          </w:tcPr>
          <w:p>
            <w:r>
              <w:t>26</w:t>
            </w:r>
          </w:p>
        </w:tc>
        <w:tc>
          <w:tcPr>
            <w:vMerge w:val="restart"/>
            <w:vAlign w:val="center"/>
          </w:tcPr>
          <w:p>
            <w:r>
              <w:t>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（冬季）热流向下（水平、倾斜δ=5）</w:t>
            </w:r>
          </w:p>
        </w:tc>
        <w:tc>
          <w:tcPr>
            <w:vAlign w:val="center"/>
          </w:tcPr>
          <w:p>
            <w:r>
              <w:t>20</w:t>
            </w:r>
          </w:p>
        </w:tc>
        <w:tc>
          <w:tcPr>
            <w:vAlign w:val="center"/>
          </w:tcPr>
          <w:p>
            <w:r>
              <w:t>1</w:t>
            </w:r>
          </w:p>
        </w:tc>
        <w:tc>
          <w:tcPr>
            <w:vAlign w:val="center"/>
          </w:tcPr>
          <w:p>
            <w:r>
              <w:t>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粉煤灰加气混凝土砌块(墙体)</w:t>
            </w:r>
          </w:p>
        </w:tc>
        <w:tc>
          <w:tcPr>
            <w:vAlign w:val="center"/>
          </w:tcPr>
          <w:p>
            <w:r>
              <w:t>185</w:t>
            </w:r>
          </w:p>
        </w:tc>
        <w:tc>
          <w:tcPr>
            <w:vAlign w:val="center"/>
          </w:tcPr>
          <w:p>
            <w:r>
              <w:t>700</w:t>
            </w:r>
          </w:p>
        </w:tc>
        <w:tc>
          <w:tcPr>
            <w:vAlign w:val="center"/>
          </w:tcPr>
          <w:p>
            <w:r>
              <w:t>130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聚苯颗粒保温砂浆</w:t>
            </w:r>
          </w:p>
        </w:tc>
        <w:tc>
          <w:tcPr>
            <w:vAlign w:val="center"/>
          </w:tcPr>
          <w:p>
            <w:r>
              <w:t>20</w:t>
            </w:r>
          </w:p>
        </w:tc>
        <w:tc>
          <w:tcPr>
            <w:vAlign w:val="center"/>
          </w:tcPr>
          <w:p>
            <w:r>
              <w:t>230</w:t>
            </w:r>
          </w:p>
        </w:tc>
        <w:tc>
          <w:tcPr>
            <w:vAlign w:val="center"/>
          </w:tcPr>
          <w:p>
            <w:r>
              <w:t>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r>
              <w:t>15</w:t>
            </w:r>
          </w:p>
        </w:tc>
        <w:tc>
          <w:tcPr>
            <w:vAlign w:val="center"/>
          </w:tcPr>
          <w:p>
            <w:r>
              <w:t>1700</w:t>
            </w:r>
          </w:p>
        </w:tc>
        <w:tc>
          <w:tcPr>
            <w:vAlign w:val="center"/>
          </w:tcPr>
          <w:p>
            <w:r>
              <w:t>26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聚氨酯(屋面保温)</w:t>
            </w:r>
          </w:p>
        </w:tc>
        <w:tc>
          <w:tcPr>
            <w:vAlign w:val="center"/>
          </w:tcPr>
          <w:p>
            <w:r>
              <w:t>50</w:t>
            </w:r>
          </w:p>
        </w:tc>
        <w:tc>
          <w:tcPr>
            <w:vAlign w:val="center"/>
          </w:tcPr>
          <w:p>
            <w:r>
              <w:t>35</w:t>
            </w:r>
          </w:p>
        </w:tc>
        <w:tc>
          <w:tcPr>
            <w:vAlign w:val="center"/>
          </w:tcPr>
          <w:p>
            <w:r>
              <w:t>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粘土陶粒混凝土(ρ=1400)</w:t>
            </w:r>
          </w:p>
        </w:tc>
        <w:tc>
          <w:tcPr>
            <w:vAlign w:val="center"/>
          </w:tcPr>
          <w:p>
            <w:r>
              <w:t>30</w:t>
            </w:r>
          </w:p>
        </w:tc>
        <w:tc>
          <w:tcPr>
            <w:vAlign w:val="center"/>
          </w:tcPr>
          <w:p>
            <w:r>
              <w:t>1400</w:t>
            </w:r>
          </w:p>
        </w:tc>
        <w:tc>
          <w:tcPr>
            <w:vAlign w:val="center"/>
          </w:tcPr>
          <w:p>
            <w:r>
              <w:t>42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120</w:t>
            </w:r>
          </w:p>
        </w:tc>
        <w:tc>
          <w:tcPr>
            <w:vAlign w:val="center"/>
          </w:tcPr>
          <w:p>
            <w:r>
              <w:t>1450</w:t>
            </w:r>
          </w:p>
        </w:tc>
        <w:tc>
          <w:tcPr>
            <w:vAlign w:val="center"/>
          </w:tcPr>
          <w:p>
            <w:r>
              <w:t>174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矿物油制的毛毡(ρ=150)</w:t>
            </w:r>
          </w:p>
        </w:tc>
        <w:tc>
          <w:tcPr>
            <w:vAlign w:val="center"/>
          </w:tcPr>
          <w:p>
            <w:r>
              <w:t>20</w:t>
            </w:r>
          </w:p>
        </w:tc>
        <w:tc>
          <w:tcPr>
            <w:vAlign w:val="center"/>
          </w:tcPr>
          <w:p>
            <w:r>
              <w:t>150</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泡沫玻璃保温板</w:t>
            </w:r>
          </w:p>
        </w:tc>
        <w:tc>
          <w:tcPr>
            <w:vAlign w:val="center"/>
          </w:tcPr>
          <w:p>
            <w:r>
              <w:t>20</w:t>
            </w:r>
          </w:p>
        </w:tc>
        <w:tc>
          <w:tcPr>
            <w:vAlign w:val="center"/>
          </w:tcPr>
          <w:p>
            <w:r>
              <w:t>150</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橡木、枫树（热流方向顺木纹）</w:t>
            </w:r>
          </w:p>
        </w:tc>
        <w:tc>
          <w:tcPr>
            <w:vAlign w:val="center"/>
          </w:tcPr>
          <w:p>
            <w:r>
              <w:t>20</w:t>
            </w:r>
          </w:p>
        </w:tc>
        <w:tc>
          <w:tcPr>
            <w:vAlign w:val="center"/>
          </w:tcPr>
          <w:p>
            <w:r>
              <w:t>700</w:t>
            </w:r>
          </w:p>
        </w:tc>
        <w:tc>
          <w:tcPr>
            <w:vAlign w:val="center"/>
          </w:tcPr>
          <w:p>
            <w:r>
              <w:t>14</w:t>
            </w:r>
          </w:p>
        </w:tc>
        <w:tc>
          <w:tcPr>
            <w:vMerge w:val="restart"/>
            <w:vAlign w:val="center"/>
          </w:tcPr>
          <w:p>
            <w:r>
              <w:t>196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石油沥青(ρ=1050)</w:t>
            </w:r>
          </w:p>
        </w:tc>
        <w:tc>
          <w:tcPr>
            <w:vAlign w:val="center"/>
          </w:tcPr>
          <w:p>
            <w:r>
              <w:t>120</w:t>
            </w:r>
          </w:p>
        </w:tc>
        <w:tc>
          <w:tcPr>
            <w:vAlign w:val="center"/>
          </w:tcPr>
          <w:p>
            <w:r>
              <w:t>1050</w:t>
            </w:r>
          </w:p>
        </w:tc>
        <w:tc>
          <w:tcPr>
            <w:vAlign w:val="center"/>
          </w:tcPr>
          <w:p>
            <w:r>
              <w:t>126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GTN隔热保温砂浆</w:t>
            </w:r>
          </w:p>
        </w:tc>
        <w:tc>
          <w:tcPr>
            <w:vAlign w:val="center"/>
          </w:tcPr>
          <w:p>
            <w:r>
              <w:t>20</w:t>
            </w:r>
          </w:p>
        </w:tc>
        <w:tc>
          <w:tcPr>
            <w:vAlign w:val="center"/>
          </w:tcPr>
          <w:p>
            <w:r>
              <w:t>500</w:t>
            </w:r>
          </w:p>
        </w:tc>
        <w:tc>
          <w:tcPr>
            <w:vAlign w:val="center"/>
          </w:tcPr>
          <w:p>
            <w:r>
              <w:t>10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粉刷石膏保温砂浆</w:t>
            </w:r>
          </w:p>
        </w:tc>
        <w:tc>
          <w:tcPr>
            <w:vAlign w:val="center"/>
          </w:tcPr>
          <w:p>
            <w:r>
              <w:t>20</w:t>
            </w:r>
          </w:p>
        </w:tc>
        <w:tc>
          <w:tcPr>
            <w:vAlign w:val="center"/>
          </w:tcPr>
          <w:p>
            <w:r>
              <w:t>500</w:t>
            </w:r>
          </w:p>
        </w:tc>
        <w:tc>
          <w:tcPr>
            <w:vAlign w:val="center"/>
          </w:tcPr>
          <w:p>
            <w:r>
              <w:t>10</w:t>
            </w:r>
          </w:p>
        </w:tc>
        <w:tc>
          <w:tcPr>
            <w:vMerge w:val="continue"/>
            <w:vAlign w:val="center"/>
          </w:tcPr>
          <w:p/>
        </w:tc>
      </w:tr>
    </w:tbl>
    <w:p>
      <w:pPr>
        <w:pStyle w:val="3"/>
        <w:ind w:firstLine="420"/>
        <w:jc w:val="left"/>
        <w:rPr>
          <w:lang w:val="en-US"/>
        </w:rPr>
      </w:pPr>
      <w:bookmarkStart w:id="30" w:name="最不利房间围护结构材料清单"/>
      <w:bookmarkEnd w:id="30"/>
    </w:p>
    <w:p>
      <w:pPr>
        <w:pStyle w:val="3"/>
        <w:spacing w:before="156" w:beforeLines="50" w:after="156" w:afterLines="50"/>
        <w:ind w:firstLine="420"/>
        <w:rPr>
          <w:lang w:val="en-US"/>
        </w:rPr>
      </w:pPr>
      <w:r>
        <w:rPr>
          <w:rFonts w:hint="eastAsia"/>
          <w:lang w:val="en-US"/>
        </w:rPr>
        <w:t>此外</w:t>
      </w:r>
      <w:r>
        <w:rPr>
          <w:lang w:val="en-US"/>
        </w:rPr>
        <w:t>SEDU</w:t>
      </w:r>
      <w:r>
        <w:rPr>
          <w:rFonts w:hint="eastAsia"/>
          <w:lang w:val="en-US"/>
        </w:rPr>
        <w:t>提供墙板和门窗在各频率下的隔声和吸声参数供选择，如下：</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6.2.2    </w:t>
      </w:r>
      <w:r>
        <w:rPr>
          <w:rFonts w:hint="eastAsia" w:ascii="黑体" w:hAnsi="黑体" w:eastAsia="黑体"/>
          <w:kern w:val="2"/>
          <w:lang w:val="en-US"/>
        </w:rPr>
        <w:t>建筑声学性能数据</w:t>
      </w:r>
      <w:r>
        <w:rPr>
          <w:rFonts w:ascii="黑体" w:hAnsi="黑体" w:eastAsia="黑体"/>
          <w:kern w:val="2"/>
          <w:lang w:val="en-US"/>
        </w:rPr>
        <w:t>来源</w:t>
      </w:r>
    </w:p>
    <w:tbl>
      <w:tblPr>
        <w:tblStyle w:val="20"/>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3"/>
        <w:ind w:firstLine="304" w:firstLineChars="145"/>
        <w:jc w:val="left"/>
        <w:rPr>
          <w:kern w:val="2"/>
          <w:sz w:val="18"/>
          <w:szCs w:val="18"/>
          <w:lang w:val="en-US"/>
        </w:rPr>
      </w:pPr>
      <w:r>
        <w:rPr>
          <w:rFonts w:hint="eastAsia"/>
        </w:rPr>
        <w:t>本项目涉及构件的具体隔声参数和吸声参数在后续章节将展开描述。</w:t>
      </w:r>
    </w:p>
    <w:p>
      <w:pPr>
        <w:pStyle w:val="2"/>
        <w:rPr>
          <w:kern w:val="2"/>
        </w:rPr>
      </w:pPr>
      <w:r>
        <w:rPr>
          <w:rFonts w:hint="eastAsia"/>
          <w:kern w:val="2"/>
        </w:rPr>
        <w:t>计算</w:t>
      </w:r>
      <w:r>
        <w:rPr>
          <w:kern w:val="2"/>
        </w:rPr>
        <w:t>过程</w:t>
      </w:r>
    </w:p>
    <w:p>
      <w:pPr>
        <w:pStyle w:val="3"/>
        <w:ind w:firstLine="420"/>
        <w:rPr>
          <w:lang w:val="en-US"/>
        </w:rPr>
      </w:pPr>
      <w:r>
        <w:rPr>
          <w:rFonts w:hint="eastAsia"/>
          <w:lang w:val="en-US"/>
        </w:rPr>
        <w:t>如前所述，本项目已经通过对整栋建筑的计算确定了主要功能房间中噪声级最不利的房间为</w:t>
      </w:r>
      <w:bookmarkStart w:id="31" w:name="最不利房间编号2"/>
      <w:r>
        <w:rPr>
          <w:rFonts w:hint="eastAsia"/>
          <w:lang w:val="en-US"/>
        </w:rPr>
        <w:t>1012[商场商店]</w:t>
      </w:r>
      <w:bookmarkEnd w:id="31"/>
      <w:r>
        <w:rPr>
          <w:rFonts w:hint="eastAsia"/>
          <w:lang w:val="en-US"/>
        </w:rPr>
        <w:t>，下面将阐述其室内噪声级计算过程。</w:t>
      </w:r>
    </w:p>
    <w:p>
      <w:pPr>
        <w:pStyle w:val="3"/>
        <w:ind w:firstLine="420"/>
        <w:rPr>
          <w:lang w:val="en-US"/>
        </w:rPr>
      </w:pPr>
      <w:bookmarkStart w:id="32" w:name="最不利房间楼层平面图"/>
      <w:bookmarkEnd w:id="32"/>
      <w:r>
        <w:drawing>
          <wp:inline distT="0" distB="0" distL="0" distR="0">
            <wp:extent cx="5667375" cy="44672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1"/>
                    <a:stretch>
                      <a:fillRect/>
                    </a:stretch>
                  </pic:blipFill>
                  <pic:spPr>
                    <a:xfrm>
                      <a:off x="0" y="0"/>
                      <a:ext cx="5667375" cy="446722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7-1 最不利</w:t>
      </w:r>
      <w:r>
        <w:rPr>
          <w:rFonts w:ascii="黑体" w:hAnsi="黑体" w:eastAsia="黑体"/>
          <w:lang w:val="en-US"/>
        </w:rPr>
        <w:t>房间楼层平面图</w:t>
      </w:r>
    </w:p>
    <w:p>
      <w:pPr>
        <w:pStyle w:val="4"/>
      </w:pPr>
      <w:r>
        <w:rPr>
          <w:rFonts w:hint="eastAsia"/>
        </w:rPr>
        <w:t>室外</w:t>
      </w:r>
      <w:r>
        <w:t>边界噪声值</w:t>
      </w:r>
    </w:p>
    <w:p>
      <w:pPr>
        <w:pStyle w:val="3"/>
        <w:ind w:firstLine="420"/>
        <w:jc w:val="left"/>
        <w:rPr>
          <w:lang w:val="en-US"/>
        </w:rPr>
      </w:pPr>
      <w:r>
        <w:rPr>
          <w:rFonts w:hint="eastAsia"/>
          <w:lang w:val="en-US"/>
        </w:rPr>
        <w:t>通过前述环境噪声分析获得了该房间的室外边界噪声：昼间为</w:t>
      </w:r>
      <w:bookmarkStart w:id="33" w:name="昼间边界噪声2"/>
      <w:r>
        <w:t>57</w:t>
      </w:r>
      <w:bookmarkEnd w:id="33"/>
      <w:r>
        <w:rPr>
          <w:rFonts w:hint="eastAsia"/>
          <w:lang w:val="en-US"/>
        </w:rPr>
        <w:t>dB</w:t>
      </w:r>
      <w:r>
        <w:rPr>
          <w:lang w:val="en-US"/>
        </w:rPr>
        <w:t>(A)</w:t>
      </w:r>
      <w:r>
        <w:rPr>
          <w:rFonts w:hint="eastAsia"/>
          <w:lang w:val="en-US"/>
        </w:rPr>
        <w:t>， 夜间为</w:t>
      </w:r>
      <w:bookmarkStart w:id="34" w:name="夜间边界噪声2"/>
      <w:r>
        <w:t>48</w:t>
      </w:r>
      <w:bookmarkEnd w:id="34"/>
      <w:r>
        <w:rPr>
          <w:lang w:val="en-US"/>
        </w:rPr>
        <w:t>dB(A)</w:t>
      </w:r>
      <w:r>
        <w:rPr>
          <w:rFonts w:hint="eastAsia"/>
          <w:lang w:val="en-US"/>
        </w:rPr>
        <w:t>。</w:t>
      </w:r>
    </w:p>
    <w:p>
      <w:pPr>
        <w:pStyle w:val="4"/>
      </w:pPr>
      <w:r>
        <w:rPr>
          <w:rFonts w:hint="eastAsia"/>
        </w:rPr>
        <w:t>建筑</w:t>
      </w:r>
      <w:r>
        <w:t>构件空气声隔声</w:t>
      </w:r>
    </w:p>
    <w:p>
      <w:pPr>
        <w:widowControl w:val="0"/>
        <w:ind w:left="105" w:leftChars="50" w:firstLine="315" w:firstLineChars="15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firstLine="480" w:firstLineChars="200"/>
        <w:jc w:val="both"/>
        <w:rPr>
          <w:kern w:val="2"/>
          <w:szCs w:val="21"/>
          <w:lang w:val="en-US"/>
        </w:rPr>
      </w:pPr>
      <m:oMathPara>
        <m:oMath>
          <m:r>
            <w:rPr>
              <w:rFonts w:ascii="Cambria Math" w:hAnsi="Cambria Math" w:eastAsia="Dotum"/>
              <w:sz w:val="24"/>
              <w:szCs w:val="24"/>
            </w:rPr>
            <m:t>R</m:t>
          </m:r>
          <m:r>
            <m:rPr>
              <m:sty m:val="p"/>
            </m:rPr>
            <w:rPr>
              <w:rFonts w:ascii="Cambria Math" w:hAnsi="Cambria Math" w:eastAsia="Dotum"/>
              <w:sz w:val="24"/>
              <w:szCs w:val="24"/>
            </w:rPr>
            <m:t>=</m:t>
          </m:r>
          <w:bookmarkStart w:id="35" w:name="公式A1"/>
          <m:r>
            <m:rPr>
              <m:sty m:val="p"/>
            </m:rPr>
            <m:t>23</m:t>
          </m:r>
          <w:bookmarkEnd w:id="35"/>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36" w:name="公式B1"/>
          <m:r>
            <m:rPr>
              <m:sty m:val="p"/>
            </m:rPr>
            <m:t>11</m:t>
          </m:r>
          <w:bookmarkEnd w:id="36"/>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37" w:name="公式C1"/>
          <m:r>
            <m:rPr>
              <m:sty m:val="p"/>
            </m:rPr>
            <m:t>-41</m:t>
          </m:r>
          <w:bookmarkEnd w:id="37"/>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0" w:firstLineChars="0"/>
        <w:rPr>
          <w:rFonts w:ascii="Cambria Math" w:hAnsi="Cambria Math"/>
        </w:rPr>
      </w:pPr>
      <m:oMathPara>
        <m:oMathParaPr>
          <m:jc m:val="center"/>
        </m:oMathParaPr>
        <m:oMath>
          <m:r>
            <w:rPr>
              <w:rFonts w:ascii="Cambria Math" w:hAnsi="Cambria Math" w:eastAsia="Dotum"/>
              <w:sz w:val="24"/>
              <w:szCs w:val="24"/>
            </w:rPr>
            <m:t>R</m:t>
          </m:r>
          <m:r>
            <m:rPr>
              <m:sty m:val="p"/>
            </m:rPr>
            <w:rPr>
              <w:rFonts w:ascii="Cambria Math" w:hAnsi="Cambria Math" w:eastAsia="Dotum"/>
              <w:sz w:val="24"/>
              <w:szCs w:val="24"/>
            </w:rPr>
            <m:t>=</m:t>
          </m:r>
          <w:bookmarkStart w:id="38" w:name="公式A2"/>
          <m:r>
            <m:rPr>
              <m:sty m:val="p"/>
            </m:rPr>
            <m:t>13</m:t>
          </m:r>
          <w:bookmarkEnd w:id="38"/>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39" w:name="公式B2"/>
          <m:r>
            <m:rPr>
              <m:sty m:val="p"/>
            </m:rPr>
            <m:t>11</m:t>
          </m:r>
          <w:bookmarkEnd w:id="39"/>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0" w:name="公式C2"/>
          <m:r>
            <m:rPr>
              <m:sty m:val="p"/>
            </m:rPr>
            <m:t>-18</m:t>
          </m:r>
          <w:bookmarkEnd w:id="40"/>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42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 xml:space="preserve">dB; </w:t>
      </w:r>
    </w:p>
    <w:p>
      <w:pPr>
        <w:pStyle w:val="3"/>
        <w:ind w:firstLine="1039" w:firstLineChars="4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 xml:space="preserve">Hz; </w:t>
      </w:r>
    </w:p>
    <w:p>
      <w:pPr>
        <w:pStyle w:val="3"/>
        <w:ind w:firstLine="1039" w:firstLineChars="495"/>
        <w:rPr>
          <w:rFonts w:ascii="Cambria Math" w:hAnsi="Cambria Math"/>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ind w:firstLine="619" w:firstLineChars="295"/>
        <w:rPr>
          <w:rFonts w:ascii="Cambria Math" w:hAnsi="Cambria Math"/>
        </w:rPr>
      </w:pPr>
      <w:bookmarkStart w:id="41" w:name="最不利房间平面图"/>
      <w:bookmarkEnd w:id="41"/>
      <w:r>
        <w:drawing>
          <wp:inline distT="0" distB="0" distL="0" distR="0">
            <wp:extent cx="5667375" cy="36576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2"/>
                    <a:stretch>
                      <a:fillRect/>
                    </a:stretch>
                  </pic:blipFill>
                  <pic:spPr>
                    <a:xfrm>
                      <a:off x="0" y="0"/>
                      <a:ext cx="5667375" cy="3657600"/>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7.2-1房间</w:t>
      </w:r>
      <w:r>
        <w:rPr>
          <w:rFonts w:ascii="黑体" w:hAnsi="黑体" w:eastAsia="黑体"/>
          <w:lang w:val="en-US"/>
        </w:rPr>
        <w:t>围护结构示意图</w:t>
      </w:r>
    </w:p>
    <w:p>
      <w:pPr>
        <w:pStyle w:val="3"/>
        <w:ind w:firstLine="420"/>
        <w:jc w:val="left"/>
        <w:rPr>
          <w:kern w:val="2"/>
          <w:lang w:val="en-US"/>
        </w:rPr>
      </w:pPr>
      <w:r>
        <w:rPr>
          <w:rFonts w:hint="eastAsia" w:ascii="Cambria Math" w:hAnsi="Cambria Math"/>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7.2.1 </w:t>
      </w:r>
      <w:r>
        <w:rPr>
          <w:rFonts w:hint="eastAsia" w:ascii="黑体" w:hAnsi="黑体" w:eastAsia="黑体"/>
          <w:kern w:val="2"/>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混合砂浆 15mm＋（冬季）热流向下（水平、倾斜δ=5） 20mm＋粉煤灰加气混凝土砌块(墙体) 185mm＋聚苯颗粒保温砂浆 20mm＋混合砂浆 15mm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《建筑设计资料集》</w:t>
            </w:r>
          </w:p>
        </w:tc>
      </w:tr>
    </w:tbl>
    <w:p>
      <w:pPr>
        <w:pStyle w:val="3"/>
        <w:ind w:firstLine="619" w:firstLineChars="295"/>
        <w:jc w:val="left"/>
        <w:rPr>
          <w:rFonts w:ascii="Cambria Math" w:hAnsi="Cambria Math"/>
        </w:rPr>
      </w:pPr>
      <w:bookmarkStart w:id="42" w:name="外墙隔声量"/>
      <w:bookmarkEnd w:id="42"/>
    </w:p>
    <w:p>
      <w:pPr>
        <w:pStyle w:val="3"/>
        <w:ind w:firstLine="420"/>
        <w:jc w:val="left"/>
        <w:rPr>
          <w:lang w:val="en-US"/>
        </w:rPr>
      </w:pPr>
      <w:r>
        <w:rPr>
          <w:rFonts w:hint="eastAsia"/>
          <w:lang w:val="en-US"/>
        </w:rPr>
        <w:t>门窗的空气声隔声量直接参考相关声学资料，详见下表：</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7.2.2 </w:t>
      </w:r>
      <w:r>
        <w:rPr>
          <w:rFonts w:hint="eastAsia" w:ascii="黑体" w:hAnsi="黑体" w:eastAsia="黑体"/>
          <w:kern w:val="2"/>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外窗(C2415)</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35.8</w:t>
            </w:r>
          </w:p>
        </w:tc>
        <w:tc>
          <w:tcPr>
            <w:vAlign w:val="center"/>
          </w:tcPr>
          <w:p>
            <w:r>
              <w:t>43.0</w:t>
            </w:r>
          </w:p>
        </w:tc>
        <w:tc>
          <w:tcPr>
            <w:vAlign w:val="center"/>
          </w:tcPr>
          <w:p>
            <w:r>
              <w:t>48.3</w:t>
            </w:r>
          </w:p>
        </w:tc>
        <w:tc>
          <w:tcPr>
            <w:vAlign w:val="center"/>
          </w:tcPr>
          <w:p>
            <w:r>
              <w:t>53.1</w:t>
            </w:r>
          </w:p>
        </w:tc>
        <w:tc>
          <w:tcPr>
            <w:vAlign w:val="center"/>
          </w:tcPr>
          <w:p>
            <w:r>
              <w:t>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无外遮阳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外门(M3021)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40.0</w:t>
            </w:r>
          </w:p>
        </w:tc>
        <w:tc>
          <w:tcPr>
            <w:vAlign w:val="center"/>
          </w:tcPr>
          <w:p>
            <w:r>
              <w:t>43.0</w:t>
            </w:r>
          </w:p>
        </w:tc>
        <w:tc>
          <w:tcPr>
            <w:vAlign w:val="center"/>
          </w:tcPr>
          <w:p>
            <w:r>
              <w:t>50.0</w:t>
            </w:r>
          </w:p>
        </w:tc>
        <w:tc>
          <w:tcPr>
            <w:vAlign w:val="center"/>
          </w:tcPr>
          <w:p>
            <w:r>
              <w:t>57.0</w:t>
            </w:r>
          </w:p>
        </w:tc>
        <w:tc>
          <w:tcPr>
            <w:vAlign w:val="center"/>
          </w:tcPr>
          <w:p>
            <w:r>
              <w:t>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bl>
    <w:p>
      <w:pPr>
        <w:pStyle w:val="3"/>
        <w:ind w:firstLine="619" w:firstLineChars="295"/>
        <w:jc w:val="left"/>
        <w:rPr>
          <w:rFonts w:ascii="Cambria Math" w:hAnsi="Cambria Math"/>
          <w:lang w:val="en-US"/>
        </w:rPr>
      </w:pPr>
      <w:bookmarkStart w:id="43" w:name="门窗隔声量"/>
      <w:bookmarkEnd w:id="43"/>
    </w:p>
    <w:p>
      <w:pPr>
        <w:pStyle w:val="4"/>
      </w:pPr>
      <w:r>
        <w:rPr>
          <w:rFonts w:hint="eastAsia"/>
        </w:rPr>
        <w:t>房间</w:t>
      </w:r>
      <w:r>
        <w:t>总吸声量计算</w:t>
      </w:r>
    </w:p>
    <w:p>
      <w:pPr>
        <w:ind w:firstLine="315" w:firstLineChars="150"/>
        <w:rPr>
          <w:kern w:val="2"/>
          <w:szCs w:val="21"/>
          <w:lang w:val="en-US"/>
        </w:rPr>
      </w:pPr>
      <w:r>
        <w:rPr>
          <w:rFonts w:hint="eastAsia"/>
          <w:kern w:val="2"/>
          <w:szCs w:val="21"/>
          <w:lang w:val="en-US"/>
        </w:rPr>
        <w:t>按照下面公式计算房间在各中心频率下的总吸声量：</w:t>
      </w:r>
    </w:p>
    <w:p>
      <w:pPr>
        <w:ind w:left="420" w:leftChars="200" w:firstLine="1995" w:firstLineChars="950"/>
        <w:rPr>
          <w:kern w:val="2"/>
          <w:szCs w:val="21"/>
          <w:lang w:val="en-US"/>
        </w:rPr>
      </w:pPr>
      <w:r>
        <w:rPr>
          <w:kern w:val="2"/>
          <w:szCs w:val="21"/>
          <w:lang w:val="en-US"/>
        </w:rPr>
        <w:object>
          <v:shape id="_x0000_i1026" o:spt="75" type="#_x0000_t75" style="height:33.8pt;width:63.8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p>
    <w:p>
      <w:pPr>
        <w:ind w:firstLine="315" w:firstLineChars="150"/>
        <w:rPr>
          <w:kern w:val="2"/>
          <w:szCs w:val="21"/>
          <w:lang w:val="en-US"/>
        </w:rPr>
      </w:pPr>
      <w:r>
        <w:rPr>
          <w:rFonts w:hint="eastAsia"/>
          <w:kern w:val="2"/>
          <w:szCs w:val="21"/>
          <w:lang w:val="en-US"/>
        </w:rPr>
        <w:t>式中：</w:t>
      </w:r>
      <w:r>
        <w:rPr>
          <w:rFonts w:ascii="Calibri" w:hAnsi="Calibri"/>
          <w:kern w:val="2"/>
          <w:position w:val="-14"/>
          <w:szCs w:val="21"/>
          <w:lang w:val="en-US"/>
        </w:rPr>
        <w:object>
          <v:shape id="_x0000_i102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pPr>
        <w:widowControl w:val="0"/>
        <w:ind w:left="630" w:leftChars="300" w:firstLine="315" w:firstLineChars="150"/>
        <w:jc w:val="both"/>
        <w:rPr>
          <w:rFonts w:ascii="Calibri" w:hAnsi="Calibri"/>
          <w:kern w:val="2"/>
          <w:szCs w:val="22"/>
          <w:lang w:val="en-US"/>
        </w:rPr>
      </w:pPr>
      <w:r>
        <w:rPr>
          <w:rFonts w:ascii="Calibri" w:hAnsi="Calibri"/>
          <w:kern w:val="2"/>
          <w:position w:val="-14"/>
          <w:szCs w:val="22"/>
          <w:lang w:val="en-US"/>
        </w:rPr>
        <w:object>
          <v:shape id="_x0000_i1028" o:spt="75" type="#_x0000_t75" style="height:18.8pt;width:15.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时的吸声系数；</w:t>
      </w:r>
    </w:p>
    <w:p>
      <w:pPr>
        <w:widowControl w:val="0"/>
        <w:ind w:left="630" w:leftChars="300" w:firstLine="315" w:firstLineChars="150"/>
        <w:jc w:val="both"/>
        <w:rPr>
          <w:rFonts w:ascii="Calibri" w:hAnsi="Calibri"/>
          <w:kern w:val="2"/>
          <w:szCs w:val="22"/>
          <w:lang w:val="en-US"/>
        </w:rPr>
      </w:pPr>
      <w:r>
        <w:rPr>
          <w:rFonts w:ascii="Calibri" w:hAnsi="Calibri"/>
          <w:kern w:val="2"/>
          <w:position w:val="-12"/>
          <w:szCs w:val="22"/>
          <w:lang w:val="en-US"/>
        </w:rPr>
        <w:object>
          <v:shape id="_x0000_i1029" o:spt="75" type="#_x0000_t75" style="height:18.15pt;width:13.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，这里包括内墙、内窗、地板和天花板。</w:t>
      </w:r>
    </w:p>
    <w:p>
      <w:pPr>
        <w:pStyle w:val="3"/>
        <w:ind w:firstLine="420"/>
        <w:jc w:val="left"/>
        <w:rPr>
          <w:rFonts w:ascii="Calibri" w:hAnsi="Calibri"/>
          <w:kern w:val="2"/>
          <w:szCs w:val="22"/>
          <w:lang w:val="en-US"/>
        </w:rPr>
      </w:pPr>
      <w:r>
        <w:rPr>
          <w:rFonts w:hint="eastAsia" w:ascii="Calibri" w:hAnsi="Calibri"/>
          <w:kern w:val="2"/>
          <w:szCs w:val="22"/>
          <w:lang w:val="en-US"/>
        </w:rPr>
        <w:t>将下面列表中所列各构件吸声系数以及内表面积带入上述吸声量计算公式中，即可得出该房间在各中心频率下的总吸声量。</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7.3 </w:t>
      </w:r>
      <w:r>
        <w:rPr>
          <w:rFonts w:hint="eastAsia" w:ascii="黑体" w:hAnsi="黑体" w:eastAsia="黑体"/>
          <w:kern w:val="2"/>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20.9</w:t>
            </w:r>
          </w:p>
        </w:tc>
        <w:tc>
          <w:tcPr>
            <w:vAlign w:val="center"/>
          </w:tcPr>
          <w:p>
            <w:r>
              <w:t>0.013</w:t>
            </w:r>
          </w:p>
        </w:tc>
        <w:tc>
          <w:tcPr>
            <w:vAlign w:val="center"/>
          </w:tcPr>
          <w:p>
            <w:r>
              <w:t>0.015</w:t>
            </w:r>
          </w:p>
        </w:tc>
        <w:tc>
          <w:tcPr>
            <w:vAlign w:val="center"/>
          </w:tcPr>
          <w:p>
            <w:r>
              <w:t>0.020</w:t>
            </w:r>
          </w:p>
        </w:tc>
        <w:tc>
          <w:tcPr>
            <w:vAlign w:val="center"/>
          </w:tcPr>
          <w:p>
            <w:r>
              <w:t>0.030</w:t>
            </w:r>
          </w:p>
        </w:tc>
        <w:tc>
          <w:tcPr>
            <w:vAlign w:val="center"/>
          </w:tcPr>
          <w:p>
            <w:r>
              <w:t>0.040</w:t>
            </w:r>
          </w:p>
        </w:tc>
        <w:tc>
          <w:tcPr>
            <w:vAlign w:val="center"/>
          </w:tcPr>
          <w:p>
            <w:r>
              <w:t>&lt;&lt;声学手册&gt;&gt;马大猷，沈豪著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28.9</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&lt;&lt;声学手册&gt;&gt;马大猷，沈豪著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外窗(C2415)</w:t>
            </w:r>
          </w:p>
        </w:tc>
        <w:tc>
          <w:tcPr>
            <w:shd w:val="clear" w:color="auto" w:fill="E6E6E6"/>
            <w:vAlign w:val="center"/>
          </w:tcPr>
          <w:p>
            <w:r>
              <w:t>7.2</w:t>
            </w:r>
          </w:p>
        </w:tc>
        <w:tc>
          <w:tcPr>
            <w:vAlign w:val="center"/>
          </w:tcPr>
          <w:p>
            <w:r>
              <w:t>0.180</w:t>
            </w:r>
          </w:p>
        </w:tc>
        <w:tc>
          <w:tcPr>
            <w:vAlign w:val="center"/>
          </w:tcPr>
          <w:p>
            <w:r>
              <w:t>0.060</w:t>
            </w:r>
          </w:p>
        </w:tc>
        <w:tc>
          <w:tcPr>
            <w:vAlign w:val="center"/>
          </w:tcPr>
          <w:p>
            <w:r>
              <w:t>0.040</w:t>
            </w:r>
          </w:p>
        </w:tc>
        <w:tc>
          <w:tcPr>
            <w:vAlign w:val="center"/>
          </w:tcPr>
          <w:p>
            <w:r>
              <w:t>0.030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外门(M3021)</w:t>
            </w:r>
          </w:p>
        </w:tc>
        <w:tc>
          <w:tcPr>
            <w:shd w:val="clear" w:color="auto" w:fill="E6E6E6"/>
            <w:vAlign w:val="center"/>
          </w:tcPr>
          <w:p>
            <w:r>
              <w:t>6.3</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w:t>
            </w:r>
          </w:p>
        </w:tc>
        <w:tc>
          <w:tcPr>
            <w:shd w:val="clear" w:color="auto" w:fill="E6E6E6"/>
            <w:vAlign w:val="center"/>
          </w:tcPr>
          <w:p>
            <w:r>
              <w:t>21.2</w:t>
            </w:r>
          </w:p>
        </w:tc>
        <w:tc>
          <w:tcPr>
            <w:vAlign w:val="center"/>
          </w:tcPr>
          <w:p>
            <w:r>
              <w:t>0.010</w:t>
            </w:r>
          </w:p>
        </w:tc>
        <w:tc>
          <w:tcPr>
            <w:vAlign w:val="center"/>
          </w:tcPr>
          <w:p>
            <w:r>
              <w:t>0.010</w:t>
            </w:r>
          </w:p>
        </w:tc>
        <w:tc>
          <w:tcPr>
            <w:vAlign w:val="center"/>
          </w:tcPr>
          <w:p>
            <w:r>
              <w:t>0.015</w:t>
            </w:r>
          </w:p>
        </w:tc>
        <w:tc>
          <w:tcPr>
            <w:vAlign w:val="center"/>
          </w:tcPr>
          <w:p>
            <w:r>
              <w:t>0.020</w:t>
            </w:r>
          </w:p>
        </w:tc>
        <w:tc>
          <w:tcPr>
            <w:vAlign w:val="center"/>
          </w:tcPr>
          <w:p>
            <w:r>
              <w:t>0.020</w:t>
            </w:r>
          </w:p>
        </w:tc>
        <w:tc>
          <w:tcPr>
            <w:vAlign w:val="center"/>
          </w:tcPr>
          <w:p>
            <w:r>
              <w:t>&lt;&lt;声学手册&gt;&gt;马大猷，沈豪著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21.2</w:t>
            </w:r>
          </w:p>
        </w:tc>
        <w:tc>
          <w:tcPr>
            <w:vAlign w:val="center"/>
          </w:tcPr>
          <w:p>
            <w:r>
              <w:t>0.020</w:t>
            </w:r>
          </w:p>
        </w:tc>
        <w:tc>
          <w:tcPr>
            <w:vAlign w:val="center"/>
          </w:tcPr>
          <w:p>
            <w:r>
              <w:t>0.030</w:t>
            </w:r>
          </w:p>
        </w:tc>
        <w:tc>
          <w:tcPr>
            <w:vAlign w:val="center"/>
          </w:tcPr>
          <w:p>
            <w:r>
              <w:t>0.030</w:t>
            </w:r>
          </w:p>
        </w:tc>
        <w:tc>
          <w:tcPr>
            <w:vAlign w:val="center"/>
          </w:tcPr>
          <w:p>
            <w:r>
              <w:t>0.030</w:t>
            </w:r>
          </w:p>
        </w:tc>
        <w:tc>
          <w:tcPr>
            <w:vAlign w:val="center"/>
          </w:tcPr>
          <w:p>
            <w:r>
              <w:t>0.030</w:t>
            </w:r>
          </w:p>
        </w:tc>
        <w:tc>
          <w:tcPr>
            <w:vAlign w:val="center"/>
          </w:tcPr>
          <w:p>
            <w:r>
              <w:t>&lt;&lt;声学手册&gt;&gt;马大猷，沈豪著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6.1</w:t>
            </w:r>
          </w:p>
        </w:tc>
        <w:tc>
          <w:tcPr>
            <w:vAlign w:val="center"/>
          </w:tcPr>
          <w:p>
            <w:r>
              <w:t>4.0</w:t>
            </w:r>
          </w:p>
        </w:tc>
        <w:tc>
          <w:tcPr>
            <w:vAlign w:val="center"/>
          </w:tcPr>
          <w:p>
            <w:r>
              <w:t>4.0</w:t>
            </w:r>
          </w:p>
        </w:tc>
        <w:tc>
          <w:tcPr>
            <w:vAlign w:val="center"/>
          </w:tcPr>
          <w:p>
            <w:r>
              <w:t>4.6</w:t>
            </w:r>
          </w:p>
        </w:tc>
        <w:tc>
          <w:tcPr>
            <w:vAlign w:val="center"/>
          </w:tcPr>
          <w:p>
            <w:r>
              <w:t>5.3</w:t>
            </w:r>
          </w:p>
        </w:tc>
        <w:tc>
          <w:tcPr>
            <w:vAlign w:val="center"/>
          </w:tcPr>
          <w:p/>
        </w:tc>
      </w:tr>
    </w:tbl>
    <w:p>
      <w:pPr>
        <w:pStyle w:val="3"/>
        <w:ind w:firstLine="619" w:firstLineChars="295"/>
        <w:jc w:val="left"/>
        <w:rPr>
          <w:rFonts w:ascii="Cambria Math" w:hAnsi="Cambria Math"/>
          <w:lang w:val="en-US"/>
        </w:rPr>
      </w:pPr>
      <w:bookmarkStart w:id="44" w:name="围护结构吸声量"/>
      <w:bookmarkEnd w:id="44"/>
    </w:p>
    <w:p>
      <w:pPr>
        <w:pStyle w:val="4"/>
      </w:pPr>
      <w:r>
        <w:rPr>
          <w:rFonts w:hint="eastAsia"/>
        </w:rPr>
        <w:t>组合墙</w:t>
      </w:r>
      <w:r>
        <w:t>空气声隔声量计算</w:t>
      </w:r>
    </w:p>
    <w:p>
      <w:pPr>
        <w:pStyle w:val="3"/>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pPr>
        <w:pStyle w:val="3"/>
        <w:ind w:firstLine="619" w:firstLineChars="295"/>
        <w:jc w:val="left"/>
        <w:rPr>
          <w:lang w:val="en-US"/>
        </w:rPr>
      </w:pPr>
      <w:r>
        <w:rPr>
          <w:lang w:val="en-US"/>
        </w:rPr>
        <w:object>
          <v:shape id="_x0000_i1030" o:spt="75" type="#_x0000_t75" style="height:149.65pt;width:408.2pt;" o:ole="t" filled="f" o:preferrelative="t" stroked="f" coordsize="21600,21600">
            <v:path/>
            <v:fill on="f" focussize="0,0"/>
            <v:stroke on="f" joinstyle="miter"/>
            <v:imagedata r:id="rId22" cropleft="11987f" croptop="25098f" o:title=""/>
            <o:lock v:ext="edit" aspectratio="t"/>
            <w10:wrap type="none"/>
            <w10:anchorlock/>
          </v:shape>
          <o:OLEObject Type="Embed" ProgID="Visio.Drawing.11" ShapeID="_x0000_i1030" DrawAspect="Content" ObjectID="_1468075730" r:id="rId21">
            <o:LockedField>false</o:LockedField>
          </o:OLEObject>
        </w:object>
      </w:r>
    </w:p>
    <w:p>
      <w:pPr>
        <w:ind w:firstLine="3045" w:firstLineChars="1450"/>
        <w:rPr>
          <w:rFonts w:ascii="黑体" w:hAnsi="黑体" w:eastAsia="黑体"/>
          <w:lang w:val="en-US"/>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-1 组合墙空气声隔声量计算原理图</w:t>
      </w:r>
    </w:p>
    <w:p>
      <w:pPr>
        <w:pStyle w:val="5"/>
      </w:pPr>
      <w:r>
        <w:rPr>
          <w:rFonts w:hint="eastAsia"/>
        </w:rPr>
        <w:t>组合墙</w:t>
      </w:r>
      <w:r>
        <w:t>空气声有效隔声量</w:t>
      </w:r>
    </w:p>
    <w:p>
      <w:pPr>
        <w:widowControl w:val="0"/>
        <w:ind w:left="420" w:leftChars="200" w:firstLine="360"/>
        <w:jc w:val="both"/>
        <w:rPr>
          <w:rFonts w:ascii="Calibri" w:hAnsi="Calibri"/>
          <w:kern w:val="2"/>
          <w:szCs w:val="22"/>
          <w:lang w:val="en-US"/>
        </w:rPr>
      </w:pPr>
      <w:r>
        <w:rPr>
          <w:rFonts w:hint="eastAsia" w:ascii="Calibri" w:hAnsi="Calibri"/>
          <w:kern w:val="2"/>
          <w:szCs w:val="22"/>
          <w:lang w:val="en-US"/>
        </w:rPr>
        <w:t>下列公式展示了计算单面组合墙在各中心频率下的空气声有效隔声量的过程，先将7.2节所得构件空气声隔声量代入式（7.4.1-1）获得透射系数，再将构件相关尺寸代入公式（7.4.1-2）中获得平均透射系数，再结合公式（7.4.1-3）和（7.4.1-4）获得空气声实际隔声量和空气声有效隔声量，结果分列于下表中。</w:t>
      </w:r>
    </w:p>
    <w:p>
      <w:pPr>
        <w:widowControl w:val="0"/>
        <w:ind w:left="780"/>
        <w:jc w:val="both"/>
        <w:rPr>
          <w:rFonts w:ascii="Calibri" w:hAnsi="Calibri"/>
          <w:kern w:val="2"/>
          <w:szCs w:val="22"/>
          <w:lang w:val="en-US"/>
        </w:rPr>
      </w:pPr>
      <w:r>
        <w:rPr>
          <w:rFonts w:hint="eastAsia" w:ascii="Calibri" w:hAnsi="Calibri"/>
          <w:kern w:val="2"/>
          <w:szCs w:val="22"/>
          <w:lang w:val="en-US"/>
        </w:rPr>
        <w:t>透射系数：</w:t>
      </w:r>
    </w:p>
    <w:p>
      <w:pPr>
        <w:widowControl w:val="0"/>
        <w:ind w:left="780"/>
        <w:jc w:val="both"/>
        <w:rPr>
          <w:rFonts w:ascii="Calibri" w:hAnsi="Calibri"/>
          <w:kern w:val="2"/>
          <w:szCs w:val="22"/>
          <w:lang w:val="en-US"/>
        </w:rPr>
      </w:pPr>
      <w:r>
        <w:rPr>
          <w:rFonts w:ascii="Calibri" w:hAnsi="Calibri"/>
          <w:kern w:val="2"/>
          <w:szCs w:val="22"/>
          <w:lang w:val="en-US"/>
        </w:rPr>
        <w:pict>
          <v:shape id="_x0000_s1169" o:spid="_x0000_s1169" o:spt="75" type="#_x0000_t75" style="position:absolute;left:0pt;margin-left:131.15pt;margin-top:3.65pt;height:21.4pt;width:60.35pt;z-index:251661312;mso-width-relative:page;mso-height-relative:page;" o:ole="t" filled="f" o:preferrelative="t" stroked="f" coordsize="21600,21600">
            <v:path/>
            <v:fill on="f" focussize="0,0"/>
            <v:stroke on="f" joinstyle="miter"/>
            <v:imagedata r:id="rId24" o:title=""/>
            <o:lock v:ext="edit" aspectratio="t"/>
          </v:shape>
          <o:OLEObject Type="Embed" ProgID="Equation.DSMT4" ShapeID="_x0000_s1169" DrawAspect="Content" ObjectID="_1468075731" r:id="rId23">
            <o:LockedField>false</o:LockedField>
          </o:OLEObject>
        </w:pict>
      </w:r>
      <w:r>
        <w:rPr>
          <w:rFonts w:hint="eastAsia" w:ascii="Calibri" w:hAnsi="Calibri"/>
          <w:kern w:val="2"/>
          <w:szCs w:val="22"/>
          <w:lang w:val="en-US"/>
        </w:rPr>
        <w:t xml:space="preserve">                                                              （7.4.1-1）</w:t>
      </w:r>
    </w:p>
    <w:p>
      <w:pPr>
        <w:widowControl w:val="0"/>
        <w:ind w:right="84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平均透射系数：</w:t>
      </w:r>
    </w:p>
    <w:p>
      <w:pPr>
        <w:widowControl w:val="0"/>
        <w:ind w:left="420"/>
        <w:jc w:val="both"/>
        <w:rPr>
          <w:rFonts w:ascii="Calibri" w:hAnsi="Calibri"/>
          <w:kern w:val="2"/>
          <w:szCs w:val="22"/>
          <w:lang w:val="en-US"/>
        </w:rPr>
      </w:pPr>
      <w:r>
        <w:rPr>
          <w:rFonts w:hint="eastAsia" w:ascii="Calibri" w:hAnsi="Calibri"/>
          <w:kern w:val="2"/>
          <w:szCs w:val="22"/>
          <w:lang w:val="en-US"/>
        </w:rPr>
        <w:t xml:space="preserve">                                                                  （7.4.1-2）</w:t>
      </w:r>
    </w:p>
    <w:p>
      <w:pPr>
        <w:widowControl w:val="0"/>
        <w:ind w:left="420" w:leftChars="200" w:firstLine="1995" w:firstLineChars="950"/>
        <w:jc w:val="both"/>
        <w:rPr>
          <w:rFonts w:ascii="Calibri" w:hAnsi="Calibri"/>
          <w:kern w:val="2"/>
          <w:szCs w:val="22"/>
          <w:lang w:val="en-US"/>
        </w:rPr>
      </w:pPr>
      <w:r>
        <w:rPr>
          <w:lang w:val="en-US"/>
        </w:rPr>
        <w:drawing>
          <wp:inline distT="0" distB="0" distL="0" distR="0">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rcRect t="4243" r="36921" b="3030"/>
                    <a:stretch>
                      <a:fillRect/>
                    </a:stretch>
                  </pic:blipFill>
                  <pic:spPr>
                    <a:xfrm>
                      <a:off x="0" y="0"/>
                      <a:ext cx="1025406" cy="928326"/>
                    </a:xfrm>
                    <a:prstGeom prst="rect">
                      <a:avLst/>
                    </a:prstGeom>
                    <a:ln>
                      <a:noFill/>
                    </a:ln>
                  </pic:spPr>
                </pic:pic>
              </a:graphicData>
            </a:graphic>
          </wp:inline>
        </w:drawing>
      </w:r>
    </w:p>
    <w:p>
      <w:pPr>
        <w:widowControl w:val="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空气声实际隔声量：</w:t>
      </w:r>
      <w:r>
        <w:rPr>
          <w:rFonts w:ascii="Calibri" w:hAnsi="Calibri"/>
          <w:kern w:val="2"/>
          <w:szCs w:val="22"/>
          <w:lang w:val="en-US"/>
        </w:rPr>
        <w:pict>
          <v:shape id="_x0000_s1171" o:spid="_x0000_s1171" o:spt="75" type="#_x0000_t75" style="position:absolute;left:0pt;margin-left:124.35pt;margin-top:7.65pt;height:34.95pt;width:67.15pt;z-index:251663360;mso-width-relative:page;mso-height-relative:page;" o:ole="t" filled="f" o:preferrelative="t" stroked="f" coordsize="21600,21600">
            <v:path/>
            <v:fill on="f" focussize="0,0"/>
            <v:stroke on="f" joinstyle="miter"/>
            <v:imagedata r:id="rId27" o:title=""/>
            <o:lock v:ext="edit" aspectratio="t"/>
          </v:shape>
          <o:OLEObject Type="Embed" ProgID="Equation.DSMT4" ShapeID="_x0000_s1171" DrawAspect="Content" ObjectID="_1468075732" r:id="rId26">
            <o:LockedField>false</o:LockedField>
          </o:OLEObject>
        </w:pict>
      </w:r>
    </w:p>
    <w:p>
      <w:pPr>
        <w:widowControl w:val="0"/>
        <w:ind w:left="420" w:leftChars="200" w:right="840"/>
        <w:jc w:val="both"/>
        <w:rPr>
          <w:rFonts w:ascii="Calibri" w:hAnsi="Calibri"/>
          <w:kern w:val="2"/>
          <w:szCs w:val="22"/>
          <w:lang w:val="en-US"/>
        </w:rPr>
      </w:pPr>
      <w:r>
        <w:rPr>
          <w:rFonts w:hint="eastAsia" w:ascii="Calibri" w:hAnsi="Calibri"/>
          <w:kern w:val="2"/>
          <w:szCs w:val="22"/>
          <w:lang w:val="en-US"/>
        </w:rPr>
        <w:t xml:space="preserve">                                                                  （7.4.1-3）</w:t>
      </w:r>
    </w:p>
    <w:p>
      <w:pPr>
        <w:widowControl w:val="0"/>
        <w:ind w:left="420" w:leftChars="200" w:right="840"/>
        <w:jc w:val="both"/>
        <w:rPr>
          <w:rFonts w:ascii="Calibri" w:hAnsi="Calibri"/>
          <w:kern w:val="2"/>
          <w:szCs w:val="22"/>
          <w:lang w:val="en-US"/>
        </w:rPr>
      </w:pPr>
    </w:p>
    <w:p>
      <w:pPr>
        <w:widowControl w:val="0"/>
        <w:ind w:left="780"/>
        <w:jc w:val="both"/>
        <w:rPr>
          <w:rFonts w:ascii="Calibri" w:hAnsi="Calibri"/>
          <w:kern w:val="2"/>
          <w:szCs w:val="22"/>
          <w:vertAlign w:val="subscript"/>
          <w:lang w:val="en-US"/>
        </w:rPr>
      </w:pPr>
      <w:r>
        <w:rPr>
          <w:rFonts w:hint="eastAsia" w:ascii="Calibri" w:hAnsi="Calibri"/>
          <w:kern w:val="2"/>
          <w:szCs w:val="22"/>
          <w:lang w:val="en-US"/>
        </w:rPr>
        <w:t>空气声有效隔声量：</w:t>
      </w:r>
    </w:p>
    <w:p>
      <w:pPr>
        <w:widowControl w:val="0"/>
        <w:ind w:firstLine="2310" w:firstLineChars="1100"/>
        <w:jc w:val="both"/>
        <w:rPr>
          <w:rFonts w:ascii="Calibri" w:hAnsi="Calibri"/>
          <w:kern w:val="2"/>
          <w:szCs w:val="22"/>
          <w:lang w:val="en-US"/>
        </w:rPr>
      </w:pPr>
      <w:r>
        <w:rPr>
          <w:lang w:val="en-US"/>
        </w:rPr>
        <w:drawing>
          <wp:inline distT="0" distB="0" distL="0" distR="0">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rcRect r="27524"/>
                    <a:stretch>
                      <a:fillRect/>
                    </a:stretch>
                  </pic:blipFill>
                  <pic:spPr>
                    <a:xfrm>
                      <a:off x="0" y="0"/>
                      <a:ext cx="1479920" cy="676390"/>
                    </a:xfrm>
                    <a:prstGeom prst="rect">
                      <a:avLst/>
                    </a:prstGeom>
                    <a:ln>
                      <a:noFill/>
                    </a:ln>
                  </pic:spPr>
                </pic:pic>
              </a:graphicData>
            </a:graphic>
          </wp:inline>
        </w:drawing>
      </w:r>
      <w:r>
        <w:rPr>
          <w:rFonts w:hint="eastAsia" w:ascii="Calibri" w:hAnsi="Calibri"/>
          <w:kern w:val="2"/>
          <w:szCs w:val="22"/>
          <w:lang w:val="en-US"/>
        </w:rPr>
        <w:t xml:space="preserve">                       </w:t>
      </w:r>
      <w:r>
        <w:rPr>
          <w:rFonts w:ascii="Calibri" w:hAnsi="Calibri"/>
          <w:kern w:val="2"/>
          <w:szCs w:val="22"/>
          <w:lang w:val="en-US"/>
        </w:rPr>
        <w:t xml:space="preserve">  </w:t>
      </w:r>
      <w:r>
        <w:rPr>
          <w:rFonts w:hint="eastAsia" w:ascii="Calibri" w:hAnsi="Calibri"/>
          <w:kern w:val="2"/>
          <w:szCs w:val="22"/>
          <w:lang w:val="en-US"/>
        </w:rPr>
        <w:t xml:space="preserve"> （7.4.1-4）</w:t>
      </w:r>
    </w:p>
    <w:p>
      <w:pPr>
        <w:widowControl w:val="0"/>
        <w:jc w:val="both"/>
        <w:rPr>
          <w:rFonts w:ascii="Calibri" w:hAnsi="Calibri"/>
          <w:kern w:val="2"/>
          <w:szCs w:val="22"/>
          <w:lang w:val="en-US"/>
        </w:rPr>
      </w:pP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4"/>
          <w:szCs w:val="22"/>
          <w:lang w:val="en-US"/>
        </w:rPr>
        <w:object>
          <v:shape id="_x0000_i1031" o:spt="75" type="#_x0000_t75" style="height:18.8pt;width:14.4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3" r:id="rId2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4"/>
          <w:szCs w:val="22"/>
          <w:lang w:val="en-US"/>
        </w:rPr>
        <w:object>
          <v:shape id="_x0000_i1032" o:spt="75" type="#_x0000_t75" style="height:18.8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4" r:id="rId3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时的空气声隔声量，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3" o:spt="75" type="#_x0000_t75" style="height:18.8pt;width:13.1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5" r:id="rId33">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时的平均透射系数；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34" o:spt="75" type="#_x0000_t75" style="height:16.9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6" r:id="rId3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，如外墙、外窗、外门；</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5" o:spt="75" type="#_x0000_t75" style="height:18.8pt;width:18.8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7" r:id="rId3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时的空气声实际隔声量，</w:t>
      </w:r>
      <w:r>
        <w:rPr>
          <w:rFonts w:ascii="Calibri" w:hAnsi="Calibri"/>
          <w:kern w:val="2"/>
          <w:szCs w:val="22"/>
          <w:lang w:val="en-US"/>
        </w:rPr>
        <w:t>dB</w:t>
      </w:r>
      <w:r>
        <w:rPr>
          <w:rFonts w:hint="eastAsia" w:ascii="Calibri" w:hAnsi="Calibri"/>
          <w:kern w:val="2"/>
          <w:szCs w:val="22"/>
          <w:lang w:val="en-US"/>
        </w:rPr>
        <w:t>；</w:t>
      </w:r>
    </w:p>
    <w:p>
      <w:pPr>
        <w:widowControl w:val="0"/>
        <w:tabs>
          <w:tab w:val="left" w:pos="9356"/>
        </w:tabs>
        <w:ind w:firstLine="630" w:firstLineChars="300"/>
        <w:jc w:val="both"/>
        <w:rPr>
          <w:rFonts w:ascii="Calibri" w:hAnsi="Calibri"/>
          <w:kern w:val="2"/>
          <w:szCs w:val="22"/>
          <w:lang w:val="en-US"/>
        </w:rPr>
      </w:pPr>
      <w:r>
        <w:rPr>
          <w:rFonts w:ascii="Calibri" w:hAnsi="Calibri"/>
          <w:kern w:val="2"/>
          <w:position w:val="-14"/>
          <w:szCs w:val="22"/>
          <w:lang w:val="en-US"/>
        </w:rPr>
        <w:object>
          <v:shape id="_x0000_i1036" o:spt="75" type="#_x0000_t75" style="height:18.8pt;width:18.8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8" r:id="rId3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时的空气声有效隔声量，</w:t>
      </w:r>
      <w:r>
        <w:rPr>
          <w:rFonts w:ascii="Calibri" w:hAnsi="Calibri"/>
          <w:kern w:val="2"/>
          <w:szCs w:val="22"/>
          <w:lang w:val="en-US"/>
        </w:rPr>
        <w:t>dB</w:t>
      </w:r>
      <w:r>
        <w:rPr>
          <w:rFonts w:hint="eastAsia" w:ascii="Calibri" w:hAnsi="Calibri"/>
          <w:kern w:val="2"/>
          <w:szCs w:val="22"/>
          <w:lang w:val="en-US"/>
        </w:rPr>
        <w:t>；</w:t>
      </w:r>
    </w:p>
    <w:p>
      <w:pPr>
        <w:pStyle w:val="3"/>
        <w:ind w:firstLine="619" w:firstLineChars="295"/>
        <w:jc w:val="left"/>
        <w:rPr>
          <w:rFonts w:ascii="Calibri" w:hAnsi="Calibri"/>
          <w:kern w:val="2"/>
          <w:szCs w:val="22"/>
          <w:lang w:val="en-US"/>
        </w:rPr>
      </w:pPr>
      <w:r>
        <w:rPr>
          <w:rFonts w:ascii="Calibri" w:hAnsi="Calibri"/>
          <w:kern w:val="2"/>
          <w:position w:val="-14"/>
          <w:szCs w:val="22"/>
          <w:lang w:val="en-US"/>
        </w:rPr>
        <w:object>
          <v:shape id="_x0000_i103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39" r:id="rId4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房间在中心频率为</w:t>
      </w:r>
      <w:r>
        <w:rPr>
          <w:rFonts w:ascii="Calibri" w:hAnsi="Calibri"/>
          <w:kern w:val="2"/>
          <w:szCs w:val="22"/>
          <w:lang w:val="en-US"/>
        </w:rPr>
        <w:t>j</w:t>
      </w:r>
      <w:r>
        <w:rPr>
          <w:rFonts w:hint="eastAsia" w:ascii="Calibri" w:hAnsi="Calibri"/>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7.4.1 </w:t>
      </w:r>
      <w:r>
        <w:rPr>
          <w:rFonts w:hint="eastAsia" w:ascii="黑体" w:hAnsi="黑体" w:eastAsia="黑体"/>
          <w:kern w:val="2"/>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外墙1+外窗(C2415)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外窗(C2415)隔声量(dB)</w:t>
            </w:r>
          </w:p>
        </w:tc>
        <w:tc>
          <w:tcPr>
            <w:vAlign w:val="center"/>
          </w:tcPr>
          <w:p>
            <w:r>
              <w:t>35.8</w:t>
            </w:r>
          </w:p>
        </w:tc>
        <w:tc>
          <w:tcPr>
            <w:vAlign w:val="center"/>
          </w:tcPr>
          <w:p>
            <w:r>
              <w:t>43.0</w:t>
            </w:r>
          </w:p>
        </w:tc>
        <w:tc>
          <w:tcPr>
            <w:vAlign w:val="center"/>
          </w:tcPr>
          <w:p>
            <w:r>
              <w:t>48.3</w:t>
            </w:r>
          </w:p>
        </w:tc>
        <w:tc>
          <w:tcPr>
            <w:vAlign w:val="center"/>
          </w:tcPr>
          <w:p>
            <w:r>
              <w:t>53.1</w:t>
            </w:r>
          </w:p>
        </w:tc>
        <w:tc>
          <w:tcPr>
            <w:vAlign w:val="center"/>
          </w:tcPr>
          <w:p>
            <w:r>
              <w:t>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0.000106</w:t>
            </w:r>
          </w:p>
        </w:tc>
        <w:tc>
          <w:tcPr>
            <w:vAlign w:val="center"/>
          </w:tcPr>
          <w:p>
            <w:r>
              <w:t>0.000021</w:t>
            </w:r>
          </w:p>
        </w:tc>
        <w:tc>
          <w:tcPr>
            <w:vAlign w:val="center"/>
          </w:tcPr>
          <w:p>
            <w:r>
              <w:t>0.000007</w:t>
            </w:r>
          </w:p>
        </w:tc>
        <w:tc>
          <w:tcPr>
            <w:vAlign w:val="center"/>
          </w:tcPr>
          <w:p>
            <w:r>
              <w:t>0.000003</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39.8</w:t>
            </w:r>
          </w:p>
        </w:tc>
        <w:tc>
          <w:tcPr>
            <w:vAlign w:val="center"/>
          </w:tcPr>
          <w:p>
            <w:r>
              <w:t>47.0</w:t>
            </w:r>
          </w:p>
        </w:tc>
        <w:tc>
          <w:tcPr>
            <w:vAlign w:val="center"/>
          </w:tcPr>
          <w:p>
            <w:r>
              <w:t>52.3</w:t>
            </w:r>
          </w:p>
        </w:tc>
        <w:tc>
          <w:tcPr>
            <w:vAlign w:val="center"/>
          </w:tcPr>
          <w:p>
            <w:r>
              <w:t>57.1</w:t>
            </w:r>
          </w:p>
        </w:tc>
        <w:tc>
          <w:tcPr>
            <w:vAlign w:val="center"/>
          </w:tcPr>
          <w:p>
            <w:r>
              <w:t>61.2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38.1</w:t>
            </w:r>
          </w:p>
        </w:tc>
        <w:tc>
          <w:tcPr>
            <w:vAlign w:val="center"/>
          </w:tcPr>
          <w:p>
            <w:r>
              <w:t>43.4</w:t>
            </w:r>
          </w:p>
        </w:tc>
        <w:tc>
          <w:tcPr>
            <w:vAlign w:val="center"/>
          </w:tcPr>
          <w:p>
            <w:r>
              <w:t>48.8</w:t>
            </w:r>
          </w:p>
        </w:tc>
        <w:tc>
          <w:tcPr>
            <w:vAlign w:val="center"/>
          </w:tcPr>
          <w:p>
            <w:r>
              <w:t>54.1</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外墙2+外窗(C2415)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外窗(C2415)隔声量(dB)</w:t>
            </w:r>
          </w:p>
        </w:tc>
        <w:tc>
          <w:tcPr>
            <w:vAlign w:val="center"/>
          </w:tcPr>
          <w:p>
            <w:r>
              <w:t>35.8</w:t>
            </w:r>
          </w:p>
        </w:tc>
        <w:tc>
          <w:tcPr>
            <w:vAlign w:val="center"/>
          </w:tcPr>
          <w:p>
            <w:r>
              <w:t>43.0</w:t>
            </w:r>
          </w:p>
        </w:tc>
        <w:tc>
          <w:tcPr>
            <w:vAlign w:val="center"/>
          </w:tcPr>
          <w:p>
            <w:r>
              <w:t>48.3</w:t>
            </w:r>
          </w:p>
        </w:tc>
        <w:tc>
          <w:tcPr>
            <w:vAlign w:val="center"/>
          </w:tcPr>
          <w:p>
            <w:r>
              <w:t>53.1</w:t>
            </w:r>
          </w:p>
        </w:tc>
        <w:tc>
          <w:tcPr>
            <w:vAlign w:val="center"/>
          </w:tcPr>
          <w:p>
            <w:r>
              <w:t>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0.000047</w:t>
            </w:r>
          </w:p>
        </w:tc>
        <w:tc>
          <w:tcPr>
            <w:vAlign w:val="center"/>
          </w:tcPr>
          <w:p>
            <w:r>
              <w:t>0.000010</w:t>
            </w:r>
          </w:p>
        </w:tc>
        <w:tc>
          <w:tcPr>
            <w:vAlign w:val="center"/>
          </w:tcPr>
          <w:p>
            <w:r>
              <w:t>0.000004</w:t>
            </w:r>
          </w:p>
        </w:tc>
        <w:tc>
          <w:tcPr>
            <w:vAlign w:val="center"/>
          </w:tcPr>
          <w:p>
            <w:r>
              <w:t>0.000002</w:t>
            </w:r>
          </w:p>
        </w:tc>
        <w:tc>
          <w:tcPr>
            <w:vAlign w:val="center"/>
          </w:tcPr>
          <w:p>
            <w:r>
              <w:t>0.000001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43.4</w:t>
            </w:r>
          </w:p>
        </w:tc>
        <w:tc>
          <w:tcPr>
            <w:vAlign w:val="center"/>
          </w:tcPr>
          <w:p>
            <w:r>
              <w:t>50.6</w:t>
            </w:r>
          </w:p>
        </w:tc>
        <w:tc>
          <w:tcPr>
            <w:vAlign w:val="center"/>
          </w:tcPr>
          <w:p>
            <w:r>
              <w:t>55.9</w:t>
            </w:r>
          </w:p>
        </w:tc>
        <w:tc>
          <w:tcPr>
            <w:vAlign w:val="center"/>
          </w:tcPr>
          <w:p>
            <w:r>
              <w:t>60.7</w:t>
            </w:r>
          </w:p>
        </w:tc>
        <w:tc>
          <w:tcPr>
            <w:vAlign w:val="center"/>
          </w:tcPr>
          <w:p>
            <w:r>
              <w:t>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38.0</w:t>
            </w:r>
          </w:p>
        </w:tc>
        <w:tc>
          <w:tcPr>
            <w:vAlign w:val="center"/>
          </w:tcPr>
          <w:p>
            <w:r>
              <w:t>43.4</w:t>
            </w:r>
          </w:p>
        </w:tc>
        <w:tc>
          <w:tcPr>
            <w:vAlign w:val="center"/>
          </w:tcPr>
          <w:p>
            <w:r>
              <w:t>48.8</w:t>
            </w:r>
          </w:p>
        </w:tc>
        <w:tc>
          <w:tcPr>
            <w:vAlign w:val="center"/>
          </w:tcPr>
          <w:p>
            <w:r>
              <w:t>54.1</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外墙3+外门(M3021)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外门(M3021)隔声量(dB)</w:t>
            </w:r>
          </w:p>
        </w:tc>
        <w:tc>
          <w:tcPr>
            <w:vAlign w:val="center"/>
          </w:tcPr>
          <w:p>
            <w:r>
              <w:t>40.0</w:t>
            </w:r>
          </w:p>
        </w:tc>
        <w:tc>
          <w:tcPr>
            <w:vAlign w:val="center"/>
          </w:tcPr>
          <w:p>
            <w:r>
              <w:t>43.0</w:t>
            </w:r>
          </w:p>
        </w:tc>
        <w:tc>
          <w:tcPr>
            <w:vAlign w:val="center"/>
          </w:tcPr>
          <w:p>
            <w:r>
              <w:t>50.0</w:t>
            </w:r>
          </w:p>
        </w:tc>
        <w:tc>
          <w:tcPr>
            <w:vAlign w:val="center"/>
          </w:tcPr>
          <w:p>
            <w:r>
              <w:t>57.0</w:t>
            </w:r>
          </w:p>
        </w:tc>
        <w:tc>
          <w:tcPr>
            <w:vAlign w:val="center"/>
          </w:tcPr>
          <w:p>
            <w:r>
              <w:t>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0.000052</w:t>
            </w:r>
          </w:p>
        </w:tc>
        <w:tc>
          <w:tcPr>
            <w:vAlign w:val="center"/>
          </w:tcPr>
          <w:p>
            <w:r>
              <w:t>0.000026</w:t>
            </w:r>
          </w:p>
        </w:tc>
        <w:tc>
          <w:tcPr>
            <w:vAlign w:val="center"/>
          </w:tcPr>
          <w:p>
            <w:r>
              <w:t>0.000006</w:t>
            </w:r>
          </w:p>
        </w:tc>
        <w:tc>
          <w:tcPr>
            <w:vAlign w:val="center"/>
          </w:tcPr>
          <w:p>
            <w:r>
              <w:t>0.000002</w:t>
            </w:r>
          </w:p>
        </w:tc>
        <w:tc>
          <w:tcPr>
            <w:vAlign w:val="center"/>
          </w:tcPr>
          <w:p>
            <w:r>
              <w:t>0.000001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43.0</w:t>
            </w:r>
          </w:p>
        </w:tc>
        <w:tc>
          <w:tcPr>
            <w:vAlign w:val="center"/>
          </w:tcPr>
          <w:p>
            <w:r>
              <w:t>46.0</w:t>
            </w:r>
          </w:p>
        </w:tc>
        <w:tc>
          <w:tcPr>
            <w:vAlign w:val="center"/>
          </w:tcPr>
          <w:p>
            <w:r>
              <w:t>53.0</w:t>
            </w:r>
          </w:p>
        </w:tc>
        <w:tc>
          <w:tcPr>
            <w:vAlign w:val="center"/>
          </w:tcPr>
          <w:p>
            <w:r>
              <w:t>60.0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39.8</w:t>
            </w:r>
          </w:p>
        </w:tc>
        <w:tc>
          <w:tcPr>
            <w:vAlign w:val="center"/>
          </w:tcPr>
          <w:p>
            <w:r>
              <w:t>41.0</w:t>
            </w:r>
          </w:p>
        </w:tc>
        <w:tc>
          <w:tcPr>
            <w:vAlign w:val="center"/>
          </w:tcPr>
          <w:p>
            <w:r>
              <w:t>48.1</w:t>
            </w:r>
          </w:p>
        </w:tc>
        <w:tc>
          <w:tcPr>
            <w:vAlign w:val="center"/>
          </w:tcPr>
          <w:p>
            <w:r>
              <w:t>55.6</w:t>
            </w:r>
          </w:p>
        </w:tc>
        <w:tc>
          <w:tcPr>
            <w:vAlign w:val="center"/>
          </w:tcPr>
          <w:p>
            <w:r>
              <w:t>63.2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bl>
    <w:p>
      <w:pPr>
        <w:pStyle w:val="3"/>
        <w:ind w:firstLine="619" w:firstLineChars="295"/>
        <w:jc w:val="left"/>
        <w:rPr>
          <w:rFonts w:ascii="Calibri" w:hAnsi="Calibri"/>
          <w:kern w:val="2"/>
          <w:szCs w:val="22"/>
          <w:lang w:val="en-US"/>
        </w:rPr>
      </w:pPr>
      <w:bookmarkStart w:id="45" w:name="组合墙隔声量"/>
      <w:bookmarkEnd w:id="45"/>
    </w:p>
    <w:p>
      <w:pPr>
        <w:pStyle w:val="5"/>
      </w:pPr>
      <w:r>
        <w:rPr>
          <w:rFonts w:hint="eastAsia"/>
        </w:rPr>
        <w:t>组合墙</w:t>
      </w:r>
      <w:r>
        <w:t>空气声隔声</w:t>
      </w:r>
      <w:r>
        <w:rPr>
          <w:rFonts w:hint="eastAsia"/>
        </w:rPr>
        <w:t>计</w:t>
      </w:r>
      <w:r>
        <w:t>权单值评价量</w:t>
      </w:r>
    </w:p>
    <w:p>
      <w:pPr>
        <w:widowControl w:val="0"/>
        <w:spacing w:line="400" w:lineRule="atLeast"/>
        <w:ind w:firstLine="420" w:firstLineChars="200"/>
        <w:jc w:val="both"/>
        <w:rPr>
          <w:kern w:val="2"/>
          <w:szCs w:val="24"/>
          <w:lang w:val="en-US"/>
        </w:rPr>
      </w:pPr>
      <w:r>
        <w:rPr>
          <w:rFonts w:hint="eastAsia"/>
          <w:szCs w:val="21"/>
        </w:rPr>
        <w:t xml:space="preserve">通过上述计算获取组合墙在各中心频率下的有效隔声量之后，还需进一步求解其计权单值评价量，本项目依据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after="156" w:afterLines="50" w:line="400" w:lineRule="atLeast"/>
        <w:ind w:firstLine="420" w:firstLineChars="20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声压级差，即对应上述有效隔声量，将上述所得倍频程下空气声有效隔声量代入公式（7.4.2-1）中，同时参考表7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，按公式（7.4.2-1）进行试算得出不利偏差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是否满足公式（7.4.2-2）小于等于10的要求，如满足即可得空气声隔声计权单值评价量，本章节计算所得组合墙空气声隔声计权单值评价量结果列于表7</w:t>
      </w:r>
      <w:r>
        <w:rPr>
          <w:szCs w:val="21"/>
        </w:rPr>
        <w:t>.4.1</w:t>
      </w:r>
      <w:r>
        <w:rPr>
          <w:rFonts w:hint="eastAsia"/>
          <w:szCs w:val="21"/>
        </w:rPr>
        <w:t>中。</w:t>
      </w:r>
    </w:p>
    <w:p>
      <w:pPr>
        <w:widowControl w:val="0"/>
        <w:spacing w:line="400" w:lineRule="atLeast"/>
        <w:ind w:firstLine="567" w:firstLineChars="270"/>
        <w:jc w:val="center"/>
        <w:rPr>
          <w:szCs w:val="21"/>
        </w:rPr>
      </w:pPr>
      <w:r>
        <w:rPr>
          <w:szCs w:val="21"/>
        </w:rPr>
        <w:object>
          <v:shape id="_x0000_i1038" o:spt="75" type="#_x0000_t75" style="height:336.2pt;width:440.15pt;" o:ole="t" filled="f" o:preferrelative="t" stroked="f" coordsize="21600,21600">
            <v:path/>
            <v:fill on="f" focussize="0,0"/>
            <v:stroke on="f" joinstyle="miter"/>
            <v:imagedata r:id="rId43" o:title=""/>
            <o:lock v:ext="edit" aspectratio="t"/>
            <w10:wrap type="none"/>
            <w10:anchorlock/>
          </v:shape>
          <o:OLEObject Type="Embed" ProgID="Visio.Drawing.11" ShapeID="_x0000_i1038" DrawAspect="Content" ObjectID="_1468075740" r:id="rId42">
            <o:LockedField>false</o:LockedField>
          </o:OLEObject>
        </w:object>
      </w:r>
    </w:p>
    <w:p>
      <w:pPr>
        <w:jc w:val="center"/>
        <w:rPr>
          <w:szCs w:val="21"/>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.2</w:t>
      </w:r>
      <w:r>
        <w:rPr>
          <w:rFonts w:ascii="黑体" w:hAnsi="黑体" w:eastAsia="黑体"/>
          <w:lang w:val="en-US"/>
        </w:rPr>
        <w:t>-1</w:t>
      </w:r>
      <w:r>
        <w:rPr>
          <w:rFonts w:hint="eastAsia" w:ascii="黑体" w:hAnsi="黑体" w:eastAsia="黑体"/>
          <w:lang w:val="en-US"/>
        </w:rPr>
        <w:t xml:space="preserve">  组合墙空气声隔声计权单值评价量计算过程</w:t>
      </w:r>
    </w:p>
    <w:p>
      <w:pPr>
        <w:widowControl w:val="0"/>
        <w:spacing w:line="400" w:lineRule="atLeast"/>
        <w:ind w:firstLine="525" w:firstLineChars="250"/>
        <w:jc w:val="both"/>
      </w:pPr>
      <w:r>
        <w:t xml:space="preserve">   </w:t>
      </w:r>
      <w:r>
        <w:rPr>
          <w:rFonts w:hint="eastAsia"/>
        </w:rPr>
        <w:t>不利偏差</w:t>
      </w:r>
      <w:r>
        <w:rPr>
          <w:position w:val="-12"/>
        </w:rPr>
        <w:object>
          <v:shape id="_x0000_i1039" o:spt="75" type="#_x0000_t75" style="height:18.15pt;width:13.15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41" r:id="rId44">
            <o:LockedField>false</o:LockedField>
          </o:OLEObject>
        </w:object>
      </w:r>
      <w:r>
        <w:rPr>
          <w:rFonts w:hint="eastAsia"/>
        </w:rPr>
        <w:t>的计算公式如下：</w:t>
      </w:r>
    </w:p>
    <w:p>
      <w:pPr>
        <w:ind w:left="851" w:right="840"/>
        <w:jc w:val="right"/>
      </w:pPr>
      <w:r>
        <w:pict>
          <v:shape id="_x0000_s1211" o:spid="_x0000_s1211" o:spt="75" type="#_x0000_t75" style="position:absolute;left:0pt;margin-left:73.9pt;margin-top:-1.05pt;height:42.1pt;width:186.8pt;z-index:251666432;mso-width-relative:page;mso-height-relative:page;" o:ole="t" filled="f" o:preferrelative="t" stroked="f" coordsize="21600,21600">
            <v:path/>
            <v:fill on="f" focussize="0,0"/>
            <v:stroke on="f" joinstyle="miter"/>
            <v:imagedata r:id="rId47" o:title=""/>
            <o:lock v:ext="edit" aspectratio="t"/>
          </v:shape>
          <o:OLEObject Type="Embed" ProgID="Equation.DSMT4" ShapeID="_x0000_s1211" DrawAspect="Content" ObjectID="_1468075742" r:id="rId46">
            <o:LockedField>false</o:LockedField>
          </o:OLEObject>
        </w:pict>
      </w:r>
      <w:r>
        <w:rPr>
          <w:rFonts w:hint="eastAsia"/>
        </w:rPr>
        <w:t>（7.4.2-1）</w:t>
      </w:r>
    </w:p>
    <w:p>
      <w:pPr>
        <w:ind w:left="851" w:right="1785"/>
        <w:jc w:val="right"/>
      </w:pPr>
    </w:p>
    <w:p>
      <w:pPr>
        <w:ind w:left="851"/>
        <w:rPr>
          <w:szCs w:val="21"/>
        </w:rPr>
      </w:pPr>
      <w:r>
        <w:rPr>
          <w:rFonts w:hint="eastAsia"/>
          <w:szCs w:val="21"/>
        </w:rPr>
        <w:t xml:space="preserve">             </w:t>
      </w:r>
    </w:p>
    <w:p>
      <w:pPr>
        <w:ind w:left="851"/>
        <w:rPr>
          <w:szCs w:val="21"/>
        </w:rPr>
      </w:pPr>
      <w:r>
        <w:rPr>
          <w:rFonts w:hint="eastAsia"/>
          <w:szCs w:val="21"/>
        </w:rPr>
        <w:t>式中：</w:t>
      </w:r>
      <w:r>
        <w:rPr>
          <w:position w:val="-12"/>
          <w:szCs w:val="21"/>
        </w:rPr>
        <w:object>
          <v:shape id="_x0000_i1040" o:spt="75" type="#_x0000_t75" style="height:18.15pt;width:20.65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rPr>
          <w:rFonts w:hint="eastAsia"/>
          <w:szCs w:val="21"/>
        </w:rPr>
        <w:t>—</w:t>
      </w:r>
      <w:r>
        <w:rPr>
          <w:szCs w:val="21"/>
        </w:rPr>
        <w:t xml:space="preserve"> </w:t>
      </w:r>
      <w:r>
        <w:rPr>
          <w:rFonts w:hint="eastAsia"/>
          <w:szCs w:val="21"/>
        </w:rPr>
        <w:t>空气声隔声计权单值评价量；</w:t>
      </w:r>
    </w:p>
    <w:p>
      <w:pPr>
        <w:ind w:left="851"/>
        <w:rPr>
          <w:szCs w:val="21"/>
        </w:rPr>
      </w:pPr>
      <w:r>
        <w:rPr>
          <w:szCs w:val="21"/>
        </w:rPr>
        <w:t xml:space="preserve">      </w:t>
      </w:r>
      <w:r>
        <w:rPr>
          <w:position w:val="-12"/>
          <w:szCs w:val="21"/>
        </w:rPr>
        <w:object>
          <v:shape id="_x0000_i1041" o:spt="75" type="#_x0000_t75" style="height:18.15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4" r:id="rId50">
            <o:LockedField>false</o:LockedField>
          </o:OLEObject>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pPr>
        <w:ind w:left="851"/>
        <w:rPr>
          <w:szCs w:val="21"/>
        </w:rPr>
      </w:pPr>
      <w:r>
        <w:rPr>
          <w:szCs w:val="21"/>
        </w:rPr>
        <w:t xml:space="preserve">      </w:t>
      </w:r>
      <w:r>
        <w:rPr>
          <w:position w:val="-12"/>
          <w:szCs w:val="21"/>
        </w:rPr>
        <w:object>
          <v:shape id="_x0000_i1042" o:spt="75" type="#_x0000_t75" style="height:18.15pt;width:15.0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5" r:id="rId52">
            <o:LockedField>false</o:LockedField>
          </o:OLEObject>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rPr>
          <w:szCs w:val="21"/>
        </w:rPr>
      </w:pPr>
      <w:r>
        <w:pict>
          <v:shape id="_x0000_s1212" o:spid="_x0000_s1212" o:spt="75" type="#_x0000_t75" style="position:absolute;left:0pt;margin-left:162.5pt;margin-top:2.7pt;height:33.95pt;width:59.1pt;z-index:251667456;mso-width-relative:page;mso-height-relative:page;" o:ole="t" filled="f" o:preferrelative="t" stroked="f" coordsize="21600,21600">
            <v:path/>
            <v:fill on="f" focussize="0,0"/>
            <v:stroke on="f" joinstyle="miter"/>
            <v:imagedata r:id="rId55" o:title=""/>
            <o:lock v:ext="edit" aspectratio="t"/>
          </v:shape>
          <o:OLEObject Type="Embed" ProgID="Equation.DSMT4" ShapeID="_x0000_s1212" DrawAspect="Content" ObjectID="_1468075746" r:id="rId54">
            <o:LockedField>false</o:LockedField>
          </o:OLEObject>
        </w:pict>
      </w:r>
    </w:p>
    <w:p>
      <w:pPr>
        <w:ind w:left="851"/>
        <w:rPr>
          <w:szCs w:val="21"/>
        </w:rPr>
      </w:pPr>
      <w:r>
        <w:rPr>
          <w:rFonts w:hint="eastAsia"/>
          <w:szCs w:val="21"/>
        </w:rPr>
        <w:t xml:space="preserve">                                                             （7.4.2-2）</w:t>
      </w:r>
    </w:p>
    <w:p>
      <w:pPr>
        <w:rPr>
          <w:szCs w:val="21"/>
        </w:rPr>
      </w:pPr>
      <w:r>
        <w:rPr>
          <w:rFonts w:hint="eastAsia"/>
          <w:szCs w:val="21"/>
        </w:rPr>
        <w:t xml:space="preserve">                                                                                   </w:t>
      </w:r>
    </w:p>
    <w:p>
      <w:pPr>
        <w:ind w:left="851"/>
      </w:pPr>
      <w:r>
        <w:rPr>
          <w:rFonts w:hint="eastAsia"/>
        </w:rPr>
        <w:t>式中：</w:t>
      </w:r>
      <w:r>
        <w:rPr>
          <w:position w:val="-6"/>
        </w:rPr>
        <w:object>
          <v:shape id="_x0000_i1043" o:spt="75" type="#_x0000_t75" style="height:13.15pt;width:5.6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7" r:id="rId56">
            <o:LockedField>false</o:LockedField>
          </o:OLEObject>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pPr>
        <w:pStyle w:val="3"/>
        <w:ind w:firstLine="420"/>
        <w:jc w:val="left"/>
        <w:rPr>
          <w:rFonts w:ascii="黑体" w:hAnsi="黑体" w:eastAsia="黑体"/>
          <w:kern w:val="2"/>
          <w:lang w:val="en-US"/>
        </w:rPr>
      </w:pPr>
      <w:r>
        <w:rPr>
          <w:rFonts w:hint="eastAsia"/>
        </w:rPr>
        <w:t xml:space="preserve">                             </w:t>
      </w:r>
      <w:r>
        <w:rPr>
          <w:rFonts w:ascii="黑体" w:hAnsi="黑体" w:eastAsia="黑体"/>
          <w:kern w:val="2"/>
          <w:lang w:val="en-US"/>
        </w:rPr>
        <w:t xml:space="preserve"> </w:t>
      </w:r>
      <w:r>
        <w:rPr>
          <w:rFonts w:hint="eastAsia" w:ascii="黑体" w:hAnsi="黑体" w:eastAsia="黑体"/>
          <w:kern w:val="2"/>
          <w:lang w:val="en-US"/>
        </w:rPr>
        <w:t>表</w:t>
      </w:r>
      <w:r>
        <w:rPr>
          <w:rFonts w:ascii="黑体" w:hAnsi="黑体" w:eastAsia="黑体"/>
          <w:kern w:val="2"/>
          <w:lang w:val="en-US"/>
        </w:rPr>
        <w:t xml:space="preserve">7.4.2 </w:t>
      </w:r>
      <w:r>
        <w:rPr>
          <w:rFonts w:hint="eastAsia" w:ascii="黑体" w:hAnsi="黑体" w:eastAsia="黑体"/>
          <w:kern w:val="2"/>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5"/>
      </w:pPr>
      <w:r>
        <w:rPr>
          <w:rFonts w:hint="eastAsia"/>
        </w:rPr>
        <w:t>组合墙空气声隔声频谱修正量</w:t>
      </w:r>
    </w:p>
    <w:p>
      <w:pPr>
        <w:spacing w:line="400" w:lineRule="atLeast"/>
        <w:ind w:firstLine="525" w:firstLineChars="250"/>
        <w:rPr>
          <w:kern w:val="2"/>
          <w:szCs w:val="21"/>
          <w:lang w:val="en-US"/>
        </w:rPr>
      </w:pPr>
      <w:r>
        <w:rPr>
          <w:rFonts w:hint="eastAsia"/>
          <w:kern w:val="2"/>
          <w:szCs w:val="21"/>
          <w:lang w:val="en-US"/>
        </w:rPr>
        <w:t>频谱修正量为计算组合墙隔声量的必要条件，下面阐述频谱修正量的计算过程。</w:t>
      </w:r>
    </w:p>
    <w:p>
      <w:pPr>
        <w:spacing w:line="400" w:lineRule="atLeast"/>
        <w:ind w:left="420" w:leftChars="200" w:firstLine="105" w:firstLineChars="50"/>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pPr>
        <w:ind w:left="420" w:leftChars="200"/>
      </w:pPr>
      <w:r>
        <w:pict>
          <v:shape id="_x0000_s1213" o:spid="_x0000_s1213" o:spt="75" type="#_x0000_t75" style="position:absolute;left:0pt;margin-left:113.55pt;margin-top:10.65pt;height:21.3pt;width:147.15pt;z-index:251669504;mso-width-relative:page;mso-height-relative:page;" o:ole="t" filled="f" o:preferrelative="t" stroked="f" coordsize="21600,21600">
            <v:path/>
            <v:fill on="f" focussize="0,0"/>
            <v:stroke on="f" joinstyle="miter"/>
            <v:imagedata r:id="rId59" o:title=""/>
            <o:lock v:ext="edit" aspectratio="t"/>
          </v:shape>
          <o:OLEObject Type="Embed" ProgID="Equation.DSMT4" ShapeID="_x0000_s1213" DrawAspect="Content" ObjectID="_1468075748" r:id="rId58">
            <o:LockedField>false</o:LockedField>
          </o:OLEObject>
        </w:pict>
      </w:r>
    </w:p>
    <w:p>
      <w:pPr>
        <w:ind w:left="420" w:leftChars="200"/>
      </w:pPr>
      <w:r>
        <w:rPr>
          <w:rFonts w:hint="eastAsia"/>
        </w:rPr>
        <w:t xml:space="preserve">                                                               （7.4.3）</w:t>
      </w:r>
    </w:p>
    <w:p>
      <w:pPr>
        <w:pStyle w:val="3"/>
        <w:ind w:left="105" w:leftChars="50" w:firstLine="401" w:firstLineChars="191"/>
        <w:rPr>
          <w:lang w:val="en-US"/>
        </w:rPr>
      </w:pPr>
      <w:r>
        <w:rPr>
          <w:rFonts w:hint="eastAsia" w:ascii="宋体" w:hAnsi="宋体"/>
        </w:rPr>
        <w:t>式</w:t>
      </w:r>
      <w:r>
        <w:rPr>
          <w:rFonts w:hint="eastAsia"/>
          <w:lang w:val="en-US"/>
        </w:rPr>
        <w:t>中：</w:t>
      </w:r>
    </w:p>
    <w:p>
      <w:pPr>
        <w:pStyle w:val="3"/>
        <w:ind w:left="105" w:leftChars="50" w:firstLine="816" w:firstLineChars="340"/>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4" o:spt="75" type="#_x0000_t75" style="height:13.15pt;width:5.65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9" r:id="rId60">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pPr>
        <w:spacing w:line="400" w:lineRule="atLeast"/>
        <w:rPr>
          <w:kern w:val="2"/>
          <w:szCs w:val="21"/>
          <w:lang w:val="en-US"/>
        </w:rPr>
      </w:pPr>
      <w:r>
        <w:rPr>
          <w:rFonts w:hint="eastAsia"/>
          <w:kern w:val="2"/>
          <w:szCs w:val="21"/>
          <w:lang w:val="en-US"/>
        </w:rPr>
        <w:t xml:space="preserve">    频谱修正量在计算时应精确到0.1dB，得出的结果应修约为整数。根据所用的频谱，其频谱修正量：</w:t>
      </w:r>
    </w:p>
    <w:p>
      <w:pPr>
        <w:spacing w:line="400" w:lineRule="atLeast"/>
        <w:ind w:firstLine="1575" w:firstLineChars="750"/>
        <w:rPr>
          <w:kern w:val="2"/>
          <w:szCs w:val="21"/>
          <w:lang w:val="en-US"/>
        </w:rPr>
      </w:pPr>
      <w:r>
        <w:rPr>
          <w:rFonts w:hint="eastAsia"/>
          <w:kern w:val="2"/>
          <w:szCs w:val="21"/>
          <w:lang w:val="en-US"/>
        </w:rPr>
        <w:t>— C用于频谱1（A计权粉红噪声）；</w:t>
      </w:r>
    </w:p>
    <w:p>
      <w:pPr>
        <w:spacing w:line="400" w:lineRule="atLeast"/>
        <w:ind w:firstLine="1575" w:firstLineChars="750"/>
        <w:rPr>
          <w:kern w:val="2"/>
          <w:szCs w:val="21"/>
          <w:lang w:val="en-US"/>
        </w:rPr>
      </w:pPr>
      <w:r>
        <w:rPr>
          <w:rFonts w:hint="eastAsia"/>
          <w:kern w:val="2"/>
          <w:szCs w:val="21"/>
          <w:lang w:val="en-US"/>
        </w:rPr>
        <w:t>— Ctr用于频谱2（A计权交通噪声）。</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.4.</w:t>
      </w:r>
      <w:r>
        <w:rPr>
          <w:rFonts w:hint="eastAsia" w:ascii="黑体" w:hAnsi="黑体" w:eastAsia="黑体"/>
          <w:kern w:val="2"/>
          <w:lang w:val="en-US"/>
        </w:rPr>
        <w:t>3计算频谱修正量的声压级频谱</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268"/>
        <w:gridCol w:w="1077"/>
        <w:gridCol w:w="1077"/>
        <w:gridCol w:w="1077"/>
        <w:gridCol w:w="1077"/>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02" w:type="dxa"/>
            <w:gridSpan w:val="2"/>
            <w:shd w:val="clear" w:color="auto" w:fill="E6E6E6"/>
            <w:vAlign w:val="center"/>
          </w:tcPr>
          <w:p>
            <w:pPr>
              <w:jc w:val="center"/>
            </w:pPr>
            <w:r>
              <w:rPr>
                <w:rFonts w:hint="eastAsia"/>
              </w:rPr>
              <w:t>频率</w:t>
            </w:r>
          </w:p>
        </w:tc>
        <w:tc>
          <w:tcPr>
            <w:tcW w:w="1077" w:type="dxa"/>
            <w:shd w:val="clear" w:color="auto" w:fill="E6E6E6"/>
            <w:vAlign w:val="center"/>
          </w:tcPr>
          <w:p>
            <w:pPr>
              <w:jc w:val="center"/>
            </w:pPr>
            <w:r>
              <w:t>125</w:t>
            </w:r>
            <w:r>
              <w:rPr>
                <w:rFonts w:hint="eastAsia"/>
              </w:rPr>
              <w:t xml:space="preserve"> </w:t>
            </w:r>
            <w:r>
              <w:t>H</w:t>
            </w:r>
            <w:r>
              <w:rPr>
                <w:rFonts w:hint="eastAsia"/>
              </w:rPr>
              <w:t>z</w:t>
            </w:r>
          </w:p>
        </w:tc>
        <w:tc>
          <w:tcPr>
            <w:tcW w:w="1077" w:type="dxa"/>
            <w:shd w:val="clear" w:color="auto" w:fill="E6E6E6"/>
            <w:vAlign w:val="center"/>
          </w:tcPr>
          <w:p>
            <w:pPr>
              <w:jc w:val="center"/>
            </w:pPr>
            <w:r>
              <w:t>250</w:t>
            </w:r>
            <w:r>
              <w:rPr>
                <w:rFonts w:hint="eastAsia"/>
              </w:rPr>
              <w:t xml:space="preserve"> </w:t>
            </w:r>
            <w:r>
              <w:t>H</w:t>
            </w:r>
            <w:r>
              <w:rPr>
                <w:rFonts w:hint="eastAsia"/>
              </w:rPr>
              <w:t>z</w:t>
            </w:r>
          </w:p>
        </w:tc>
        <w:tc>
          <w:tcPr>
            <w:tcW w:w="1077" w:type="dxa"/>
            <w:shd w:val="clear" w:color="auto" w:fill="E6E6E6"/>
            <w:vAlign w:val="center"/>
          </w:tcPr>
          <w:p>
            <w:pPr>
              <w:jc w:val="center"/>
            </w:pPr>
            <w:r>
              <w:t>500</w:t>
            </w:r>
            <w:r>
              <w:rPr>
                <w:rFonts w:hint="eastAsia"/>
              </w:rPr>
              <w:t xml:space="preserve"> </w:t>
            </w:r>
            <w:r>
              <w:t>H</w:t>
            </w:r>
            <w:r>
              <w:rPr>
                <w:rFonts w:hint="eastAsia"/>
              </w:rPr>
              <w:t>z</w:t>
            </w:r>
          </w:p>
        </w:tc>
        <w:tc>
          <w:tcPr>
            <w:tcW w:w="1077" w:type="dxa"/>
            <w:shd w:val="clear" w:color="auto" w:fill="E6E6E6"/>
            <w:vAlign w:val="center"/>
          </w:tcPr>
          <w:p>
            <w:pPr>
              <w:jc w:val="center"/>
            </w:pPr>
            <w:r>
              <w:t>1000</w:t>
            </w:r>
            <w:r>
              <w:rPr>
                <w:rFonts w:hint="eastAsia"/>
              </w:rPr>
              <w:t xml:space="preserve"> </w:t>
            </w:r>
            <w:r>
              <w:t>H</w:t>
            </w:r>
            <w:r>
              <w:rPr>
                <w:rFonts w:hint="eastAsia"/>
              </w:rPr>
              <w:t>z</w:t>
            </w:r>
          </w:p>
        </w:tc>
        <w:tc>
          <w:tcPr>
            <w:tcW w:w="1078"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0" w:hRule="atLeast"/>
        </w:trPr>
        <w:tc>
          <w:tcPr>
            <w:tcW w:w="1134" w:type="dxa"/>
            <w:vMerge w:val="restart"/>
            <w:shd w:val="clear" w:color="auto" w:fill="E6E6E6"/>
            <w:vAlign w:val="center"/>
          </w:tcPr>
          <w:p>
            <w:pPr>
              <w:jc w:val="center"/>
            </w:pPr>
            <w:r>
              <w:rPr>
                <w:rFonts w:hint="eastAsia" w:ascii="宋体" w:hAnsi="宋体" w:cs="宋体"/>
                <w:color w:val="000000"/>
                <w:szCs w:val="21"/>
              </w:rPr>
              <w:t>声压级</w:t>
            </w:r>
            <w:r>
              <w:rPr>
                <w:rFonts w:hint="eastAsia" w:ascii="宋体" w:hAnsi="宋体" w:cs="宋体"/>
                <w:i/>
                <w:color w:val="000000"/>
                <w:szCs w:val="21"/>
              </w:rPr>
              <w:t>L</w:t>
            </w:r>
            <w:r>
              <w:rPr>
                <w:rFonts w:hint="eastAsia" w:ascii="宋体" w:hAnsi="宋体" w:cs="宋体"/>
                <w:i/>
                <w:color w:val="000000"/>
                <w:szCs w:val="21"/>
                <w:vertAlign w:val="subscript"/>
              </w:rPr>
              <w:t>ij</w:t>
            </w:r>
            <w:r>
              <w:rPr>
                <w:rFonts w:hint="eastAsia" w:ascii="宋体" w:hAnsi="宋体" w:cs="宋体"/>
                <w:color w:val="000000"/>
                <w:szCs w:val="21"/>
              </w:rPr>
              <w:t>（dB）</w:t>
            </w:r>
          </w:p>
        </w:tc>
        <w:tc>
          <w:tcPr>
            <w:tcW w:w="2268" w:type="dxa"/>
            <w:shd w:val="clear" w:color="auto" w:fill="E6E6E6"/>
            <w:vAlign w:val="center"/>
          </w:tcPr>
          <w:p>
            <w:pPr>
              <w:jc w:val="center"/>
            </w:pPr>
            <w:r>
              <w:rPr>
                <w:rFonts w:hint="eastAsia" w:ascii="宋体" w:hAnsi="宋体" w:cs="宋体"/>
                <w:color w:val="000000"/>
                <w:szCs w:val="21"/>
              </w:rPr>
              <w:t>用于计算C的频谱1</w:t>
            </w:r>
          </w:p>
        </w:tc>
        <w:tc>
          <w:tcPr>
            <w:tcW w:w="1077" w:type="dxa"/>
            <w:vAlign w:val="center"/>
          </w:tcPr>
          <w:p>
            <w:pPr>
              <w:jc w:val="center"/>
            </w:pPr>
            <w:r>
              <w:rPr>
                <w:rFonts w:hint="eastAsia" w:ascii="宋体" w:hAnsi="宋体" w:cs="宋体"/>
                <w:color w:val="000000"/>
                <w:szCs w:val="21"/>
              </w:rPr>
              <w:t>-21</w:t>
            </w:r>
          </w:p>
        </w:tc>
        <w:tc>
          <w:tcPr>
            <w:tcW w:w="1077" w:type="dxa"/>
            <w:vAlign w:val="center"/>
          </w:tcPr>
          <w:p>
            <w:pPr>
              <w:jc w:val="center"/>
            </w:pPr>
            <w:r>
              <w:rPr>
                <w:rFonts w:hint="eastAsia" w:ascii="宋体" w:hAnsi="宋体" w:cs="宋体"/>
                <w:color w:val="000000"/>
                <w:szCs w:val="21"/>
              </w:rPr>
              <w:t>-14</w:t>
            </w:r>
          </w:p>
        </w:tc>
        <w:tc>
          <w:tcPr>
            <w:tcW w:w="1077" w:type="dxa"/>
            <w:vAlign w:val="center"/>
          </w:tcPr>
          <w:p>
            <w:pPr>
              <w:jc w:val="center"/>
            </w:pPr>
            <w:r>
              <w:rPr>
                <w:rFonts w:hint="eastAsia" w:ascii="宋体" w:hAnsi="宋体" w:cs="宋体"/>
                <w:color w:val="000000"/>
                <w:szCs w:val="21"/>
              </w:rPr>
              <w:t>-8</w:t>
            </w:r>
          </w:p>
        </w:tc>
        <w:tc>
          <w:tcPr>
            <w:tcW w:w="1077" w:type="dxa"/>
            <w:vAlign w:val="center"/>
          </w:tcPr>
          <w:p>
            <w:pPr>
              <w:jc w:val="center"/>
            </w:pPr>
            <w:r>
              <w:rPr>
                <w:rFonts w:hint="eastAsia" w:ascii="宋体" w:hAnsi="宋体" w:cs="宋体"/>
                <w:color w:val="000000"/>
                <w:szCs w:val="21"/>
              </w:rPr>
              <w:t>-5</w:t>
            </w:r>
          </w:p>
        </w:tc>
        <w:tc>
          <w:tcPr>
            <w:tcW w:w="1078" w:type="dxa"/>
            <w:vAlign w:val="center"/>
          </w:tcPr>
          <w:p>
            <w:pPr>
              <w:jc w:val="center"/>
            </w:pPr>
            <w:r>
              <w:rPr>
                <w:rFonts w:hint="eastAsia" w:ascii="宋体" w:hAnsi="宋体" w:cs="宋体"/>
                <w:color w:val="000000"/>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134" w:type="dxa"/>
            <w:vMerge w:val="continue"/>
            <w:shd w:val="clear" w:color="auto" w:fill="E6E6E6"/>
            <w:vAlign w:val="center"/>
          </w:tcPr>
          <w:p>
            <w:pPr>
              <w:jc w:val="center"/>
              <w:rPr>
                <w:rFonts w:ascii="宋体" w:hAnsi="宋体" w:cs="宋体"/>
                <w:color w:val="000000"/>
                <w:szCs w:val="21"/>
              </w:rPr>
            </w:pPr>
          </w:p>
        </w:tc>
        <w:tc>
          <w:tcPr>
            <w:tcW w:w="2268" w:type="dxa"/>
            <w:shd w:val="clear" w:color="auto" w:fill="E6E6E6"/>
            <w:vAlign w:val="center"/>
          </w:tcPr>
          <w:p>
            <w:pPr>
              <w:jc w:val="center"/>
              <w:rPr>
                <w:rFonts w:ascii="宋体" w:hAnsi="宋体" w:cs="宋体"/>
                <w:color w:val="000000"/>
                <w:szCs w:val="21"/>
              </w:rPr>
            </w:pPr>
            <w:r>
              <w:rPr>
                <w:rFonts w:hint="eastAsia" w:ascii="宋体" w:hAnsi="宋体" w:cs="宋体"/>
                <w:color w:val="000000"/>
                <w:szCs w:val="21"/>
              </w:rPr>
              <w:t>用于计算C</w:t>
            </w:r>
            <w:r>
              <w:rPr>
                <w:rFonts w:hint="eastAsia" w:ascii="宋体" w:hAnsi="宋体" w:cs="宋体"/>
                <w:color w:val="000000"/>
                <w:sz w:val="16"/>
                <w:szCs w:val="21"/>
              </w:rPr>
              <w:t>tr</w:t>
            </w:r>
            <w:r>
              <w:rPr>
                <w:rFonts w:hint="eastAsia" w:ascii="宋体" w:hAnsi="宋体" w:cs="宋体"/>
                <w:color w:val="000000"/>
                <w:szCs w:val="21"/>
              </w:rPr>
              <w:t>的频谱2</w:t>
            </w:r>
          </w:p>
        </w:tc>
        <w:tc>
          <w:tcPr>
            <w:tcW w:w="1077" w:type="dxa"/>
            <w:vAlign w:val="center"/>
          </w:tcPr>
          <w:p>
            <w:pPr>
              <w:jc w:val="center"/>
            </w:pPr>
            <w:r>
              <w:t>-14</w:t>
            </w:r>
          </w:p>
        </w:tc>
        <w:tc>
          <w:tcPr>
            <w:tcW w:w="1077" w:type="dxa"/>
            <w:vAlign w:val="center"/>
          </w:tcPr>
          <w:p>
            <w:pPr>
              <w:jc w:val="center"/>
            </w:pPr>
            <w:r>
              <w:t>-10</w:t>
            </w:r>
          </w:p>
        </w:tc>
        <w:tc>
          <w:tcPr>
            <w:tcW w:w="1077" w:type="dxa"/>
            <w:vAlign w:val="center"/>
          </w:tcPr>
          <w:p>
            <w:pPr>
              <w:jc w:val="center"/>
            </w:pPr>
            <w:r>
              <w:t>-7</w:t>
            </w:r>
          </w:p>
        </w:tc>
        <w:tc>
          <w:tcPr>
            <w:tcW w:w="1077" w:type="dxa"/>
            <w:vAlign w:val="center"/>
          </w:tcPr>
          <w:p>
            <w:pPr>
              <w:jc w:val="center"/>
            </w:pPr>
            <w:r>
              <w:t>-4</w:t>
            </w:r>
          </w:p>
        </w:tc>
        <w:tc>
          <w:tcPr>
            <w:tcW w:w="1078" w:type="dxa"/>
            <w:vAlign w:val="center"/>
          </w:tcPr>
          <w:p>
            <w:pPr>
              <w:jc w:val="center"/>
            </w:pPr>
            <w:r>
              <w:t>-6</w:t>
            </w:r>
          </w:p>
        </w:tc>
      </w:tr>
    </w:tbl>
    <w:p>
      <w:pPr>
        <w:pStyle w:val="3"/>
        <w:ind w:firstLine="420"/>
        <w:jc w:val="left"/>
        <w:rPr>
          <w:lang w:val="en-US"/>
        </w:rPr>
      </w:pPr>
      <w:r>
        <w:rPr>
          <w:rFonts w:hint="eastAsia"/>
          <w:lang w:val="en-US"/>
        </w:rPr>
        <w:t>将前述所得倍频程下有效隔声量、计权单值评价量以及上表中各频程/频谱对应声压级代入公式（7.4.3）中，即可得频谱修正量，计算结果列于表</w:t>
      </w:r>
      <w:r>
        <w:rPr>
          <w:lang w:val="en-US"/>
        </w:rPr>
        <w:t>7.4.1</w:t>
      </w:r>
      <w:r>
        <w:rPr>
          <w:rFonts w:hint="eastAsia"/>
          <w:lang w:val="en-US"/>
        </w:rPr>
        <w:t>中。</w:t>
      </w:r>
    </w:p>
    <w:p>
      <w:pPr>
        <w:pStyle w:val="5"/>
      </w:pPr>
      <w:r>
        <w:rPr>
          <w:rFonts w:hint="eastAsia"/>
        </w:rPr>
        <w:t>组合墙隔声量</w:t>
      </w:r>
    </w:p>
    <w:p>
      <w:pPr>
        <w:pStyle w:val="3"/>
        <w:ind w:firstLine="315" w:firstLineChars="150"/>
        <w:jc w:val="left"/>
      </w:pPr>
      <w:r>
        <w:rPr>
          <w:rFonts w:hint="eastAsia"/>
        </w:rPr>
        <w:t>根据图</w:t>
      </w:r>
      <w:r>
        <w:t>7.4-1</w:t>
      </w:r>
      <w:r>
        <w:rPr>
          <w:rFonts w:hint="eastAsia"/>
        </w:rPr>
        <w:t xml:space="preserve"> 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pPr>
        <w:pStyle w:val="5"/>
      </w:pPr>
      <w:r>
        <w:rPr>
          <w:rFonts w:hint="eastAsia"/>
        </w:rPr>
        <w:t>门/窗与墙的间隙对组合墙隔声量的影响</w:t>
      </w:r>
    </w:p>
    <w:p>
      <w:pPr>
        <w:spacing w:line="276" w:lineRule="auto"/>
        <w:ind w:firstLine="315" w:firstLineChars="150"/>
      </w:pPr>
      <w:r>
        <w:rPr>
          <w:rFonts w:hint="eastAsia"/>
        </w:rPr>
        <w:t>在通常门/窗与墙之间在安装过程中都会留下缝隙，而一般的缝隙填充材料对降低隔声几乎没有实际的效果，所以该缝隙对组合墙的隔声性能影响较大。</w:t>
      </w:r>
    </w:p>
    <w:p>
      <w:pPr>
        <w:spacing w:line="276" w:lineRule="auto"/>
        <w:ind w:firstLine="315" w:firstLineChars="150"/>
      </w:pPr>
      <w:r>
        <w:rPr>
          <w:rFonts w:hint="eastAsia"/>
        </w:rPr>
        <w:t>缝隙的影响主要决定于其尺寸和声波波长的比值。如果孔的尺寸大于声波波长时，透过缝隙的声能可近似认为与缝隙的面积成正比。缝隙导致的隔声量降低值用下列公式表示：</w:t>
      </w:r>
    </w:p>
    <w:p>
      <w:r>
        <w:t xml:space="preserve"> </w:t>
      </w:r>
      <w:r>
        <w:rPr>
          <w:rFonts w:hint="eastAsia"/>
        </w:rPr>
        <w:t xml:space="preserve">                             </w:t>
      </w:r>
      <w:r>
        <w:rPr>
          <w:position w:val="-60"/>
          <w:szCs w:val="21"/>
        </w:rPr>
        <w:object>
          <v:shape id="_x0000_i1045" o:spt="75" type="#_x0000_t75" style="height:66.35pt;width:115.2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50" r:id="rId62">
            <o:LockedField>false</o:LockedField>
          </o:OLEObject>
        </w:object>
      </w:r>
      <w:r>
        <w:rPr>
          <w:rFonts w:hint="eastAsia"/>
          <w:szCs w:val="21"/>
        </w:rPr>
        <w:t xml:space="preserve">                    </w:t>
      </w:r>
      <w:r>
        <w:rPr>
          <w:rFonts w:hint="eastAsia"/>
        </w:rPr>
        <w:t>（7.4.5）</w:t>
      </w:r>
    </w:p>
    <w:p>
      <w:pPr>
        <w:ind w:firstLine="420" w:firstLineChars="200"/>
      </w:pPr>
      <w:r>
        <w:rPr>
          <w:rFonts w:hint="eastAsia"/>
        </w:rPr>
        <w:t>式中：</w:t>
      </w:r>
      <w:r>
        <w:rPr>
          <w:i/>
          <w:sz w:val="24"/>
          <w:lang w:val="en-US"/>
        </w:rPr>
        <w:t>R</w:t>
      </w:r>
      <w:r>
        <w:rPr>
          <w:i/>
          <w:sz w:val="22"/>
          <w:vertAlign w:val="subscript"/>
          <w:lang w:val="en-US"/>
        </w:rPr>
        <w:t>0</w:t>
      </w:r>
      <w:r>
        <w:rPr>
          <w:rFonts w:hint="eastAsia"/>
        </w:rPr>
        <w:t>——隔声结构的隔声量；</w:t>
      </w:r>
    </w:p>
    <w:p>
      <w:pPr>
        <w:ind w:firstLine="525" w:firstLineChars="250"/>
      </w:pPr>
      <w:r>
        <w:rPr>
          <w:rFonts w:hint="eastAsia"/>
        </w:rPr>
        <w:t xml:space="preserve"> </w:t>
      </w:r>
      <w:r>
        <w:t xml:space="preserve">   </w:t>
      </w:r>
      <w:r>
        <w:rPr>
          <w:position w:val="-12"/>
        </w:rPr>
        <w:object>
          <v:shape id="_x0000_i1046" o:spt="75" type="#_x0000_t75" style="height:18.15pt;width:14.4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51" r:id="rId64">
            <o:LockedField>false</o:LockedField>
          </o:OLEObject>
        </w:object>
      </w:r>
      <w:r>
        <w:rPr>
          <w:rFonts w:hint="eastAsia"/>
        </w:rPr>
        <w:t>、</w:t>
      </w:r>
      <w:r>
        <w:rPr>
          <w:position w:val="-12"/>
        </w:rPr>
        <w:object>
          <v:shape id="_x0000_i1047" o:spt="75" type="#_x0000_t75" style="height:18.15pt;width:14.4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52" r:id="rId66">
            <o:LockedField>false</o:LockedField>
          </o:OLEObject>
        </w:object>
      </w:r>
      <w:r>
        <w:rPr>
          <w:rFonts w:hint="eastAsia"/>
        </w:rPr>
        <w:t>——分别为缝隙和组合墙的面积。</w:t>
      </w:r>
    </w:p>
    <w:p>
      <w:pPr>
        <w:ind w:firstLine="540" w:firstLineChars="300"/>
      </w:pPr>
      <w:r>
        <w:rPr>
          <w:rFonts w:hint="eastAsia" w:ascii="黑体" w:hAnsi="黑体" w:eastAsia="黑体"/>
          <w:sz w:val="18"/>
        </w:rPr>
        <w:t>注：一般的门</w:t>
      </w:r>
      <w:r>
        <w:rPr>
          <w:rFonts w:ascii="黑体" w:hAnsi="黑体" w:eastAsia="黑体"/>
          <w:sz w:val="18"/>
        </w:rPr>
        <w:t>/</w:t>
      </w:r>
      <w:r>
        <w:rPr>
          <w:rFonts w:hint="eastAsia" w:ascii="黑体" w:hAnsi="黑体" w:eastAsia="黑体"/>
          <w:sz w:val="18"/>
        </w:rPr>
        <w:t>窗与墙之间的缝隙为</w:t>
      </w:r>
      <w:r>
        <w:rPr>
          <w:rFonts w:ascii="黑体" w:hAnsi="黑体" w:eastAsia="黑体"/>
          <w:sz w:val="18"/>
        </w:rPr>
        <w:t>0.5cm</w:t>
      </w:r>
      <w:r>
        <w:rPr>
          <w:rFonts w:hint="eastAsia" w:ascii="黑体" w:hAnsi="黑体" w:eastAsia="黑体"/>
          <w:sz w:val="18"/>
        </w:rPr>
        <w:t>（装配式）和</w:t>
      </w:r>
      <w:r>
        <w:rPr>
          <w:rFonts w:ascii="黑体" w:hAnsi="黑体" w:eastAsia="黑体"/>
          <w:sz w:val="18"/>
        </w:rPr>
        <w:t>1cm</w:t>
      </w:r>
      <w:r>
        <w:rPr>
          <w:rFonts w:hint="eastAsia" w:ascii="黑体" w:hAnsi="黑体" w:eastAsia="黑体"/>
          <w:sz w:val="18"/>
        </w:rPr>
        <w:t>（非装配式）。</w:t>
      </w:r>
    </w:p>
    <w:p>
      <w:pPr>
        <w:pStyle w:val="4"/>
      </w:pPr>
      <w:r>
        <w:rPr>
          <w:rFonts w:hint="eastAsia"/>
        </w:rPr>
        <w:t>室外环境噪声通过单面组合墙传到室内的噪声级计算</w:t>
      </w:r>
    </w:p>
    <w:p>
      <w:pPr>
        <w:pStyle w:val="3"/>
        <w:ind w:left="283" w:leftChars="135" w:firstLine="315" w:firstLineChars="150"/>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分别对应前面章节确定的室外边界噪声、组合墙空气声隔声计权单值评价量以及频谱修正量，将这些数值分别代入公式中，即可算得室外环境噪声由墙m传到室内的噪声级，计算结果列于下表中。</w:t>
      </w:r>
    </w:p>
    <w:p>
      <w:pPr>
        <w:pStyle w:val="3"/>
        <w:ind w:left="578" w:firstLine="0" w:firstLineChars="0"/>
        <w:rPr>
          <w:lang w:val="en-US"/>
        </w:rPr>
      </w:pPr>
      <w:r>
        <w:rPr>
          <w:sz w:val="18"/>
          <w:szCs w:val="20"/>
        </w:rPr>
        <w:pict>
          <v:shape id="_x0000_s1214" o:spid="_x0000_s1214" o:spt="75" type="#_x0000_t75" style="position:absolute;left:0pt;margin-left:88.2pt;margin-top:7.85pt;height:21.8pt;width:158.55pt;z-index:251671552;mso-width-relative:page;mso-height-relative:page;" o:ole="t" filled="f" o:preferrelative="t" stroked="f" coordsize="21600,21600">
            <v:path/>
            <v:fill on="f" focussize="0,0"/>
            <v:stroke on="f" joinstyle="miter"/>
            <v:imagedata r:id="rId69" o:title=""/>
            <o:lock v:ext="edit" aspectratio="t"/>
          </v:shape>
          <o:OLEObject Type="Embed" ProgID="Equation.DSMT4" ShapeID="_x0000_s1214" DrawAspect="Content" ObjectID="_1468075753" r:id="rId68">
            <o:LockedField>false</o:LockedField>
          </o:OLEObject>
        </w:pict>
      </w:r>
    </w:p>
    <w:p>
      <w:pPr>
        <w:ind w:left="420" w:leftChars="20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（7.5.1）</w:t>
      </w: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2"/>
          <w:szCs w:val="22"/>
          <w:lang w:val="en-US"/>
        </w:rPr>
        <w:object>
          <v:shape id="_x0000_i1048"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48" DrawAspect="Content" ObjectID="_1468075754" r:id="rId7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室外环境噪声由墙</w:t>
      </w:r>
      <w:r>
        <w:rPr>
          <w:rFonts w:ascii="Calibri" w:hAnsi="Calibri"/>
          <w:kern w:val="2"/>
          <w:szCs w:val="22"/>
          <w:lang w:val="en-US"/>
        </w:rPr>
        <w:t>m</w:t>
      </w:r>
      <w:r>
        <w:rPr>
          <w:rFonts w:hint="eastAsia" w:ascii="Calibri" w:hAnsi="Calibri"/>
          <w:kern w:val="2"/>
          <w:szCs w:val="22"/>
          <w:lang w:val="en-US"/>
        </w:rPr>
        <w:t>传到室内的噪声级，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49" o:spt="75" type="#_x0000_t75" style="height:16.9pt;width:22.55pt;" o:ole="t" filled="f" o:preferrelative="t" stroked="f" coordsize="21600,21600">
            <v:path/>
            <v:fill on="f" focussize="0,0"/>
            <v:stroke on="f" joinstyle="miter"/>
            <v:imagedata r:id="rId73" o:title=""/>
            <o:lock v:ext="edit" aspectratio="t"/>
            <w10:wrap type="none"/>
            <w10:anchorlock/>
          </v:shape>
          <o:OLEObject Type="Embed" ProgID="Equation.DSMT4" ShapeID="_x0000_i1049" DrawAspect="Content" ObjectID="_1468075755" r:id="rId72">
            <o:LockedField>false</o:LockedField>
          </o:OLEObject>
        </w:object>
      </w:r>
      <w:r>
        <w:rPr>
          <w:rFonts w:hint="eastAsia" w:ascii="Calibri" w:hAnsi="Calibri"/>
          <w:kern w:val="2"/>
          <w:szCs w:val="22"/>
          <w:lang w:val="en-US"/>
        </w:rPr>
        <w:t>—墙</w:t>
      </w:r>
      <w:r>
        <w:rPr>
          <w:rFonts w:ascii="Calibri" w:hAnsi="Calibri"/>
          <w:kern w:val="2"/>
          <w:szCs w:val="22"/>
          <w:lang w:val="en-US"/>
        </w:rPr>
        <w:t>m</w:t>
      </w:r>
      <w:r>
        <w:rPr>
          <w:rFonts w:hint="eastAsia" w:ascii="Calibri" w:hAnsi="Calibri"/>
          <w:kern w:val="2"/>
          <w:szCs w:val="22"/>
          <w:lang w:val="en-US"/>
        </w:rPr>
        <w:t>对应的室外环境噪声级，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50" o:spt="75" type="#_x0000_t75" style="height:16.9pt;width:23.15pt;" o:ole="t" filled="f" o:preferrelative="t" stroked="f" coordsize="21600,21600">
            <v:path/>
            <v:fill on="f" focussize="0,0"/>
            <v:stroke on="f" joinstyle="miter"/>
            <v:imagedata r:id="rId75" o:title=""/>
            <o:lock v:ext="edit" aspectratio="t"/>
            <w10:wrap type="none"/>
            <w10:anchorlock/>
          </v:shape>
          <o:OLEObject Type="Embed" ProgID="Equation.DSMT4" ShapeID="_x0000_i1050" DrawAspect="Content" ObjectID="_1468075756" r:id="rId74">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w:t>
      </w:r>
      <w:r>
        <w:rPr>
          <w:rFonts w:ascii="Calibri" w:hAnsi="Calibri"/>
          <w:kern w:val="2"/>
          <w:szCs w:val="22"/>
          <w:lang w:val="en-US"/>
        </w:rPr>
        <w:t>m</w:t>
      </w:r>
      <w:r>
        <w:rPr>
          <w:rFonts w:hint="eastAsia" w:ascii="Calibri" w:hAnsi="Calibri"/>
          <w:kern w:val="2"/>
          <w:szCs w:val="22"/>
          <w:lang w:val="en-US"/>
        </w:rPr>
        <w:t>的空气声计权隔声量，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51" o:spt="75" type="#_x0000_t75" style="height:16.9pt;width:20.65pt;" o:ole="t" filled="f" o:preferrelative="t" stroked="f" coordsize="21600,21600">
            <v:path/>
            <v:fill on="f" focussize="0,0"/>
            <v:stroke on="f" joinstyle="miter"/>
            <v:imagedata r:id="rId77" o:title=""/>
            <o:lock v:ext="edit" aspectratio="t"/>
            <w10:wrap type="none"/>
            <w10:anchorlock/>
          </v:shape>
          <o:OLEObject Type="Embed" ProgID="Equation.DSMT4" ShapeID="_x0000_i1051" DrawAspect="Content" ObjectID="_1468075757" r:id="rId76">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根据室外环境噪声频谱特性，单面组合墙</w:t>
      </w:r>
      <w:r>
        <w:rPr>
          <w:rFonts w:ascii="Calibri" w:hAnsi="Calibri"/>
          <w:kern w:val="2"/>
          <w:szCs w:val="22"/>
          <w:lang w:val="en-US"/>
        </w:rPr>
        <w:t>m</w:t>
      </w:r>
      <w:r>
        <w:rPr>
          <w:rFonts w:hint="eastAsia" w:ascii="Calibri" w:hAnsi="Calibri"/>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hint="eastAsia" w:ascii="Calibri" w:hAnsi="Calibri"/>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 xml:space="preserve">.5 </w:t>
      </w:r>
      <w:r>
        <w:rPr>
          <w:rFonts w:hint="eastAsia" w:ascii="黑体" w:hAnsi="黑体" w:eastAsia="黑体"/>
          <w:kern w:val="2"/>
          <w:lang w:val="en-US"/>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外墙1+外窗(C2415)</w:t>
            </w:r>
          </w:p>
        </w:tc>
        <w:tc>
          <w:tcPr>
            <w:vAlign w:val="center"/>
          </w:tcPr>
          <w:p>
            <w:r>
              <w:t>46</w:t>
            </w:r>
          </w:p>
        </w:tc>
        <w:tc>
          <w:tcPr>
            <w:vAlign w:val="center"/>
          </w:tcPr>
          <w:p>
            <w:r>
              <w:t>33</w:t>
            </w:r>
          </w:p>
        </w:tc>
        <w:tc>
          <w:tcPr>
            <w:vAlign w:val="center"/>
          </w:tcPr>
          <w:p>
            <w:r>
              <w:t>21</w:t>
            </w:r>
          </w:p>
        </w:tc>
        <w:tc>
          <w:tcPr>
            <w:vAlign w:val="center"/>
          </w:tcPr>
          <w:p>
            <w:r>
              <w:t>21</w:t>
            </w:r>
          </w:p>
        </w:tc>
        <w:tc>
          <w:tcPr>
            <w:vAlign w:val="center"/>
          </w:tcPr>
          <w:p>
            <w:r>
              <w:t>26</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外墙2+外窗(C2415)</w:t>
            </w:r>
          </w:p>
        </w:tc>
        <w:tc>
          <w:tcPr>
            <w:vAlign w:val="center"/>
          </w:tcPr>
          <w:p>
            <w:r>
              <w:t>55</w:t>
            </w:r>
          </w:p>
        </w:tc>
        <w:tc>
          <w:tcPr>
            <w:vAlign w:val="center"/>
          </w:tcPr>
          <w:p>
            <w:r>
              <w:t>46</w:t>
            </w:r>
          </w:p>
        </w:tc>
        <w:tc>
          <w:tcPr>
            <w:vAlign w:val="center"/>
          </w:tcPr>
          <w:p>
            <w:r>
              <w:t>24</w:t>
            </w:r>
          </w:p>
        </w:tc>
        <w:tc>
          <w:tcPr>
            <w:vAlign w:val="center"/>
          </w:tcPr>
          <w:p>
            <w:r>
              <w:t>24</w:t>
            </w:r>
          </w:p>
        </w:tc>
        <w:tc>
          <w:tcPr>
            <w:vAlign w:val="center"/>
          </w:tcPr>
          <w:p>
            <w:r>
              <w:t>31</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外墙3+外门(M3021)</w:t>
            </w:r>
          </w:p>
        </w:tc>
        <w:tc>
          <w:tcPr>
            <w:vAlign w:val="center"/>
          </w:tcPr>
          <w:p>
            <w:r>
              <w:t>57</w:t>
            </w:r>
          </w:p>
        </w:tc>
        <w:tc>
          <w:tcPr>
            <w:vAlign w:val="center"/>
          </w:tcPr>
          <w:p>
            <w:r>
              <w:t>48</w:t>
            </w:r>
          </w:p>
        </w:tc>
        <w:tc>
          <w:tcPr>
            <w:vAlign w:val="center"/>
          </w:tcPr>
          <w:p>
            <w:r>
              <w:t>21</w:t>
            </w:r>
          </w:p>
        </w:tc>
        <w:tc>
          <w:tcPr>
            <w:vAlign w:val="center"/>
          </w:tcPr>
          <w:p>
            <w:r>
              <w:t>21</w:t>
            </w:r>
          </w:p>
        </w:tc>
        <w:tc>
          <w:tcPr>
            <w:vAlign w:val="center"/>
          </w:tcPr>
          <w:p>
            <w:r>
              <w:t>37</w:t>
            </w:r>
          </w:p>
        </w:tc>
        <w:tc>
          <w:tcPr>
            <w:vAlign w:val="center"/>
          </w:tcPr>
          <w:p>
            <w:r>
              <w:t>28</w:t>
            </w:r>
          </w:p>
        </w:tc>
      </w:tr>
    </w:tbl>
    <w:p>
      <w:pPr>
        <w:pStyle w:val="3"/>
        <w:ind w:firstLine="619" w:firstLineChars="295"/>
        <w:jc w:val="left"/>
        <w:rPr>
          <w:rFonts w:ascii="Cambria Math" w:hAnsi="Cambria Math"/>
          <w:lang w:val="en-US"/>
        </w:rPr>
      </w:pPr>
      <w:bookmarkStart w:id="46" w:name="组合墙传到室内噪声级"/>
      <w:bookmarkEnd w:id="46"/>
    </w:p>
    <w:p>
      <w:pPr>
        <w:pStyle w:val="4"/>
      </w:pPr>
      <w:r>
        <w:rPr>
          <w:rFonts w:hint="eastAsia"/>
        </w:rPr>
        <w:t>室外环境噪声通过多面组合墙传到室内的噪声级计算</w:t>
      </w:r>
    </w:p>
    <w:p>
      <w:pPr>
        <w:pStyle w:val="3"/>
        <w:ind w:firstLine="420"/>
        <w:rPr>
          <w:lang w:val="en-US"/>
        </w:rPr>
      </w:pPr>
      <w:r>
        <w:rPr>
          <w:rFonts w:hint="eastAsia"/>
          <w:lang w:val="en-US"/>
        </w:rPr>
        <w:t xml:space="preserve">将上述室外环境噪声单面组合墙传到室内的噪声级代入公式（7.6.1）可得通过多面组合墙传到室内的总噪声级，昼间为 </w:t>
      </w:r>
      <w:bookmarkStart w:id="47" w:name="昼间室外传声"/>
      <w:r>
        <w:rPr>
          <w:rFonts w:hint="eastAsia"/>
          <w:lang w:val="en-US"/>
        </w:rPr>
        <w:t>37</w:t>
      </w:r>
      <w:bookmarkEnd w:id="47"/>
      <w:r>
        <w:t xml:space="preserve"> dB</w:t>
      </w:r>
      <w:r>
        <w:rPr>
          <w:rFonts w:hint="eastAsia"/>
        </w:rPr>
        <w:t>（</w:t>
      </w:r>
      <w:r>
        <w:t>A</w:t>
      </w:r>
      <w:r>
        <w:rPr>
          <w:rFonts w:hint="eastAsia"/>
        </w:rPr>
        <w:t>）</w:t>
      </w:r>
      <w:r>
        <w:rPr>
          <w:rFonts w:hint="eastAsia"/>
          <w:lang w:val="en-US"/>
        </w:rPr>
        <w:t xml:space="preserve"> ，夜间为 </w:t>
      </w:r>
      <w:bookmarkStart w:id="48" w:name="夜间室外传声"/>
      <w:r>
        <w:rPr>
          <w:rFonts w:hint="eastAsia"/>
          <w:lang w:val="en-US"/>
        </w:rPr>
        <w:t>28</w:t>
      </w:r>
      <w:bookmarkEnd w:id="48"/>
      <w:r>
        <w:rPr>
          <w:rFonts w:hint="eastAsia"/>
          <w:lang w:val="en-US"/>
        </w:rPr>
        <w:t xml:space="preserve"> </w:t>
      </w:r>
      <w:r>
        <w:t>dB</w:t>
      </w:r>
      <w:r>
        <w:rPr>
          <w:rFonts w:hint="eastAsia"/>
        </w:rPr>
        <w:t>（</w:t>
      </w:r>
      <w:r>
        <w:t>A</w:t>
      </w:r>
      <w:r>
        <w:rPr>
          <w:rFonts w:hint="eastAsia"/>
        </w:rPr>
        <w:t>）</w:t>
      </w:r>
      <w:r>
        <w:rPr>
          <w:rFonts w:hint="eastAsia"/>
          <w:lang w:val="en-US"/>
        </w:rPr>
        <w:t xml:space="preserve"> 。</w:t>
      </w:r>
    </w:p>
    <w:p>
      <w:pPr>
        <w:ind w:firstLine="2520" w:firstLineChars="1200"/>
        <w:rPr>
          <w:kern w:val="2"/>
          <w:szCs w:val="21"/>
          <w:lang w:val="en-US"/>
        </w:rPr>
      </w:pPr>
      <w:r>
        <w:rPr>
          <w:position w:val="-28"/>
          <w:szCs w:val="21"/>
        </w:rPr>
        <w:object>
          <v:shape id="_x0000_i1052" o:spt="75" type="#_x0000_t75" style="height:40.7pt;width:127.1pt;" o:ole="t" filled="f" o:preferrelative="t" stroked="f" coordsize="21600,21600">
            <v:path/>
            <v:fill on="f" focussize="0,0"/>
            <v:stroke on="f" joinstyle="miter"/>
            <v:imagedata r:id="rId79" o:title=""/>
            <o:lock v:ext="edit" aspectratio="t"/>
            <w10:wrap type="none"/>
            <w10:anchorlock/>
          </v:shape>
          <o:OLEObject Type="Embed" ProgID="Equation.DSMT4" ShapeID="_x0000_i1052" DrawAspect="Content" ObjectID="_1468075758" r:id="rId78">
            <o:LockedField>false</o:LockedField>
          </o:OLEObject>
        </w:object>
      </w:r>
      <w:r>
        <w:rPr>
          <w:rFonts w:hint="eastAsia"/>
          <w:position w:val="-28"/>
          <w:szCs w:val="21"/>
        </w:rPr>
        <w:t xml:space="preserve">                      </w:t>
      </w:r>
      <w:r>
        <w:rPr>
          <w:position w:val="-28"/>
          <w:szCs w:val="21"/>
        </w:rPr>
        <w:t>（7.6.1）</w:t>
      </w:r>
      <w:r>
        <w:rPr>
          <w:rFonts w:hint="eastAsia"/>
          <w:position w:val="-28"/>
          <w:szCs w:val="21"/>
        </w:rPr>
        <w:t xml:space="preserve">                     </w:t>
      </w:r>
    </w:p>
    <w:p>
      <w:pPr>
        <w:rPr>
          <w:kern w:val="2"/>
          <w:szCs w:val="21"/>
          <w:lang w:val="en-US"/>
        </w:rPr>
      </w:pPr>
      <w:r>
        <w:rPr>
          <w:rFonts w:hint="eastAsia"/>
          <w:kern w:val="2"/>
          <w:szCs w:val="21"/>
          <w:lang w:val="en-US"/>
        </w:rPr>
        <w:t>式中：</w:t>
      </w:r>
      <w:r>
        <w:rPr>
          <w:position w:val="-12"/>
        </w:rPr>
        <w:object>
          <v:shape id="_x0000_i1053"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3" DrawAspect="Content" ObjectID="_1468075759" r:id="rId80">
            <o:LockedField>false</o:LockedField>
          </o:OLEObject>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pPr>
        <w:spacing w:line="360" w:lineRule="auto"/>
        <w:ind w:left="420" w:firstLine="210" w:firstLineChars="100"/>
      </w:pPr>
      <w:r>
        <w:rPr>
          <w:position w:val="-12"/>
        </w:rPr>
        <w:object>
          <v:shape id="_x0000_i1054"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60" r:id="rId82">
            <o:LockedField>false</o:LockedField>
          </o:OLEObject>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pPr>
        <w:pStyle w:val="4"/>
      </w:pPr>
      <w:r>
        <w:rPr>
          <w:rFonts w:hint="eastAsia"/>
        </w:rPr>
        <w:t>建筑内声源传到室内的噪声级计算</w:t>
      </w:r>
    </w:p>
    <w:p>
      <w:pPr>
        <w:pStyle w:val="3"/>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pPr>
        <w:pStyle w:val="3"/>
        <w:ind w:firstLine="420"/>
        <w:rPr>
          <w:lang w:val="en-US"/>
        </w:rPr>
      </w:pPr>
      <w:r>
        <w:rPr>
          <w:rFonts w:hint="eastAsia"/>
          <w:lang w:val="en-US"/>
        </w:rPr>
        <w:t>其中室内多个声源噪声级通过以下公式进行叠加计算，获得室内声源的总噪声级：</w:t>
      </w:r>
    </w:p>
    <w:p>
      <w:pPr>
        <w:pStyle w:val="3"/>
        <w:tabs>
          <w:tab w:val="left" w:pos="2410"/>
        </w:tabs>
        <w:ind w:firstLine="1440" w:firstLineChars="60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ctrlPr>
                <w:rPr>
                  <w:rFonts w:ascii="Cambria Math" w:hAnsi="Cambria Math"/>
                  <w:sz w:val="24"/>
                  <w:lang w:val="en-US"/>
                </w:rPr>
              </m:ctrlPr>
            </m:e>
            <m:sub>
              <m:r>
                <w:rPr>
                  <w:rFonts w:ascii="Cambria Math" w:hAnsi="Cambria Math"/>
                  <w:sz w:val="24"/>
                  <w:lang w:val="en-US"/>
                </w:rPr>
                <m:t>X</m:t>
              </m:r>
              <m:ctrlPr>
                <w:rPr>
                  <w:rFonts w:ascii="Cambria Math" w:hAnsi="Cambria Math"/>
                  <w:sz w:val="24"/>
                  <w:lang w:val="en-US"/>
                </w:rPr>
              </m:ctrlP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ctrlPr>
                <w:rPr>
                  <w:rFonts w:ascii="Cambria Math" w:hAnsi="Cambria Math"/>
                  <w:sz w:val="24"/>
                  <w:szCs w:val="28"/>
                </w:rPr>
              </m:ctrlPr>
            </m:sub>
            <m:sup>
              <m:r>
                <w:rPr>
                  <w:rFonts w:ascii="Cambria Math" w:hAnsi="Cambria Math"/>
                  <w:sz w:val="24"/>
                  <w:szCs w:val="28"/>
                </w:rPr>
                <m:t>n</m:t>
              </m:r>
              <m:ctrlPr>
                <w:rPr>
                  <w:rFonts w:ascii="Cambria Math" w:hAnsi="Cambria Math"/>
                  <w:sz w:val="24"/>
                  <w:szCs w:val="28"/>
                </w:rPr>
              </m:ctrlPr>
            </m:sup>
            <m:e>
              <m:sSup>
                <m:sSupPr>
                  <m:ctrlPr>
                    <w:rPr>
                      <w:rFonts w:ascii="Cambria Math" w:hAnsi="Cambria Math"/>
                      <w:i/>
                      <w:sz w:val="24"/>
                      <w:szCs w:val="28"/>
                    </w:rPr>
                  </m:ctrlPr>
                </m:sSupPr>
                <m:e>
                  <m:r>
                    <w:rPr>
                      <w:rFonts w:ascii="Cambria Math" w:hAnsi="Cambria Math"/>
                      <w:sz w:val="24"/>
                      <w:szCs w:val="28"/>
                    </w:rPr>
                    <m:t>10</m:t>
                  </m:r>
                  <m:ctrlPr>
                    <w:rPr>
                      <w:rFonts w:ascii="Cambria Math" w:hAnsi="Cambria Math"/>
                      <w:i/>
                      <w:sz w:val="24"/>
                      <w:szCs w:val="28"/>
                    </w:rPr>
                  </m:ctrlP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ctrlPr>
                        <w:rPr>
                          <w:rFonts w:ascii="Cambria Math" w:hAnsi="Cambria Math"/>
                          <w:i/>
                          <w:sz w:val="24"/>
                          <w:szCs w:val="28"/>
                          <w:lang w:val="en-US"/>
                        </w:rPr>
                      </m:ctrlPr>
                    </m:e>
                    <m:sub>
                      <m:sSub>
                        <m:sSubPr>
                          <m:ctrlPr>
                            <w:rPr>
                              <w:rFonts w:ascii="Cambria Math" w:hAnsi="Cambria Math"/>
                              <w:i/>
                              <w:sz w:val="24"/>
                              <w:szCs w:val="28"/>
                              <w:lang w:val="en-US"/>
                            </w:rPr>
                          </m:ctrlPr>
                        </m:sSubPr>
                        <m:e>
                          <m:r>
                            <w:rPr>
                              <w:rFonts w:ascii="Cambria Math" w:hAnsi="Cambria Math"/>
                              <w:sz w:val="24"/>
                              <w:szCs w:val="28"/>
                              <w:lang w:val="en-US"/>
                            </w:rPr>
                            <m:t>X</m:t>
                          </m:r>
                          <m:ctrlPr>
                            <w:rPr>
                              <w:rFonts w:ascii="Cambria Math" w:hAnsi="Cambria Math"/>
                              <w:i/>
                              <w:sz w:val="24"/>
                              <w:szCs w:val="28"/>
                              <w:lang w:val="en-US"/>
                            </w:rPr>
                          </m:ctrlPr>
                        </m:e>
                        <m:sub>
                          <m:r>
                            <w:rPr>
                              <w:rFonts w:ascii="Cambria Math" w:hAnsi="Cambria Math"/>
                              <w:sz w:val="24"/>
                              <w:szCs w:val="28"/>
                              <w:lang w:val="en-US"/>
                            </w:rPr>
                            <m:t>i</m:t>
                          </m:r>
                          <m:ctrlPr>
                            <w:rPr>
                              <w:rFonts w:ascii="Cambria Math" w:hAnsi="Cambria Math"/>
                              <w:i/>
                              <w:sz w:val="24"/>
                              <w:szCs w:val="28"/>
                              <w:lang w:val="en-US"/>
                            </w:rPr>
                          </m:ctrlPr>
                        </m:sub>
                      </m:sSub>
                      <m:ctrlPr>
                        <w:rPr>
                          <w:rFonts w:ascii="Cambria Math" w:hAnsi="Cambria Math"/>
                          <w:i/>
                          <w:sz w:val="24"/>
                          <w:szCs w:val="28"/>
                          <w:lang w:val="en-US"/>
                        </w:rPr>
                      </m:ctrlPr>
                    </m:sub>
                  </m:sSub>
                  <m:ctrlPr>
                    <w:rPr>
                      <w:rFonts w:ascii="Cambria Math" w:hAnsi="Cambria Math"/>
                      <w:i/>
                      <w:sz w:val="24"/>
                      <w:szCs w:val="28"/>
                    </w:rPr>
                  </m:ctrlPr>
                </m:sup>
              </m:sSup>
              <m:ctrlPr>
                <w:rPr>
                  <w:rFonts w:ascii="Cambria Math" w:hAnsi="Cambria Math"/>
                  <w:sz w:val="24"/>
                  <w:szCs w:val="28"/>
                </w:rPr>
              </m:ctrlPr>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 xml:space="preserve">（7.7.1） </m:t>
          </m:r>
          <m:r>
            <m:rPr>
              <m:sty m:val="p"/>
            </m:rPr>
            <w:rPr>
              <w:rFonts w:ascii="Cambria Math" w:hAnsi="Cambria Math"/>
              <w:sz w:val="24"/>
              <w:szCs w:val="28"/>
              <w:lang w:val="en-US"/>
            </w:rPr>
            <m:t xml:space="preserve">      </m:t>
          </m:r>
        </m:oMath>
      </m:oMathPara>
    </w:p>
    <w:p>
      <w:r>
        <w:rPr>
          <w:rFonts w:hint="eastAsia"/>
          <w:szCs w:val="21"/>
        </w:rPr>
        <w:t>式中：</w:t>
      </w:r>
      <w:r>
        <w:rPr>
          <w:position w:val="-12"/>
        </w:rPr>
        <w:object>
          <v:shape id="_x0000_i1055"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5" DrawAspect="Content" ObjectID="_1468075761" r:id="rId83">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p>
    <w:p>
      <w:pPr>
        <w:pStyle w:val="3"/>
        <w:ind w:firstLine="679" w:firstLineChars="283"/>
      </w:pPr>
      <w:r>
        <w:rPr>
          <w:i/>
          <w:sz w:val="24"/>
        </w:rPr>
        <w:t>L</w:t>
      </w:r>
      <w:r>
        <w:rPr>
          <w:i/>
          <w:sz w:val="24"/>
          <w:vertAlign w:val="subscript"/>
        </w:rPr>
        <w:t>X</w:t>
      </w:r>
      <w:r>
        <w:rPr>
          <w:vertAlign w:val="subscript"/>
        </w:rPr>
        <w:t>i</w:t>
      </w:r>
      <w:r>
        <w:t xml:space="preserve"> </w:t>
      </w:r>
      <w:r>
        <w:rPr>
          <w:rFonts w:hint="eastAsia"/>
        </w:rPr>
        <w:t>——室内第i个噪声源。</w:t>
      </w:r>
    </w:p>
    <w:p>
      <w:pPr>
        <w:pStyle w:val="3"/>
        <w:spacing w:after="156" w:afterLines="50"/>
        <w:ind w:firstLine="302" w:firstLineChars="144"/>
      </w:pPr>
      <w:r>
        <w:rPr>
          <w:rFonts w:hint="eastAsia"/>
        </w:rPr>
        <w:t xml:space="preserve"> 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7.7 </w:t>
      </w:r>
      <w:r>
        <w:rPr>
          <w:rFonts w:hint="eastAsia" w:ascii="黑体" w:hAnsi="黑体" w:eastAsia="黑体"/>
          <w:kern w:val="2"/>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25</w:t>
            </w:r>
          </w:p>
        </w:tc>
        <w:tc>
          <w:tcPr>
            <w:vAlign w:val="center"/>
          </w:tcPr>
          <w:p>
            <w:r>
              <w:t>20</w:t>
            </w:r>
          </w:p>
        </w:tc>
        <w:tc>
          <w:tcPr>
            <w:vAlign w:val="center"/>
          </w:tcPr>
          <w:p>
            <w:r>
              <w:t>--</w:t>
            </w:r>
          </w:p>
        </w:tc>
        <w:tc>
          <w:tcPr>
            <w:vAlign w:val="center"/>
          </w:tcPr>
          <w:p>
            <w:r>
              <w:t>--</w:t>
            </w:r>
          </w:p>
        </w:tc>
      </w:tr>
    </w:tbl>
    <w:p>
      <w:pPr>
        <w:pStyle w:val="3"/>
        <w:ind w:firstLine="619" w:firstLineChars="295"/>
        <w:jc w:val="left"/>
        <w:rPr>
          <w:rFonts w:ascii="Cambria Math" w:hAnsi="Cambria Math"/>
        </w:rPr>
      </w:pPr>
      <w:bookmarkStart w:id="49" w:name="建筑内声源传声"/>
      <w:bookmarkEnd w:id="4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spacing w:line="360" w:lineRule="auto"/>
        <w:ind w:firstLine="315" w:firstLineChars="15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ctrlPr>
              <w:rPr>
                <w:rFonts w:ascii="Cambria Math" w:hAnsi="Cambria Math"/>
                <w:sz w:val="28"/>
                <w:szCs w:val="28"/>
              </w:rPr>
            </m:ctrlPr>
          </m:e>
          <m:sub>
            <m:r>
              <w:rPr>
                <w:rFonts w:ascii="Cambria Math" w:hAnsi="Cambria Math"/>
                <w:sz w:val="28"/>
                <w:szCs w:val="28"/>
              </w:rPr>
              <m:t>N</m:t>
            </m:r>
            <m:ctrlPr>
              <w:rPr>
                <w:rFonts w:ascii="Cambria Math" w:hAnsi="Cambria Math"/>
                <w:sz w:val="28"/>
                <w:szCs w:val="28"/>
              </w:rPr>
            </m:ctrlPr>
          </m:sub>
        </m:sSub>
        <m:r>
          <m:rPr>
            <m:sty m:val="p"/>
          </m:rPr>
          <w:rPr>
            <w:rFonts w:ascii="Cambria Math" w:hAnsi="Cambria Math"/>
            <w:sz w:val="28"/>
            <w:szCs w:val="28"/>
          </w:rPr>
          <m:t>=10lg⁡</m:t>
        </m:r>
        <m:r>
          <m:rPr>
            <m:sty m:val="p"/>
          </m:rPr>
          <w:rPr>
            <w:rFonts w:hint="eastAsia"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10</m:t>
            </m:r>
            <m:ctrlPr>
              <w:rPr>
                <w:rFonts w:ascii="Cambria Math" w:hAnsi="Cambria Math"/>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6"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62" r:id="rId85">
                  <o:LockedField>false</o:LockedField>
                </o:OLEObject>
              </w:object>
            </m:r>
            <m:ctrlPr>
              <w:rPr>
                <w:rFonts w:ascii="Cambria Math" w:hAnsi="Cambria Math"/>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7"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63" r:id="rId86">
                  <o:LockedField>false</o:LockedField>
                </o:OLEObject>
              </w:object>
            </m:r>
            <m:ctrlPr>
              <w:rPr>
                <w:rFonts w:ascii="Cambria Math" w:hAnsi="Cambria Math"/>
                <w:i/>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ctrlPr>
              <w:rPr>
                <w:rFonts w:ascii="Cambria Math" w:hAnsi="Cambria Math"/>
                <w:i/>
                <w:sz w:val="28"/>
                <w:szCs w:val="28"/>
              </w:rPr>
            </m:ctrlPr>
          </m:sup>
        </m:sSup>
        <m:r>
          <m:rPr>
            <m:sty m:val="p"/>
          </m:rPr>
          <w:rPr>
            <w:rFonts w:ascii="Cambria Math" w:hAnsi="Cambria Math"/>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（7.6.1）</w:t>
      </w:r>
      <w:r>
        <w:rPr>
          <w:rFonts w:hint="eastAsia"/>
          <w:sz w:val="28"/>
          <w:szCs w:val="28"/>
        </w:rPr>
        <w:t xml:space="preserve">      </w:t>
      </w:r>
    </w:p>
    <w:p>
      <w:pPr>
        <w:rPr>
          <w:szCs w:val="21"/>
        </w:rPr>
      </w:pPr>
      <w:r>
        <w:rPr>
          <w:rFonts w:hint="eastAsia"/>
          <w:szCs w:val="21"/>
        </w:rPr>
        <w:t>式中：</w:t>
      </w:r>
      <w:r>
        <w:rPr>
          <w:position w:val="-12"/>
          <w:szCs w:val="21"/>
        </w:rPr>
        <w:object>
          <v:shape id="_x0000_i1058" o:spt="75" type="#_x0000_t75" style="height:16.9pt;width:15.05pt;" o:ole="t" filled="f" o:preferrelative="t" stroked="f" coordsize="21600,21600">
            <v:path/>
            <v:fill on="f" focussize="0,0"/>
            <v:stroke on="f" joinstyle="miter"/>
            <v:imagedata r:id="rId89" o:title=""/>
            <o:lock v:ext="edit" aspectratio="t"/>
            <w10:wrap type="none"/>
            <w10:anchorlock/>
          </v:shape>
          <o:OLEObject Type="Embed" ProgID="Equation.DSMT4" ShapeID="_x0000_i1058" DrawAspect="Content" ObjectID="_1468075764" r:id="rId88">
            <o:LockedField>false</o:LockedField>
          </o:OLEObject>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pPr>
        <w:ind w:firstLine="630" w:firstLineChars="300"/>
        <w:rPr>
          <w:szCs w:val="21"/>
        </w:rPr>
      </w:pPr>
      <w:r>
        <w:rPr>
          <w:position w:val="-12"/>
          <w:szCs w:val="21"/>
        </w:rPr>
        <w:object>
          <v:shape id="_x0000_i1059"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65" r:id="rId90">
            <o:LockedField>false</o:LockedField>
          </o:OLEObject>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pPr>
        <w:rPr>
          <w:szCs w:val="21"/>
        </w:rPr>
      </w:pPr>
      <w:r>
        <w:rPr>
          <w:szCs w:val="21"/>
        </w:rPr>
        <w:t xml:space="preserve">      </w:t>
      </w:r>
      <w:r>
        <w:rPr>
          <w:position w:val="-12"/>
          <w:szCs w:val="21"/>
        </w:rPr>
        <w:object>
          <v:shape id="_x0000_i1060"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6" r:id="rId91">
            <o:LockedField>false</o:LockedField>
          </o:OLEObject>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pPr>
        <w:pStyle w:val="3"/>
        <w:ind w:firstLine="600" w:firstLineChars="25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pPr>
        <w:pStyle w:val="3"/>
        <w:wordWrap w:val="0"/>
        <w:ind w:firstLine="420"/>
        <w:jc w:val="right"/>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7.8  </w:t>
      </w:r>
      <w:r>
        <w:rPr>
          <w:rFonts w:hint="eastAsia" w:ascii="黑体" w:hAnsi="黑体" w:eastAsia="黑体"/>
          <w:kern w:val="2"/>
          <w:lang w:val="en-US"/>
        </w:rPr>
        <w:t xml:space="preserve">最不利房间室内噪声值                </w:t>
      </w:r>
      <w:r>
        <w:rPr>
          <w:rFonts w:hint="eastAsia" w:ascii="黑体" w:hAnsi="黑体" w:eastAsia="黑体"/>
          <w:szCs w:val="20"/>
          <w:lang w:val="en-US"/>
        </w:rPr>
        <w:t xml:space="preserve">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商场商店</w:t>
            </w:r>
          </w:p>
        </w:tc>
        <w:tc>
          <w:tcPr>
            <w:vAlign w:val="center"/>
          </w:tcPr>
          <w:p>
            <w:pPr>
              <w:jc w:val="center"/>
            </w:pPr>
            <w:r>
              <w:rPr>
                <w:b/>
              </w:rPr>
              <w:t>37</w:t>
            </w:r>
          </w:p>
        </w:tc>
        <w:tc>
          <w:tcPr>
            <w:vAlign w:val="center"/>
          </w:tcPr>
          <w:p>
            <w:pPr>
              <w:jc w:val="center"/>
            </w:pPr>
            <w:r>
              <w:rPr>
                <w:b/>
              </w:rPr>
              <w:t>29</w:t>
            </w:r>
          </w:p>
        </w:tc>
        <w:tc>
          <w:tcPr>
            <w:vAlign w:val="center"/>
          </w:tcPr>
          <w:p>
            <w:pPr>
              <w:jc w:val="center"/>
            </w:pPr>
            <w:r>
              <w:t>低限:≤55,高要求:≤50</w:t>
            </w:r>
          </w:p>
        </w:tc>
        <w:tc>
          <w:tcPr>
            <w:vAlign w:val="center"/>
          </w:tcPr>
          <w:p>
            <w:pPr>
              <w:jc w:val="center"/>
            </w:pPr>
            <w:r>
              <w:t>--</w:t>
            </w:r>
          </w:p>
        </w:tc>
        <w:tc>
          <w:tcPr>
            <w:vAlign w:val="center"/>
          </w:tcPr>
          <w:p>
            <w:r>
              <w:rPr>
                <w:b/>
              </w:rPr>
              <w:t>满足高要求</w:t>
            </w:r>
          </w:p>
        </w:tc>
      </w:tr>
    </w:tbl>
    <w:p>
      <w:pPr>
        <w:pStyle w:val="3"/>
        <w:ind w:firstLine="315" w:firstLineChars="150"/>
        <w:jc w:val="left"/>
        <w:rPr>
          <w:rFonts w:ascii="Cambria Math" w:hAnsi="Cambria Math"/>
        </w:rPr>
      </w:pPr>
      <w:bookmarkStart w:id="50" w:name="最不利房间室内噪声级统计"/>
      <w:bookmarkEnd w:id="50"/>
    </w:p>
    <w:bookmarkEnd w:id="26"/>
    <w:bookmarkEnd w:id="27"/>
    <w:p>
      <w:pPr>
        <w:pStyle w:val="2"/>
        <w:rPr>
          <w:kern w:val="2"/>
        </w:rPr>
      </w:pPr>
      <w:r>
        <w:rPr>
          <w:rFonts w:hint="eastAsia"/>
          <w:kern w:val="2"/>
        </w:rPr>
        <w:t>结论</w:t>
      </w:r>
    </w:p>
    <w:p>
      <w:pPr>
        <w:pStyle w:val="13"/>
        <w:spacing w:line="360" w:lineRule="auto"/>
        <w:ind w:firstLine="420" w:firstLineChars="0"/>
        <w:rPr>
          <w:rFonts w:ascii="宋体" w:hAnsi="宋体" w:eastAsia="宋体"/>
          <w:sz w:val="21"/>
          <w:szCs w:val="21"/>
        </w:rPr>
      </w:pPr>
      <w:r>
        <w:rPr>
          <w:rFonts w:ascii="Times New Roman" w:hAnsi="Times New Roman" w:eastAsia="宋体"/>
          <w:sz w:val="21"/>
          <w:szCs w:val="21"/>
        </w:rPr>
        <w:t>根据上述计算可知，根据《绿色建筑评价标准》GB/T50378-2019和《民用建筑隔声设计规范》GB50118-2010评价要求，</w:t>
      </w:r>
      <w:r>
        <w:rPr>
          <w:rFonts w:hint="eastAsia" w:ascii="宋体" w:hAnsi="宋体" w:eastAsia="宋体"/>
          <w:sz w:val="21"/>
          <w:szCs w:val="21"/>
        </w:rPr>
        <w:t>本</w:t>
      </w:r>
      <w:r>
        <w:rPr>
          <w:rFonts w:ascii="宋体" w:hAnsi="宋体" w:eastAsia="宋体"/>
          <w:sz w:val="21"/>
          <w:szCs w:val="21"/>
        </w:rPr>
        <w:t>工程</w:t>
      </w:r>
      <w:r>
        <w:rPr>
          <w:rFonts w:hint="eastAsia" w:ascii="宋体" w:hAnsi="宋体" w:eastAsia="宋体"/>
          <w:sz w:val="21"/>
          <w:szCs w:val="21"/>
        </w:rPr>
        <w:t>最不利</w:t>
      </w:r>
      <w:r>
        <w:rPr>
          <w:rFonts w:ascii="宋体" w:hAnsi="宋体" w:eastAsia="宋体"/>
          <w:sz w:val="21"/>
          <w:szCs w:val="21"/>
        </w:rPr>
        <w:t>房间</w:t>
      </w:r>
      <w:r>
        <w:rPr>
          <w:rFonts w:hint="eastAsia" w:ascii="宋体" w:hAnsi="宋体" w:eastAsia="宋体"/>
          <w:sz w:val="21"/>
          <w:szCs w:val="21"/>
        </w:rPr>
        <w:t>(房间</w:t>
      </w:r>
      <w:r>
        <w:rPr>
          <w:rFonts w:ascii="宋体" w:hAnsi="宋体" w:eastAsia="宋体"/>
          <w:sz w:val="21"/>
          <w:szCs w:val="21"/>
        </w:rPr>
        <w:t>编号：</w:t>
      </w:r>
      <w:bookmarkStart w:id="51" w:name="最不利房间编号"/>
      <w:r>
        <w:t>1012[商场商店]</w:t>
      </w:r>
      <w:bookmarkEnd w:id="51"/>
      <w:r>
        <w:rPr>
          <w:rFonts w:hint="eastAsia" w:ascii="宋体" w:hAnsi="宋体" w:eastAsia="宋体"/>
          <w:sz w:val="21"/>
          <w:szCs w:val="21"/>
        </w:rPr>
        <w:t>)的室内噪声级评价结论汇总如下表：</w:t>
      </w:r>
    </w:p>
    <w:p>
      <w:pPr>
        <w:pStyle w:val="3"/>
        <w:spacing w:line="276" w:lineRule="auto"/>
        <w:ind w:firstLine="420"/>
        <w:jc w:val="center"/>
        <w:rPr>
          <w:rFonts w:ascii="黑体" w:hAnsi="黑体" w:eastAsia="黑体"/>
          <w:szCs w:val="20"/>
          <w:lang w:val="en-US"/>
        </w:rPr>
      </w:pPr>
      <w:r>
        <w:rPr>
          <w:rFonts w:hint="eastAsia" w:ascii="黑体" w:hAnsi="黑体" w:eastAsia="黑体"/>
          <w:szCs w:val="20"/>
          <w:lang w:val="en-US"/>
        </w:rPr>
        <w:t>表8 室内噪声级达标、得分情况</w:t>
      </w:r>
    </w:p>
    <w:tbl>
      <w:tblPr>
        <w:tblStyle w:val="20"/>
        <w:tblpPr w:leftFromText="180" w:rightFromText="180" w:vertAnchor="text" w:horzAnchor="margin" w:tblpY="194"/>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6433"/>
        <w:gridCol w:w="877"/>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jc w:val="center"/>
            </w:pPr>
            <w:r>
              <w:t>检查项</w:t>
            </w:r>
          </w:p>
        </w:tc>
        <w:tc>
          <w:tcPr>
            <w:tcW w:w="6433" w:type="dxa"/>
            <w:shd w:val="clear" w:color="auto" w:fill="E6E6E6"/>
          </w:tcPr>
          <w:p>
            <w:pPr>
              <w:jc w:val="center"/>
            </w:pPr>
            <w:r>
              <w:rPr>
                <w:rFonts w:hint="eastAsia"/>
              </w:rPr>
              <w:t>评价</w:t>
            </w:r>
            <w:r>
              <w:t>依据</w:t>
            </w:r>
          </w:p>
        </w:tc>
        <w:tc>
          <w:tcPr>
            <w:tcW w:w="877" w:type="dxa"/>
            <w:shd w:val="clear" w:color="auto" w:fill="E6E6E6"/>
            <w:vAlign w:val="center"/>
          </w:tcPr>
          <w:p>
            <w:pPr>
              <w:jc w:val="center"/>
            </w:pPr>
            <w:r>
              <w:t>结论</w:t>
            </w:r>
          </w:p>
        </w:tc>
        <w:tc>
          <w:tcPr>
            <w:tcW w:w="731"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spacing w:line="276" w:lineRule="auto"/>
              <w:jc w:val="center"/>
            </w:pPr>
            <w:r>
              <w:t>室内噪声级</w:t>
            </w:r>
          </w:p>
        </w:tc>
        <w:tc>
          <w:tcPr>
            <w:tcW w:w="6433" w:type="dxa"/>
          </w:tcPr>
          <w:p>
            <w:pPr>
              <w:pStyle w:val="13"/>
              <w:spacing w:line="276" w:lineRule="auto"/>
              <w:ind w:firstLine="0" w:firstLineChars="0"/>
              <w:rPr>
                <w:rFonts w:ascii="Times New Roman" w:hAnsi="Times New Roman" w:eastAsia="宋体"/>
                <w:sz w:val="21"/>
                <w:szCs w:val="21"/>
              </w:rPr>
            </w:pPr>
            <w:r>
              <w:rPr>
                <w:rFonts w:hint="eastAsia" w:ascii="Times New Roman" w:hAnsi="Times New Roman" w:eastAsia="宋体"/>
                <w:b/>
                <w:sz w:val="21"/>
                <w:szCs w:val="21"/>
              </w:rPr>
              <w:t>控制项</w:t>
            </w:r>
            <w:r>
              <w:rPr>
                <w:rFonts w:ascii="Times New Roman" w:hAnsi="Times New Roman" w:eastAsia="宋体"/>
                <w:sz w:val="21"/>
                <w:szCs w:val="21"/>
              </w:rPr>
              <w:t>：</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主要功能房间的室内噪声级应满足现行国家标准《民用建筑隔声设计规范》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中的低限要求。</w:t>
            </w:r>
          </w:p>
        </w:tc>
        <w:tc>
          <w:tcPr>
            <w:tcW w:w="877" w:type="dxa"/>
            <w:vAlign w:val="center"/>
          </w:tcPr>
          <w:p>
            <w:pPr>
              <w:jc w:val="center"/>
            </w:pPr>
            <w:bookmarkStart w:id="52" w:name="室内噪声控制项结论"/>
            <w:r>
              <w:rPr>
                <w:b/>
              </w:rPr>
              <w:t>满足</w:t>
            </w:r>
            <w:bookmarkEnd w:id="52"/>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jc w:val="center"/>
            </w:pPr>
          </w:p>
        </w:tc>
        <w:tc>
          <w:tcPr>
            <w:tcW w:w="6433" w:type="dxa"/>
          </w:tcPr>
          <w:p>
            <w:pPr>
              <w:pStyle w:val="13"/>
              <w:spacing w:line="276"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Cs/>
                <w:sz w:val="21"/>
                <w:szCs w:val="21"/>
              </w:rPr>
            </w:pPr>
            <w:r>
              <w:rPr>
                <w:rFonts w:ascii="Times New Roman" w:hAnsi="Times New Roman" w:eastAsia="宋体"/>
                <w:sz w:val="21"/>
                <w:szCs w:val="21"/>
              </w:rPr>
              <w:t xml:space="preserve">5.2.6  </w:t>
            </w: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tc>
        <w:tc>
          <w:tcPr>
            <w:tcW w:w="877" w:type="dxa"/>
            <w:vAlign w:val="center"/>
          </w:tcPr>
          <w:p>
            <w:pPr>
              <w:spacing w:line="276" w:lineRule="auto"/>
              <w:jc w:val="center"/>
              <w:rPr>
                <w:color w:val="FF0000"/>
              </w:rPr>
            </w:pPr>
            <w:bookmarkStart w:id="53" w:name="室内噪声评分项结论"/>
            <w:r>
              <w:rPr>
                <w:b/>
              </w:rPr>
              <w:t>满足高要求</w:t>
            </w:r>
            <w:bookmarkEnd w:id="53"/>
          </w:p>
        </w:tc>
        <w:tc>
          <w:tcPr>
            <w:tcW w:w="731" w:type="dxa"/>
            <w:vAlign w:val="center"/>
          </w:tcPr>
          <w:p>
            <w:pPr>
              <w:spacing w:line="276" w:lineRule="auto"/>
              <w:jc w:val="center"/>
              <w:rPr>
                <w:color w:val="FF0000"/>
              </w:rPr>
            </w:pPr>
            <w:bookmarkStart w:id="54" w:name="室内噪声得分"/>
            <w:r>
              <w:t>8</w:t>
            </w:r>
            <w:bookmarkEnd w:id="54"/>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firstLineChars="0"/>
        <w:rPr>
          <w:rFonts w:ascii="宋体" w:hAnsi="宋体" w:eastAsia="宋体"/>
          <w:sz w:val="21"/>
          <w:szCs w:val="21"/>
        </w:rPr>
      </w:pPr>
      <w:r>
        <w:rPr>
          <w:rFonts w:ascii="宋体" w:hAnsi="宋体" w:eastAsia="宋体"/>
          <w:sz w:val="21"/>
          <w:szCs w:val="21"/>
        </w:rPr>
        <w:t>附录:建筑室内噪声</w:t>
      </w:r>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餐厅</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1001</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1021</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1013,1015,1016</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1023</w:t>
            </w:r>
          </w:p>
        </w:tc>
        <w:tc>
          <w:tcPr>
            <w:vAlign w:val="center"/>
          </w:tcPr>
          <w:p>
            <w:pPr>
              <w:jc w:val="center"/>
            </w:pPr>
            <w:r>
              <w:rPr>
                <w:sz w:val="18"/>
                <w:szCs w:val="18"/>
              </w:rPr>
              <w:t>23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1014</w:t>
            </w:r>
          </w:p>
        </w:tc>
        <w:tc>
          <w:tcPr>
            <w:vAlign w:val="center"/>
          </w:tcPr>
          <w:p>
            <w:pPr>
              <w:jc w:val="center"/>
            </w:pPr>
            <w:r>
              <w:rPr>
                <w:sz w:val="18"/>
                <w:szCs w:val="18"/>
              </w:rPr>
              <w:t>13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13</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多人办公室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2004</w:t>
            </w:r>
          </w:p>
        </w:tc>
        <w:tc>
          <w:tcPr>
            <w:vAlign w:val="center"/>
          </w:tcPr>
          <w:p>
            <w:pPr>
              <w:jc w:val="center"/>
            </w:pPr>
            <w:r>
              <w:rPr>
                <w:sz w:val="18"/>
                <w:szCs w:val="18"/>
              </w:rPr>
              <w:t>23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1074</w:t>
            </w:r>
          </w:p>
        </w:tc>
        <w:tc>
          <w:tcPr>
            <w:vAlign w:val="center"/>
          </w:tcPr>
          <w:p>
            <w:pPr>
              <w:jc w:val="center"/>
            </w:pPr>
            <w:r>
              <w:rPr>
                <w:sz w:val="18"/>
                <w:szCs w:val="18"/>
              </w:rPr>
              <w:t>22</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22</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1075,3011</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21</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起居室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1044</w:t>
            </w:r>
          </w:p>
        </w:tc>
        <w:tc>
          <w:tcPr>
            <w:vAlign w:val="center"/>
          </w:tcPr>
          <w:p>
            <w:pPr>
              <w:jc w:val="center"/>
            </w:pPr>
            <w:r>
              <w:rPr>
                <w:sz w:val="18"/>
                <w:szCs w:val="18"/>
              </w:rPr>
              <w:t>31</w:t>
            </w:r>
          </w:p>
        </w:tc>
        <w:tc>
          <w:tcPr>
            <w:vAlign w:val="center"/>
          </w:tcPr>
          <w:p>
            <w:pPr>
              <w:jc w:val="center"/>
            </w:pPr>
            <w:r>
              <w:rPr>
                <w:sz w:val="18"/>
                <w:szCs w:val="18"/>
              </w:rPr>
              <w:t>26</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31</w:t>
            </w:r>
          </w:p>
        </w:tc>
        <w:tc>
          <w:tcPr>
            <w:vAlign w:val="center"/>
          </w:tcPr>
          <w:p>
            <w:pPr>
              <w:jc w:val="center"/>
            </w:pPr>
            <w:r>
              <w:rPr>
                <w:b/>
                <w:sz w:val="18"/>
                <w:szCs w:val="18"/>
              </w:rP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1041</w:t>
            </w:r>
          </w:p>
        </w:tc>
        <w:tc>
          <w:tcPr>
            <w:vAlign w:val="center"/>
          </w:tcPr>
          <w:p>
            <w:pPr>
              <w:jc w:val="center"/>
            </w:pPr>
            <w:r>
              <w:rPr>
                <w:sz w:val="18"/>
                <w:szCs w:val="18"/>
              </w:rPr>
              <w:t>29</w:t>
            </w:r>
          </w:p>
        </w:tc>
        <w:tc>
          <w:tcPr>
            <w:vAlign w:val="center"/>
          </w:tcPr>
          <w:p>
            <w:pPr>
              <w:jc w:val="center"/>
            </w:pPr>
            <w:r>
              <w:rPr>
                <w:sz w:val="18"/>
                <w:szCs w:val="18"/>
              </w:rPr>
              <w:t>24</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29</w:t>
            </w:r>
          </w:p>
        </w:tc>
        <w:tc>
          <w:tcPr>
            <w:vAlign w:val="center"/>
          </w:tcPr>
          <w:p>
            <w:pPr>
              <w:jc w:val="center"/>
            </w:pPr>
            <w:r>
              <w:rPr>
                <w:b/>
                <w:sz w:val="18"/>
                <w:szCs w:val="18"/>
              </w:rP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1043,1061</w:t>
            </w:r>
          </w:p>
        </w:tc>
        <w:tc>
          <w:tcPr>
            <w:vAlign w:val="center"/>
          </w:tcPr>
          <w:p>
            <w:pPr>
              <w:jc w:val="center"/>
            </w:pPr>
            <w:r>
              <w:rPr>
                <w:sz w:val="18"/>
                <w:szCs w:val="18"/>
              </w:rPr>
              <w:t>28</w:t>
            </w:r>
          </w:p>
        </w:tc>
        <w:tc>
          <w:tcPr>
            <w:vAlign w:val="center"/>
          </w:tcPr>
          <w:p>
            <w:pPr>
              <w:jc w:val="center"/>
            </w:pPr>
            <w:r>
              <w:rPr>
                <w:sz w:val="18"/>
                <w:szCs w:val="18"/>
              </w:rPr>
              <w:t>23</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28</w:t>
            </w:r>
          </w:p>
        </w:tc>
        <w:tc>
          <w:tcPr>
            <w:vAlign w:val="center"/>
          </w:tcPr>
          <w:p>
            <w:pPr>
              <w:jc w:val="center"/>
            </w:pPr>
            <w:r>
              <w:rPr>
                <w:b/>
                <w:sz w:val="18"/>
                <w:szCs w:val="18"/>
              </w:rP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1049,1056,1059</w:t>
            </w:r>
          </w:p>
        </w:tc>
        <w:tc>
          <w:tcPr>
            <w:vAlign w:val="center"/>
          </w:tcPr>
          <w:p>
            <w:pPr>
              <w:jc w:val="center"/>
            </w:pPr>
            <w:r>
              <w:rPr>
                <w:sz w:val="18"/>
                <w:szCs w:val="18"/>
              </w:rPr>
              <w:t>27</w:t>
            </w:r>
          </w:p>
        </w:tc>
        <w:tc>
          <w:tcPr>
            <w:vAlign w:val="center"/>
          </w:tcPr>
          <w:p>
            <w:pPr>
              <w:jc w:val="center"/>
            </w:pPr>
            <w:r>
              <w:rPr>
                <w:sz w:val="18"/>
                <w:szCs w:val="18"/>
              </w:rPr>
              <w:t>22</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27</w:t>
            </w:r>
          </w:p>
        </w:tc>
        <w:tc>
          <w:tcPr>
            <w:vAlign w:val="center"/>
          </w:tcPr>
          <w:p>
            <w:pPr>
              <w:jc w:val="center"/>
            </w:pPr>
            <w:r>
              <w:rPr>
                <w:b/>
                <w:sz w:val="18"/>
                <w:szCs w:val="18"/>
              </w:rP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1066</w:t>
            </w:r>
          </w:p>
        </w:tc>
        <w:tc>
          <w:tcPr>
            <w:vAlign w:val="center"/>
          </w:tcPr>
          <w:p>
            <w:pPr>
              <w:jc w:val="center"/>
            </w:pPr>
            <w:r>
              <w:rPr>
                <w:sz w:val="18"/>
                <w:szCs w:val="18"/>
              </w:rPr>
              <w:t>26</w:t>
            </w:r>
          </w:p>
        </w:tc>
        <w:tc>
          <w:tcPr>
            <w:vAlign w:val="center"/>
          </w:tcPr>
          <w:p>
            <w:pPr>
              <w:jc w:val="center"/>
            </w:pPr>
            <w:r>
              <w:rPr>
                <w:sz w:val="18"/>
                <w:szCs w:val="18"/>
              </w:rPr>
              <w:t>21</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26</w:t>
            </w:r>
          </w:p>
        </w:tc>
        <w:tc>
          <w:tcPr>
            <w:vAlign w:val="center"/>
          </w:tcPr>
          <w:p>
            <w:pPr>
              <w:jc w:val="center"/>
            </w:pPr>
            <w:r>
              <w:rPr>
                <w:b/>
                <w:sz w:val="18"/>
                <w:szCs w:val="18"/>
              </w:rP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1055</w:t>
            </w:r>
          </w:p>
        </w:tc>
        <w:tc>
          <w:tcPr>
            <w:vAlign w:val="center"/>
          </w:tcPr>
          <w:p>
            <w:pPr>
              <w:jc w:val="center"/>
            </w:pPr>
            <w:r>
              <w:rPr>
                <w:sz w:val="18"/>
                <w:szCs w:val="18"/>
              </w:rPr>
              <w:t>19</w:t>
            </w:r>
          </w:p>
        </w:tc>
        <w:tc>
          <w:tcPr>
            <w:vAlign w:val="center"/>
          </w:tcPr>
          <w:p>
            <w:pPr>
              <w:jc w:val="center"/>
            </w:pPr>
            <w:r>
              <w:rPr>
                <w:sz w:val="18"/>
                <w:szCs w:val="18"/>
              </w:rPr>
              <w:t>14</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19</w:t>
            </w:r>
          </w:p>
        </w:tc>
        <w:tc>
          <w:tcPr>
            <w:vAlign w:val="center"/>
          </w:tcPr>
          <w:p>
            <w:pPr>
              <w:jc w:val="center"/>
            </w:pPr>
            <w:r>
              <w:rPr>
                <w:b/>
                <w:sz w:val="18"/>
                <w:szCs w:val="18"/>
              </w:rP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1046</w:t>
            </w:r>
          </w:p>
        </w:tc>
        <w:tc>
          <w:tcPr>
            <w:vAlign w:val="center"/>
          </w:tcPr>
          <w:p>
            <w:pPr>
              <w:jc w:val="center"/>
            </w:pPr>
            <w:r>
              <w:rPr>
                <w:sz w:val="18"/>
                <w:szCs w:val="18"/>
              </w:rPr>
              <w:t>17</w:t>
            </w:r>
          </w:p>
        </w:tc>
        <w:tc>
          <w:tcPr>
            <w:vAlign w:val="center"/>
          </w:tcPr>
          <w:p>
            <w:pPr>
              <w:jc w:val="center"/>
            </w:pPr>
            <w:r>
              <w:rPr>
                <w:sz w:val="18"/>
                <w:szCs w:val="18"/>
              </w:rPr>
              <w:t>12</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17</w:t>
            </w:r>
          </w:p>
        </w:tc>
        <w:tc>
          <w:tcPr>
            <w:vAlign w:val="center"/>
          </w:tcPr>
          <w:p>
            <w:pPr>
              <w:jc w:val="center"/>
            </w:pPr>
            <w:r>
              <w:rPr>
                <w:b/>
                <w:sz w:val="18"/>
                <w:szCs w:val="18"/>
              </w:rP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1052,1069</w:t>
            </w:r>
          </w:p>
        </w:tc>
        <w:tc>
          <w:tcPr>
            <w:vAlign w:val="center"/>
          </w:tcPr>
          <w:p>
            <w:pPr>
              <w:jc w:val="center"/>
            </w:pPr>
            <w:r>
              <w:rPr>
                <w:sz w:val="18"/>
                <w:szCs w:val="18"/>
              </w:rPr>
              <w:t>16</w:t>
            </w:r>
          </w:p>
        </w:tc>
        <w:tc>
          <w:tcPr>
            <w:vAlign w:val="center"/>
          </w:tcPr>
          <w:p>
            <w:pPr>
              <w:jc w:val="center"/>
            </w:pPr>
            <w:r>
              <w:rPr>
                <w:sz w:val="18"/>
                <w:szCs w:val="18"/>
              </w:rPr>
              <w:t>11</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16</w:t>
            </w:r>
          </w:p>
        </w:tc>
        <w:tc>
          <w:tcPr>
            <w:vAlign w:val="center"/>
          </w:tcPr>
          <w:p>
            <w:pPr>
              <w:jc w:val="center"/>
            </w:pPr>
            <w:r>
              <w:rPr>
                <w:b/>
                <w:sz w:val="18"/>
                <w:szCs w:val="18"/>
              </w:rP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1058,1064,1068</w:t>
            </w:r>
          </w:p>
        </w:tc>
        <w:tc>
          <w:tcPr>
            <w:vAlign w:val="center"/>
          </w:tcPr>
          <w:p>
            <w:pPr>
              <w:jc w:val="center"/>
            </w:pPr>
            <w:r>
              <w:rPr>
                <w:sz w:val="18"/>
                <w:szCs w:val="18"/>
              </w:rPr>
              <w:t>15</w:t>
            </w:r>
          </w:p>
        </w:tc>
        <w:tc>
          <w:tcPr>
            <w:vAlign w:val="center"/>
          </w:tcPr>
          <w:p>
            <w:pPr>
              <w:jc w:val="center"/>
            </w:pPr>
            <w:r>
              <w:rPr>
                <w:sz w:val="18"/>
                <w:szCs w:val="18"/>
              </w:rPr>
              <w:t>10</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15</w:t>
            </w:r>
          </w:p>
        </w:tc>
        <w:tc>
          <w:tcPr>
            <w:vAlign w:val="center"/>
          </w:tcPr>
          <w:p>
            <w:pPr>
              <w:jc w:val="center"/>
            </w:pPr>
            <w:r>
              <w:rPr>
                <w:b/>
                <w:sz w:val="18"/>
                <w:szCs w:val="18"/>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1072</w:t>
            </w:r>
          </w:p>
        </w:tc>
        <w:tc>
          <w:tcPr>
            <w:vAlign w:val="center"/>
          </w:tcPr>
          <w:p>
            <w:pPr>
              <w:jc w:val="center"/>
            </w:pPr>
            <w:r>
              <w:rPr>
                <w:sz w:val="18"/>
                <w:szCs w:val="18"/>
              </w:rPr>
              <w:t>14</w:t>
            </w:r>
          </w:p>
        </w:tc>
        <w:tc>
          <w:tcPr>
            <w:vAlign w:val="center"/>
          </w:tcPr>
          <w:p>
            <w:pPr>
              <w:jc w:val="center"/>
            </w:pPr>
            <w:r>
              <w:rPr>
                <w:sz w:val="18"/>
                <w:szCs w:val="18"/>
              </w:rPr>
              <w:t>9</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14</w:t>
            </w:r>
          </w:p>
        </w:tc>
        <w:tc>
          <w:tcPr>
            <w:vAlign w:val="center"/>
          </w:tcPr>
          <w:p>
            <w:pPr>
              <w:jc w:val="center"/>
            </w:pPr>
            <w:r>
              <w:rPr>
                <w:b/>
                <w:sz w:val="18"/>
                <w:szCs w:val="18"/>
              </w:rPr>
              <w:t>9</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商场商店</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1006</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1012</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1005</w:t>
            </w:r>
          </w:p>
        </w:tc>
        <w:tc>
          <w:tcPr>
            <w:vAlign w:val="center"/>
          </w:tcPr>
          <w:p>
            <w:pPr>
              <w:jc w:val="center"/>
            </w:pPr>
            <w:r>
              <w:rPr>
                <w:sz w:val="18"/>
                <w:szCs w:val="18"/>
              </w:rPr>
              <w:t>33</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1008</w:t>
            </w:r>
          </w:p>
        </w:tc>
        <w:tc>
          <w:tcPr>
            <w:vAlign w:val="center"/>
          </w:tcPr>
          <w:p>
            <w:pPr>
              <w:jc w:val="center"/>
            </w:pPr>
            <w:r>
              <w:rPr>
                <w:sz w:val="18"/>
                <w:szCs w:val="18"/>
              </w:rPr>
              <w:t>33</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1009</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2007</w:t>
            </w:r>
          </w:p>
        </w:tc>
        <w:tc>
          <w:tcPr>
            <w:vAlign w:val="center"/>
          </w:tcPr>
          <w:p>
            <w:pPr>
              <w:jc w:val="center"/>
            </w:pPr>
            <w:r>
              <w:rPr>
                <w:sz w:val="18"/>
                <w:szCs w:val="18"/>
              </w:rPr>
              <w:t>30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1011</w:t>
            </w:r>
          </w:p>
        </w:tc>
        <w:tc>
          <w:tcPr>
            <w:vAlign w:val="center"/>
          </w:tcPr>
          <w:p>
            <w:pPr>
              <w:jc w:val="center"/>
            </w:pPr>
            <w:r>
              <w:rPr>
                <w:sz w:val="18"/>
                <w:szCs w:val="18"/>
              </w:rPr>
              <w:t>28</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2006</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2001</w:t>
            </w:r>
          </w:p>
        </w:tc>
        <w:tc>
          <w:tcPr>
            <w:vAlign w:val="center"/>
          </w:tcPr>
          <w:p>
            <w:pPr>
              <w:jc w:val="center"/>
            </w:pPr>
            <w:r>
              <w:rPr>
                <w:sz w:val="18"/>
                <w:szCs w:val="18"/>
              </w:rPr>
              <w:t>28</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28</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2002</w:t>
            </w:r>
          </w:p>
        </w:tc>
        <w:tc>
          <w:tcPr>
            <w:vAlign w:val="center"/>
          </w:tcPr>
          <w:p>
            <w:pPr>
              <w:jc w:val="center"/>
            </w:pPr>
            <w:r>
              <w:rPr>
                <w:sz w:val="18"/>
                <w:szCs w:val="18"/>
              </w:rPr>
              <w:t>28</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28</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1017</w:t>
            </w:r>
          </w:p>
        </w:tc>
        <w:tc>
          <w:tcPr>
            <w:vAlign w:val="center"/>
          </w:tcPr>
          <w:p>
            <w:pPr>
              <w:jc w:val="center"/>
            </w:pPr>
            <w:r>
              <w:rPr>
                <w:sz w:val="18"/>
                <w:szCs w:val="18"/>
              </w:rPr>
              <w:t>26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2003</w:t>
            </w:r>
          </w:p>
        </w:tc>
        <w:tc>
          <w:tcPr>
            <w:vAlign w:val="center"/>
          </w:tcPr>
          <w:p>
            <w:pPr>
              <w:jc w:val="center"/>
            </w:pPr>
            <w:r>
              <w:rPr>
                <w:sz w:val="18"/>
                <w:szCs w:val="18"/>
              </w:rPr>
              <w:t>26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3014</w:t>
            </w:r>
          </w:p>
        </w:tc>
        <w:tc>
          <w:tcPr>
            <w:vAlign w:val="center"/>
          </w:tcPr>
          <w:p>
            <w:pPr>
              <w:jc w:val="center"/>
            </w:pPr>
            <w:r>
              <w:rPr>
                <w:sz w:val="18"/>
                <w:szCs w:val="18"/>
              </w:rPr>
              <w:t>26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1018</w:t>
            </w:r>
          </w:p>
        </w:tc>
        <w:tc>
          <w:tcPr>
            <w:vAlign w:val="center"/>
          </w:tcPr>
          <w:p>
            <w:pPr>
              <w:jc w:val="center"/>
            </w:pPr>
            <w:r>
              <w:rPr>
                <w:sz w:val="18"/>
                <w:szCs w:val="18"/>
              </w:rPr>
              <w:t>19</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1022</w:t>
            </w:r>
          </w:p>
        </w:tc>
        <w:tc>
          <w:tcPr>
            <w:vAlign w:val="center"/>
          </w:tcPr>
          <w:p>
            <w:pPr>
              <w:jc w:val="center"/>
            </w:pPr>
            <w:r>
              <w:rPr>
                <w:sz w:val="18"/>
                <w:szCs w:val="18"/>
              </w:rPr>
              <w:t>18</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1019</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2005</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2012</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1028</w:t>
            </w:r>
          </w:p>
        </w:tc>
        <w:tc>
          <w:tcPr>
            <w:vAlign w:val="center"/>
          </w:tcPr>
          <w:p>
            <w:pPr>
              <w:jc w:val="center"/>
            </w:pPr>
            <w:r>
              <w:rPr>
                <w:sz w:val="18"/>
                <w:szCs w:val="18"/>
              </w:rPr>
              <w:t>24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1036</w:t>
            </w:r>
          </w:p>
        </w:tc>
        <w:tc>
          <w:tcPr>
            <w:vAlign w:val="center"/>
          </w:tcPr>
          <w:p>
            <w:pPr>
              <w:jc w:val="center"/>
            </w:pPr>
            <w:r>
              <w:rPr>
                <w:sz w:val="18"/>
                <w:szCs w:val="18"/>
              </w:rPr>
              <w:t>22</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22</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1045</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21</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1050,1073</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21</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1027</w:t>
            </w:r>
          </w:p>
        </w:tc>
        <w:tc>
          <w:tcPr>
            <w:vAlign w:val="center"/>
          </w:tcPr>
          <w:p>
            <w:pPr>
              <w:jc w:val="center"/>
            </w:pPr>
            <w:r>
              <w:rPr>
                <w:sz w:val="18"/>
                <w:szCs w:val="18"/>
              </w:rPr>
              <w:t>20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1034</w:t>
            </w:r>
          </w:p>
        </w:tc>
        <w:tc>
          <w:tcPr>
            <w:vAlign w:val="center"/>
          </w:tcPr>
          <w:p>
            <w:pPr>
              <w:jc w:val="center"/>
            </w:pPr>
            <w:r>
              <w:rPr>
                <w:sz w:val="18"/>
                <w:szCs w:val="18"/>
              </w:rPr>
              <w:t>20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1060</w:t>
            </w:r>
          </w:p>
        </w:tc>
        <w:tc>
          <w:tcPr>
            <w:vAlign w:val="center"/>
          </w:tcPr>
          <w:p>
            <w:pPr>
              <w:jc w:val="center"/>
            </w:pPr>
            <w:r>
              <w:rPr>
                <w:sz w:val="18"/>
                <w:szCs w:val="18"/>
              </w:rPr>
              <w:t>20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1020,1024,1030</w:t>
            </w:r>
          </w:p>
        </w:tc>
        <w:tc>
          <w:tcPr>
            <w:vAlign w:val="center"/>
          </w:tcPr>
          <w:p>
            <w:pPr>
              <w:jc w:val="center"/>
            </w:pPr>
            <w:r>
              <w:rPr>
                <w:sz w:val="18"/>
                <w:szCs w:val="18"/>
              </w:rPr>
              <w:t>19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1033</w:t>
            </w:r>
          </w:p>
        </w:tc>
        <w:tc>
          <w:tcPr>
            <w:vAlign w:val="center"/>
          </w:tcPr>
          <w:p>
            <w:pPr>
              <w:jc w:val="center"/>
            </w:pPr>
            <w:r>
              <w:rPr>
                <w:sz w:val="18"/>
                <w:szCs w:val="18"/>
              </w:rPr>
              <w:t>19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1051</w:t>
            </w:r>
          </w:p>
        </w:tc>
        <w:tc>
          <w:tcPr>
            <w:vAlign w:val="center"/>
          </w:tcPr>
          <w:p>
            <w:pPr>
              <w:jc w:val="center"/>
            </w:pPr>
            <w:r>
              <w:rPr>
                <w:sz w:val="18"/>
                <w:szCs w:val="18"/>
              </w:rPr>
              <w:t>19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1026,1039</w:t>
            </w:r>
          </w:p>
        </w:tc>
        <w:tc>
          <w:tcPr>
            <w:vAlign w:val="center"/>
          </w:tcPr>
          <w:p>
            <w:pPr>
              <w:jc w:val="center"/>
            </w:pPr>
            <w:r>
              <w:rPr>
                <w:sz w:val="18"/>
                <w:szCs w:val="18"/>
              </w:rPr>
              <w:t>18</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18</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1047</w:t>
            </w:r>
          </w:p>
        </w:tc>
        <w:tc>
          <w:tcPr>
            <w:vAlign w:val="center"/>
          </w:tcPr>
          <w:p>
            <w:pPr>
              <w:jc w:val="center"/>
            </w:pPr>
            <w:r>
              <w:rPr>
                <w:sz w:val="18"/>
                <w:szCs w:val="18"/>
              </w:rPr>
              <w:t>16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1053</w:t>
            </w:r>
          </w:p>
        </w:tc>
        <w:tc>
          <w:tcPr>
            <w:vAlign w:val="center"/>
          </w:tcPr>
          <w:p>
            <w:pPr>
              <w:jc w:val="center"/>
            </w:pPr>
            <w:r>
              <w:rPr>
                <w:sz w:val="18"/>
                <w:szCs w:val="18"/>
              </w:rPr>
              <w:t>16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1071</w:t>
            </w:r>
          </w:p>
        </w:tc>
        <w:tc>
          <w:tcPr>
            <w:vAlign w:val="center"/>
          </w:tcPr>
          <w:p>
            <w:pPr>
              <w:jc w:val="center"/>
            </w:pPr>
            <w:r>
              <w:rPr>
                <w:sz w:val="18"/>
                <w:szCs w:val="18"/>
              </w:rPr>
              <w:t>16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1037,1065</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1070</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1057,1062</w:t>
            </w:r>
          </w:p>
        </w:tc>
        <w:tc>
          <w:tcPr>
            <w:vAlign w:val="center"/>
          </w:tcPr>
          <w:p>
            <w:pPr>
              <w:jc w:val="center"/>
            </w:pPr>
            <w:r>
              <w:rPr>
                <w:sz w:val="18"/>
                <w:szCs w:val="18"/>
              </w:rPr>
              <w:t>14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1067</w:t>
            </w:r>
          </w:p>
        </w:tc>
        <w:tc>
          <w:tcPr>
            <w:vAlign w:val="center"/>
          </w:tcPr>
          <w:p>
            <w:pPr>
              <w:jc w:val="center"/>
            </w:pPr>
            <w:r>
              <w:rPr>
                <w:sz w:val="18"/>
                <w:szCs w:val="18"/>
              </w:rPr>
              <w:t>14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14</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员工休息室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1025</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1029,1031</w:t>
            </w:r>
          </w:p>
        </w:tc>
        <w:tc>
          <w:tcPr>
            <w:vAlign w:val="center"/>
          </w:tcPr>
          <w:p>
            <w:pPr>
              <w:jc w:val="center"/>
            </w:pPr>
            <w:r>
              <w:rPr>
                <w:sz w:val="18"/>
                <w:szCs w:val="18"/>
              </w:rPr>
              <w:t>24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1032</w:t>
            </w:r>
          </w:p>
        </w:tc>
        <w:tc>
          <w:tcPr>
            <w:vAlign w:val="center"/>
          </w:tcPr>
          <w:p>
            <w:pPr>
              <w:jc w:val="center"/>
            </w:pPr>
            <w:r>
              <w:rPr>
                <w:sz w:val="18"/>
                <w:szCs w:val="18"/>
              </w:rPr>
              <w:t>23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1038</w:t>
            </w:r>
          </w:p>
        </w:tc>
        <w:tc>
          <w:tcPr>
            <w:vAlign w:val="center"/>
          </w:tcPr>
          <w:p>
            <w:pPr>
              <w:jc w:val="center"/>
            </w:pPr>
            <w:r>
              <w:rPr>
                <w:sz w:val="18"/>
                <w:szCs w:val="18"/>
              </w:rPr>
              <w:t>23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1042</w:t>
            </w:r>
          </w:p>
        </w:tc>
        <w:tc>
          <w:tcPr>
            <w:vAlign w:val="center"/>
          </w:tcPr>
          <w:p>
            <w:pPr>
              <w:jc w:val="center"/>
            </w:pPr>
            <w:r>
              <w:rPr>
                <w:sz w:val="18"/>
                <w:szCs w:val="18"/>
              </w:rPr>
              <w:t>22</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22</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1040,1048</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21</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1063</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21</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1054</w:t>
            </w:r>
          </w:p>
        </w:tc>
        <w:tc>
          <w:tcPr>
            <w:vAlign w:val="center"/>
          </w:tcPr>
          <w:p>
            <w:pPr>
              <w:jc w:val="center"/>
            </w:pPr>
            <w:r>
              <w:rPr>
                <w:sz w:val="18"/>
                <w:szCs w:val="18"/>
              </w:rPr>
              <w:t>20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1035</w:t>
            </w:r>
          </w:p>
        </w:tc>
        <w:tc>
          <w:tcPr>
            <w:vAlign w:val="center"/>
          </w:tcPr>
          <w:p>
            <w:pPr>
              <w:jc w:val="center"/>
            </w:pPr>
            <w:r>
              <w:rPr>
                <w:sz w:val="18"/>
                <w:szCs w:val="18"/>
              </w:rPr>
              <w:t>19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19</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卧室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2008,2009</w:t>
            </w:r>
          </w:p>
        </w:tc>
        <w:tc>
          <w:tcPr>
            <w:vAlign w:val="center"/>
          </w:tcPr>
          <w:p>
            <w:pPr>
              <w:jc w:val="center"/>
            </w:pPr>
            <w:r>
              <w:rPr>
                <w:sz w:val="18"/>
                <w:szCs w:val="18"/>
              </w:rPr>
              <w:t>27</w:t>
            </w:r>
          </w:p>
        </w:tc>
        <w:tc>
          <w:tcPr>
            <w:vAlign w:val="center"/>
          </w:tcPr>
          <w:p>
            <w:pPr>
              <w:jc w:val="center"/>
            </w:pPr>
            <w:r>
              <w:rPr>
                <w:sz w:val="18"/>
                <w:szCs w:val="18"/>
              </w:rPr>
              <w:t>22</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27</w:t>
            </w:r>
          </w:p>
        </w:tc>
        <w:tc>
          <w:tcPr>
            <w:vAlign w:val="center"/>
          </w:tcPr>
          <w:p>
            <w:pPr>
              <w:jc w:val="center"/>
            </w:pPr>
            <w:r>
              <w:rPr>
                <w:b/>
                <w:sz w:val="18"/>
                <w:szCs w:val="18"/>
              </w:rP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2010,2011</w:t>
            </w:r>
          </w:p>
        </w:tc>
        <w:tc>
          <w:tcPr>
            <w:vAlign w:val="center"/>
          </w:tcPr>
          <w:p>
            <w:pPr>
              <w:jc w:val="center"/>
            </w:pPr>
            <w:r>
              <w:rPr>
                <w:sz w:val="18"/>
                <w:szCs w:val="18"/>
              </w:rPr>
              <w:t>26</w:t>
            </w:r>
          </w:p>
        </w:tc>
        <w:tc>
          <w:tcPr>
            <w:vAlign w:val="center"/>
          </w:tcPr>
          <w:p>
            <w:pPr>
              <w:jc w:val="center"/>
            </w:pPr>
            <w:r>
              <w:rPr>
                <w:sz w:val="18"/>
                <w:szCs w:val="18"/>
              </w:rPr>
              <w:t>21</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26</w:t>
            </w:r>
          </w:p>
        </w:tc>
        <w:tc>
          <w:tcPr>
            <w:vAlign w:val="center"/>
          </w:tcPr>
          <w:p>
            <w:pPr>
              <w:jc w:val="center"/>
            </w:pPr>
            <w:r>
              <w:rPr>
                <w:b/>
                <w:sz w:val="18"/>
                <w:szCs w:val="18"/>
              </w:rP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2014,2016</w:t>
            </w:r>
          </w:p>
        </w:tc>
        <w:tc>
          <w:tcPr>
            <w:vAlign w:val="center"/>
          </w:tcPr>
          <w:p>
            <w:pPr>
              <w:jc w:val="center"/>
            </w:pPr>
            <w:r>
              <w:rPr>
                <w:sz w:val="18"/>
                <w:szCs w:val="18"/>
              </w:rPr>
              <w:t>24</w:t>
            </w:r>
          </w:p>
        </w:tc>
        <w:tc>
          <w:tcPr>
            <w:vAlign w:val="center"/>
          </w:tcPr>
          <w:p>
            <w:pPr>
              <w:jc w:val="center"/>
            </w:pPr>
            <w:r>
              <w:rPr>
                <w:sz w:val="18"/>
                <w:szCs w:val="18"/>
              </w:rPr>
              <w:t>18</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24</w:t>
            </w:r>
          </w:p>
        </w:tc>
        <w:tc>
          <w:tcPr>
            <w:vAlign w:val="center"/>
          </w:tcPr>
          <w:p>
            <w:pPr>
              <w:jc w:val="center"/>
            </w:pPr>
            <w:r>
              <w:rPr>
                <w:b/>
                <w:sz w:val="18"/>
                <w:szCs w:val="18"/>
              </w:rP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2015,2017</w:t>
            </w:r>
          </w:p>
        </w:tc>
        <w:tc>
          <w:tcPr>
            <w:vAlign w:val="center"/>
          </w:tcPr>
          <w:p>
            <w:pPr>
              <w:jc w:val="center"/>
            </w:pPr>
            <w:r>
              <w:rPr>
                <w:sz w:val="18"/>
                <w:szCs w:val="18"/>
              </w:rPr>
              <w:t>22</w:t>
            </w:r>
          </w:p>
        </w:tc>
        <w:tc>
          <w:tcPr>
            <w:vAlign w:val="center"/>
          </w:tcPr>
          <w:p>
            <w:pPr>
              <w:jc w:val="center"/>
            </w:pPr>
            <w:r>
              <w:rPr>
                <w:sz w:val="18"/>
                <w:szCs w:val="18"/>
              </w:rPr>
              <w:t>17</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22</w:t>
            </w:r>
          </w:p>
        </w:tc>
        <w:tc>
          <w:tcPr>
            <w:vAlign w:val="center"/>
          </w:tcPr>
          <w:p>
            <w:pPr>
              <w:jc w:val="center"/>
            </w:pPr>
            <w:r>
              <w:rPr>
                <w:b/>
                <w:sz w:val="18"/>
                <w:szCs w:val="18"/>
              </w:rPr>
              <w:t>17</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11</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B2130B0"/>
    <w:multiLevelType w:val="multilevel"/>
    <w:tmpl w:val="0B2130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5603016"/>
    <w:multiLevelType w:val="multilevel"/>
    <w:tmpl w:val="45603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3DB07FE"/>
    <w:multiLevelType w:val="multilevel"/>
    <w:tmpl w:val="63DB07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4A0312B"/>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0"/>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9"/>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rPr>
      <w:sz w:val="18"/>
      <w:szCs w:val="18"/>
    </w:rPr>
  </w:style>
  <w:style w:type="paragraph" w:styleId="16">
    <w:name w:val="footer"/>
    <w:basedOn w:val="1"/>
    <w:qFormat/>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uiPriority w:val="0"/>
    <w:rPr>
      <w:color w:val="0000FF"/>
      <w:u w:val="single"/>
    </w:rPr>
  </w:style>
  <w:style w:type="character" w:customStyle="1" w:styleId="25">
    <w:name w:val="正文文本缩进 Char2"/>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Char"/>
    <w:link w:val="4"/>
    <w:uiPriority w:val="9"/>
    <w:rPr>
      <w:rFonts w:ascii="宋体" w:cs="Arial"/>
      <w:b/>
      <w:bCs/>
      <w:iCs/>
      <w:color w:val="000000"/>
      <w:sz w:val="24"/>
      <w:szCs w:val="24"/>
    </w:rPr>
  </w:style>
  <w:style w:type="character" w:customStyle="1" w:styleId="30">
    <w:name w:val="标题 1 Char"/>
    <w:link w:val="2"/>
    <w:uiPriority w:val="9"/>
    <w:rPr>
      <w:b/>
      <w:bCs/>
      <w:kern w:val="32"/>
      <w:sz w:val="28"/>
      <w:szCs w:val="28"/>
    </w:rPr>
  </w:style>
  <w:style w:type="character" w:styleId="31">
    <w:name w:val="Placeholder Text"/>
    <w:basedOn w:val="22"/>
    <w:semiHidden/>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oleObject" Target="embeddings/oleObject42.bin"/><Relationship Id="rId90" Type="http://schemas.openxmlformats.org/officeDocument/2006/relationships/oleObject" Target="embeddings/oleObject41.bin"/><Relationship Id="rId9" Type="http://schemas.openxmlformats.org/officeDocument/2006/relationships/oleObject" Target="embeddings/oleObject1.bin"/><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png"/><Relationship Id="rId86" Type="http://schemas.openxmlformats.org/officeDocument/2006/relationships/oleObject" Target="embeddings/oleObject39.bin"/><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image" Target="media/image3.png"/><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wmf"/><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emf"/><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0.wmf"/><Relationship Id="rId37" Type="http://schemas.openxmlformats.org/officeDocument/2006/relationships/oleObject" Target="embeddings/oleObject13.bin"/><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8.bin"/><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e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DFB42-E580-4A6D-9139-FC4A74C4E2AA}">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Template>
  <Company>ths</Company>
  <Pages>13</Pages>
  <Words>1297</Words>
  <Characters>7395</Characters>
  <Lines>61</Lines>
  <Paragraphs>17</Paragraphs>
  <TotalTime>0</TotalTime>
  <ScaleCrop>false</ScaleCrop>
  <LinksUpToDate>false</LinksUpToDate>
  <CharactersWithSpaces>8675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2017-12-14T09:30:00Z</dcterms:created>
  <dc:creator>yzx</dc:creator>
  <cp:lastModifiedBy>一叶知秋</cp:lastModifiedBy>
  <cp:lastPrinted>1900-12-31T16:00:00Z</cp:lastPrinted>
  <dcterms:modified xsi:type="dcterms:W3CDTF">2020-12-27T04:45:13Z</dcterms:modified>
  <dc:title>最不利房间室内噪声设计报告书_环评版</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