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福州</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2021年01月05日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855"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855"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"_Toc60770622" </w:instrText>
      </w:r>
      <w:r>
        <w:fldChar w:fldCharType="separate"/>
      </w:r>
      <w:r>
        <w:rPr>
          <w:rStyle w:val="26"/>
        </w:rPr>
        <w:t>1</w:t>
      </w:r>
      <w:r>
        <w:rPr>
          <w:rFonts w:asciiTheme="minorHAnsi" w:hAnsiTheme="minorHAnsi" w:eastAsiaTheme="minorEastAsia" w:cstheme="minorBidi"/>
          <w:b w:val="0"/>
          <w:bCs w:val="0"/>
          <w:szCs w:val="22"/>
        </w:rPr>
        <w:tab/>
      </w:r>
      <w:r>
        <w:rPr>
          <w:rStyle w:val="26"/>
        </w:rPr>
        <w:t>项目概况</w:t>
      </w:r>
      <w:r>
        <w:tab/>
      </w:r>
      <w:r>
        <w:fldChar w:fldCharType="begin"/>
      </w:r>
      <w:r>
        <w:instrText xml:space="preserve"> PAGEREF _Toc60770622 \h </w:instrText>
      </w:r>
      <w:r>
        <w:fldChar w:fldCharType="separate"/>
      </w:r>
      <w:r>
        <w:t>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"_Toc60770623" </w:instrText>
      </w:r>
      <w:r>
        <w:fldChar w:fldCharType="separate"/>
      </w:r>
      <w:r>
        <w:rPr>
          <w:rStyle w:val="26"/>
          <w:lang w:val="en-GB"/>
        </w:rPr>
        <w:t>1.1</w:t>
      </w:r>
      <w:r>
        <w:rPr>
          <w:rFonts w:asciiTheme="minorHAnsi" w:hAnsiTheme="minorHAnsi" w:eastAsiaTheme="minorEastAsia" w:cstheme="minorBidi"/>
          <w:szCs w:val="22"/>
        </w:rPr>
        <w:tab/>
      </w:r>
      <w:r>
        <w:rPr>
          <w:rStyle w:val="26"/>
        </w:rPr>
        <w:t>总平面图</w:t>
      </w:r>
      <w:r>
        <w:tab/>
      </w:r>
      <w:r>
        <w:fldChar w:fldCharType="begin"/>
      </w:r>
      <w:r>
        <w:instrText xml:space="preserve"> PAGEREF _Toc60770623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"_Toc60770624" </w:instrText>
      </w:r>
      <w:r>
        <w:fldChar w:fldCharType="separate"/>
      </w:r>
      <w:r>
        <w:rPr>
          <w:rStyle w:val="26"/>
          <w:lang w:val="en-GB"/>
        </w:rPr>
        <w:t>1.2</w:t>
      </w:r>
      <w:r>
        <w:rPr>
          <w:rFonts w:asciiTheme="minorHAnsi" w:hAnsiTheme="minorHAnsi" w:eastAsiaTheme="minorEastAsia" w:cstheme="minorBidi"/>
          <w:szCs w:val="22"/>
        </w:rPr>
        <w:tab/>
      </w:r>
      <w:r>
        <w:rPr>
          <w:rStyle w:val="26"/>
        </w:rPr>
        <w:t>三维视图</w:t>
      </w:r>
      <w:r>
        <w:tab/>
      </w:r>
      <w:r>
        <w:fldChar w:fldCharType="begin"/>
      </w:r>
      <w:r>
        <w:instrText xml:space="preserve"> PAGEREF _Toc60770624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"_Toc60770625" </w:instrText>
      </w:r>
      <w:r>
        <w:fldChar w:fldCharType="separate"/>
      </w:r>
      <w:r>
        <w:rPr>
          <w:rStyle w:val="26"/>
        </w:rPr>
        <w:t>2</w:t>
      </w:r>
      <w:r>
        <w:rPr>
          <w:rFonts w:asciiTheme="minorHAnsi" w:hAnsiTheme="minorHAnsi" w:eastAsiaTheme="minorEastAsia" w:cstheme="minorBidi"/>
          <w:b w:val="0"/>
          <w:bCs w:val="0"/>
          <w:szCs w:val="22"/>
        </w:rPr>
        <w:tab/>
      </w:r>
      <w:r>
        <w:rPr>
          <w:rStyle w:val="26"/>
        </w:rPr>
        <w:t>计算依据</w:t>
      </w:r>
      <w:r>
        <w:tab/>
      </w:r>
      <w:r>
        <w:fldChar w:fldCharType="begin"/>
      </w:r>
      <w:r>
        <w:instrText xml:space="preserve"> PAGEREF _Toc60770625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"_Toc60770626" </w:instrText>
      </w:r>
      <w:r>
        <w:fldChar w:fldCharType="separate"/>
      </w:r>
      <w:r>
        <w:rPr>
          <w:rStyle w:val="26"/>
        </w:rPr>
        <w:t>3</w:t>
      </w:r>
      <w:r>
        <w:rPr>
          <w:rFonts w:asciiTheme="minorHAnsi" w:hAnsiTheme="minorHAnsi" w:eastAsiaTheme="minorEastAsia" w:cstheme="minorBidi"/>
          <w:b w:val="0"/>
          <w:bCs w:val="0"/>
          <w:szCs w:val="22"/>
        </w:rPr>
        <w:tab/>
      </w:r>
      <w:r>
        <w:rPr>
          <w:rStyle w:val="26"/>
        </w:rPr>
        <w:t>参考标准</w:t>
      </w:r>
      <w:r>
        <w:tab/>
      </w:r>
      <w:r>
        <w:fldChar w:fldCharType="begin"/>
      </w:r>
      <w:r>
        <w:instrText xml:space="preserve"> PAGEREF _Toc60770626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"_Toc60770627" </w:instrText>
      </w:r>
      <w:r>
        <w:fldChar w:fldCharType="separate"/>
      </w:r>
      <w:r>
        <w:rPr>
          <w:rStyle w:val="26"/>
        </w:rPr>
        <w:t>4</w:t>
      </w:r>
      <w:r>
        <w:rPr>
          <w:rFonts w:asciiTheme="minorHAnsi" w:hAnsiTheme="minorHAnsi" w:eastAsiaTheme="minorEastAsia" w:cstheme="minorBidi"/>
          <w:b w:val="0"/>
          <w:bCs w:val="0"/>
          <w:szCs w:val="22"/>
        </w:rPr>
        <w:tab/>
      </w:r>
      <w:r>
        <w:rPr>
          <w:rStyle w:val="26"/>
        </w:rPr>
        <w:t>计算原理</w:t>
      </w:r>
      <w:r>
        <w:tab/>
      </w:r>
      <w:r>
        <w:fldChar w:fldCharType="begin"/>
      </w:r>
      <w:r>
        <w:instrText xml:space="preserve"> PAGEREF _Toc60770627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"_Toc60770628" </w:instrText>
      </w:r>
      <w:r>
        <w:fldChar w:fldCharType="separate"/>
      </w:r>
      <w:r>
        <w:rPr>
          <w:rStyle w:val="26"/>
          <w:lang w:val="en-GB"/>
        </w:rPr>
        <w:t>4.1</w:t>
      </w:r>
      <w:r>
        <w:rPr>
          <w:rFonts w:asciiTheme="minorHAnsi" w:hAnsiTheme="minorHAnsi" w:eastAsiaTheme="minorEastAsia" w:cstheme="minorBidi"/>
          <w:szCs w:val="22"/>
        </w:rPr>
        <w:tab/>
      </w:r>
      <w:r>
        <w:rPr>
          <w:rStyle w:val="26"/>
        </w:rPr>
        <w:t>风场计算域</w:t>
      </w:r>
      <w:r>
        <w:tab/>
      </w:r>
      <w:r>
        <w:fldChar w:fldCharType="begin"/>
      </w:r>
      <w:r>
        <w:instrText xml:space="preserve"> PAGEREF _Toc60770628 \h </w:instrText>
      </w:r>
      <w:r>
        <w:fldChar w:fldCharType="separate"/>
      </w:r>
      <w:r>
        <w:t>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"_Toc60770629" </w:instrText>
      </w:r>
      <w:r>
        <w:fldChar w:fldCharType="separate"/>
      </w:r>
      <w:r>
        <w:rPr>
          <w:rStyle w:val="26"/>
          <w:lang w:val="en-GB"/>
        </w:rPr>
        <w:t>4.1.1</w:t>
      </w:r>
      <w:r>
        <w:rPr>
          <w:rFonts w:asciiTheme="minorHAnsi" w:hAnsiTheme="minorHAnsi" w:eastAsiaTheme="minorEastAsia" w:cstheme="minorBidi"/>
          <w:szCs w:val="22"/>
        </w:rPr>
        <w:tab/>
      </w:r>
      <w:r>
        <w:rPr>
          <w:rStyle w:val="26"/>
        </w:rPr>
        <w:t>过渡季工况风场计算域</w:t>
      </w:r>
      <w:r>
        <w:tab/>
      </w:r>
      <w:r>
        <w:fldChar w:fldCharType="begin"/>
      </w:r>
      <w:r>
        <w:instrText xml:space="preserve"> PAGEREF _Toc60770629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"_Toc60770630" </w:instrText>
      </w:r>
      <w:r>
        <w:fldChar w:fldCharType="separate"/>
      </w:r>
      <w:r>
        <w:rPr>
          <w:rStyle w:val="26"/>
          <w:lang w:val="en-GB"/>
        </w:rPr>
        <w:t>4.2</w:t>
      </w:r>
      <w:r>
        <w:rPr>
          <w:rFonts w:asciiTheme="minorHAnsi" w:hAnsiTheme="minorHAnsi" w:eastAsiaTheme="minorEastAsia" w:cstheme="minorBidi"/>
          <w:szCs w:val="22"/>
        </w:rPr>
        <w:tab/>
      </w:r>
      <w:r>
        <w:rPr>
          <w:rStyle w:val="26"/>
        </w:rPr>
        <w:t>网格划分</w:t>
      </w:r>
      <w:r>
        <w:tab/>
      </w:r>
      <w:r>
        <w:fldChar w:fldCharType="begin"/>
      </w:r>
      <w:r>
        <w:instrText xml:space="preserve"> PAGEREF _Toc60770630 \h </w:instrText>
      </w:r>
      <w:r>
        <w:fldChar w:fldCharType="separate"/>
      </w:r>
      <w:r>
        <w:t>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"_Toc60770631" </w:instrText>
      </w:r>
      <w:r>
        <w:fldChar w:fldCharType="separate"/>
      </w:r>
      <w:r>
        <w:rPr>
          <w:rStyle w:val="26"/>
          <w:lang w:val="en-GB"/>
        </w:rPr>
        <w:t>4.3</w:t>
      </w:r>
      <w:r>
        <w:rPr>
          <w:rFonts w:asciiTheme="minorHAnsi" w:hAnsiTheme="minorHAnsi" w:eastAsiaTheme="minorEastAsia" w:cstheme="minorBidi"/>
          <w:szCs w:val="22"/>
        </w:rPr>
        <w:tab/>
      </w:r>
      <w:r>
        <w:rPr>
          <w:rStyle w:val="26"/>
        </w:rPr>
        <w:t>边界条件</w:t>
      </w:r>
      <w:r>
        <w:tab/>
      </w:r>
      <w:r>
        <w:fldChar w:fldCharType="begin"/>
      </w:r>
      <w:r>
        <w:instrText xml:space="preserve"> PAGEREF _Toc60770631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"_Toc60770632" </w:instrText>
      </w:r>
      <w:r>
        <w:fldChar w:fldCharType="separate"/>
      </w:r>
      <w:r>
        <w:rPr>
          <w:rStyle w:val="26"/>
          <w:lang w:val="en-GB"/>
        </w:rPr>
        <w:t>4.3.1</w:t>
      </w:r>
      <w:r>
        <w:rPr>
          <w:rFonts w:asciiTheme="minorHAnsi" w:hAnsiTheme="minorHAnsi" w:eastAsiaTheme="minorEastAsia" w:cstheme="minorBidi"/>
          <w:szCs w:val="22"/>
        </w:rPr>
        <w:tab/>
      </w:r>
      <w:r>
        <w:rPr>
          <w:rStyle w:val="26"/>
        </w:rPr>
        <w:t>入口与出口边界条件</w:t>
      </w:r>
      <w:r>
        <w:tab/>
      </w:r>
      <w:r>
        <w:fldChar w:fldCharType="begin"/>
      </w:r>
      <w:r>
        <w:instrText xml:space="preserve"> PAGEREF _Toc60770632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"_Toc60770633" </w:instrText>
      </w:r>
      <w:r>
        <w:fldChar w:fldCharType="separate"/>
      </w:r>
      <w:r>
        <w:rPr>
          <w:rStyle w:val="26"/>
          <w:lang w:val="en-GB"/>
        </w:rPr>
        <w:t>4.3.2</w:t>
      </w:r>
      <w:r>
        <w:rPr>
          <w:rFonts w:asciiTheme="minorHAnsi" w:hAnsiTheme="minorHAnsi" w:eastAsiaTheme="minorEastAsia" w:cstheme="minorBidi"/>
          <w:szCs w:val="22"/>
        </w:rPr>
        <w:tab/>
      </w:r>
      <w:r>
        <w:rPr>
          <w:rStyle w:val="26"/>
        </w:rPr>
        <w:t>壁面边界条件</w:t>
      </w:r>
      <w:r>
        <w:tab/>
      </w:r>
      <w:r>
        <w:fldChar w:fldCharType="begin"/>
      </w:r>
      <w:r>
        <w:instrText xml:space="preserve"> PAGEREF _Toc60770633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"_Toc60770634" </w:instrText>
      </w:r>
      <w:r>
        <w:fldChar w:fldCharType="separate"/>
      </w:r>
      <w:r>
        <w:rPr>
          <w:rStyle w:val="26"/>
          <w:lang w:val="en-GB"/>
        </w:rPr>
        <w:t>4.4</w:t>
      </w:r>
      <w:r>
        <w:rPr>
          <w:rFonts w:asciiTheme="minorHAnsi" w:hAnsiTheme="minorHAnsi" w:eastAsiaTheme="minorEastAsia" w:cstheme="minorBidi"/>
          <w:szCs w:val="22"/>
        </w:rPr>
        <w:tab/>
      </w:r>
      <w:r>
        <w:rPr>
          <w:rStyle w:val="26"/>
        </w:rPr>
        <w:t>湍流模型</w:t>
      </w:r>
      <w:r>
        <w:tab/>
      </w:r>
      <w:r>
        <w:fldChar w:fldCharType="begin"/>
      </w:r>
      <w:r>
        <w:instrText xml:space="preserve"> PAGEREF _Toc60770634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"_Toc60770635" </w:instrText>
      </w:r>
      <w:r>
        <w:fldChar w:fldCharType="separate"/>
      </w:r>
      <w:r>
        <w:rPr>
          <w:rStyle w:val="26"/>
          <w:lang w:val="en-GB"/>
        </w:rPr>
        <w:t>4.5</w:t>
      </w:r>
      <w:r>
        <w:rPr>
          <w:rFonts w:asciiTheme="minorHAnsi" w:hAnsiTheme="minorHAnsi" w:eastAsiaTheme="minorEastAsia" w:cstheme="minorBidi"/>
          <w:szCs w:val="22"/>
        </w:rPr>
        <w:tab/>
      </w:r>
      <w:r>
        <w:rPr>
          <w:rStyle w:val="26"/>
        </w:rPr>
        <w:t>求解计算</w:t>
      </w:r>
      <w:r>
        <w:tab/>
      </w:r>
      <w:r>
        <w:fldChar w:fldCharType="begin"/>
      </w:r>
      <w:r>
        <w:instrText xml:space="preserve"> PAGEREF _Toc60770635 \h </w:instrText>
      </w:r>
      <w:r>
        <w:fldChar w:fldCharType="separate"/>
      </w:r>
      <w:r>
        <w:t>10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"_Toc60770636" </w:instrText>
      </w:r>
      <w:r>
        <w:fldChar w:fldCharType="separate"/>
      </w:r>
      <w:r>
        <w:rPr>
          <w:rStyle w:val="26"/>
          <w:lang w:val="en-GB"/>
        </w:rPr>
        <w:t>4.6</w:t>
      </w:r>
      <w:r>
        <w:rPr>
          <w:rFonts w:asciiTheme="minorHAnsi" w:hAnsiTheme="minorHAnsi" w:eastAsiaTheme="minorEastAsia" w:cstheme="minorBidi"/>
          <w:szCs w:val="22"/>
        </w:rPr>
        <w:tab/>
      </w:r>
      <w:r>
        <w:rPr>
          <w:rStyle w:val="26"/>
        </w:rPr>
        <w:t>风速放大系数计算</w:t>
      </w:r>
      <w:r>
        <w:tab/>
      </w:r>
      <w:r>
        <w:fldChar w:fldCharType="begin"/>
      </w:r>
      <w:r>
        <w:instrText xml:space="preserve"> PAGEREF _Toc60770636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rPr>
      </w:pPr>
      <w:r>
        <w:fldChar w:fldCharType="begin"/>
      </w:r>
      <w:r>
        <w:instrText xml:space="preserve"> HYPERLINK \l "_Toc60770637" </w:instrText>
      </w:r>
      <w:r>
        <w:fldChar w:fldCharType="separate"/>
      </w:r>
      <w:r>
        <w:rPr>
          <w:rStyle w:val="26"/>
        </w:rPr>
        <w:t>5</w:t>
      </w:r>
      <w:r>
        <w:rPr>
          <w:rFonts w:asciiTheme="minorHAnsi" w:hAnsiTheme="minorHAnsi" w:eastAsiaTheme="minorEastAsia" w:cstheme="minorBidi"/>
          <w:b w:val="0"/>
          <w:bCs w:val="0"/>
          <w:szCs w:val="22"/>
        </w:rPr>
        <w:tab/>
      </w:r>
      <w:r>
        <w:rPr>
          <w:rStyle w:val="26"/>
        </w:rPr>
        <w:t>结果分析</w:t>
      </w:r>
      <w:r>
        <w:tab/>
      </w:r>
      <w:r>
        <w:fldChar w:fldCharType="begin"/>
      </w:r>
      <w:r>
        <w:instrText xml:space="preserve"> PAGEREF _Toc60770637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"_Toc60770638" </w:instrText>
      </w:r>
      <w:r>
        <w:fldChar w:fldCharType="separate"/>
      </w:r>
      <w:r>
        <w:rPr>
          <w:rStyle w:val="26"/>
          <w:lang w:val="en-GB"/>
        </w:rPr>
        <w:t>5.1</w:t>
      </w:r>
      <w:r>
        <w:rPr>
          <w:rFonts w:asciiTheme="minorHAnsi" w:hAnsiTheme="minorHAnsi" w:eastAsiaTheme="minorEastAsia" w:cstheme="minorBidi"/>
          <w:szCs w:val="22"/>
        </w:rPr>
        <w:tab/>
      </w:r>
      <w:r>
        <w:rPr>
          <w:rStyle w:val="26"/>
        </w:rPr>
        <w:t>工况表</w:t>
      </w:r>
      <w:r>
        <w:tab/>
      </w:r>
      <w:r>
        <w:fldChar w:fldCharType="begin"/>
      </w:r>
      <w:r>
        <w:instrText xml:space="preserve"> PAGEREF _Toc60770638 \h </w:instrText>
      </w:r>
      <w:r>
        <w:fldChar w:fldCharType="separate"/>
      </w:r>
      <w:r>
        <w:t>12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"_Toc60770639" </w:instrText>
      </w:r>
      <w:r>
        <w:fldChar w:fldCharType="separate"/>
      </w:r>
      <w:r>
        <w:rPr>
          <w:rStyle w:val="26"/>
          <w:lang w:val="en-GB"/>
        </w:rPr>
        <w:t>5.2</w:t>
      </w:r>
      <w:r>
        <w:rPr>
          <w:rFonts w:asciiTheme="minorHAnsi" w:hAnsiTheme="minorHAnsi" w:eastAsiaTheme="minorEastAsia" w:cstheme="minorBidi"/>
          <w:szCs w:val="22"/>
        </w:rPr>
        <w:tab/>
      </w:r>
      <w:r>
        <w:rPr>
          <w:rStyle w:val="26"/>
        </w:rPr>
        <w:t>过渡季工况</w:t>
      </w:r>
      <w:r>
        <w:tab/>
      </w:r>
      <w:r>
        <w:fldChar w:fldCharType="begin"/>
      </w:r>
      <w:r>
        <w:instrText xml:space="preserve"> PAGEREF _Toc60770639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"_Toc60770640" </w:instrText>
      </w:r>
      <w:r>
        <w:fldChar w:fldCharType="separate"/>
      </w:r>
      <w:r>
        <w:rPr>
          <w:rStyle w:val="26"/>
          <w:lang w:val="en-GB"/>
        </w:rPr>
        <w:t>5.2.1</w:t>
      </w:r>
      <w:r>
        <w:rPr>
          <w:rFonts w:asciiTheme="minorHAnsi" w:hAnsiTheme="minorHAnsi" w:eastAsiaTheme="minorEastAsia" w:cstheme="minorBidi"/>
          <w:szCs w:val="22"/>
        </w:rPr>
        <w:tab/>
      </w:r>
      <w:r>
        <w:rPr>
          <w:rStyle w:val="26"/>
        </w:rPr>
        <w:t>无风区计算分析</w:t>
      </w:r>
      <w:r>
        <w:tab/>
      </w:r>
      <w:r>
        <w:fldChar w:fldCharType="begin"/>
      </w:r>
      <w:r>
        <w:instrText xml:space="preserve"> PAGEREF _Toc60770640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"_Toc60770641" </w:instrText>
      </w:r>
      <w:r>
        <w:fldChar w:fldCharType="separate"/>
      </w:r>
      <w:r>
        <w:rPr>
          <w:rStyle w:val="26"/>
          <w:lang w:val="en-GB"/>
        </w:rPr>
        <w:t>5.2.2</w:t>
      </w:r>
      <w:r>
        <w:rPr>
          <w:rFonts w:asciiTheme="minorHAnsi" w:hAnsiTheme="minorHAnsi" w:eastAsiaTheme="minorEastAsia" w:cstheme="minorBidi"/>
          <w:szCs w:val="22"/>
        </w:rPr>
        <w:tab/>
      </w:r>
      <w:r>
        <w:rPr>
          <w:rStyle w:val="26"/>
        </w:rPr>
        <w:t>旋涡区分析</w:t>
      </w:r>
      <w:r>
        <w:tab/>
      </w:r>
      <w:r>
        <w:fldChar w:fldCharType="begin"/>
      </w:r>
      <w:r>
        <w:instrText xml:space="preserve"> PAGEREF _Toc60770641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"_Toc60770642" </w:instrText>
      </w:r>
      <w:r>
        <w:fldChar w:fldCharType="separate"/>
      </w:r>
      <w:r>
        <w:rPr>
          <w:rStyle w:val="26"/>
          <w:lang w:val="en-GB"/>
        </w:rPr>
        <w:t>5.2.3</w:t>
      </w:r>
      <w:r>
        <w:rPr>
          <w:rFonts w:asciiTheme="minorHAnsi" w:hAnsiTheme="minorHAnsi" w:eastAsiaTheme="minorEastAsia" w:cstheme="minorBidi"/>
          <w:szCs w:val="22"/>
        </w:rPr>
        <w:tab/>
      </w:r>
      <w:r>
        <w:rPr>
          <w:rStyle w:val="26"/>
        </w:rPr>
        <w:t>人行区域旋涡区/无风区达标判定</w:t>
      </w:r>
      <w:r>
        <w:tab/>
      </w:r>
      <w:r>
        <w:fldChar w:fldCharType="begin"/>
      </w:r>
      <w:r>
        <w:instrText xml:space="preserve"> PAGEREF _Toc60770642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"_Toc60770643" </w:instrText>
      </w:r>
      <w:r>
        <w:fldChar w:fldCharType="separate"/>
      </w:r>
      <w:r>
        <w:rPr>
          <w:rStyle w:val="26"/>
          <w:lang w:val="en-GB"/>
        </w:rPr>
        <w:t>5.2.4</w:t>
      </w:r>
      <w:r>
        <w:rPr>
          <w:rFonts w:asciiTheme="minorHAnsi" w:hAnsiTheme="minorHAnsi" w:eastAsiaTheme="minorEastAsia" w:cstheme="minorBidi"/>
          <w:szCs w:val="22"/>
        </w:rPr>
        <w:tab/>
      </w:r>
      <w:r>
        <w:rPr>
          <w:rStyle w:val="26"/>
        </w:rPr>
        <w:t>外窗内外表面风压差达标分析</w:t>
      </w:r>
      <w:r>
        <w:tab/>
      </w:r>
      <w:r>
        <w:fldChar w:fldCharType="begin"/>
      </w:r>
      <w:r>
        <w:instrText xml:space="preserve"> PAGEREF _Toc60770643 \h </w:instrText>
      </w:r>
      <w:r>
        <w:fldChar w:fldCharType="separate"/>
      </w:r>
      <w:r>
        <w:t>14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"_Toc60770644" </w:instrText>
      </w:r>
      <w:r>
        <w:fldChar w:fldCharType="separate"/>
      </w:r>
      <w:r>
        <w:rPr>
          <w:rStyle w:val="26"/>
          <w:lang w:val="en-GB"/>
        </w:rPr>
        <w:t>5.3</w:t>
      </w:r>
      <w:r>
        <w:rPr>
          <w:rFonts w:asciiTheme="minorHAnsi" w:hAnsiTheme="minorHAnsi" w:eastAsiaTheme="minorEastAsia" w:cstheme="minorBidi"/>
          <w:szCs w:val="22"/>
        </w:rPr>
        <w:tab/>
      </w:r>
      <w:r>
        <w:rPr>
          <w:rStyle w:val="26"/>
        </w:rPr>
        <w:t>结论</w:t>
      </w:r>
      <w:r>
        <w:tab/>
      </w:r>
      <w:r>
        <w:fldChar w:fldCharType="begin"/>
      </w:r>
      <w:r>
        <w:instrText xml:space="preserve"> PAGEREF _Toc60770644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"_Toc60770645" </w:instrText>
      </w:r>
      <w:r>
        <w:fldChar w:fldCharType="separate"/>
      </w:r>
      <w:r>
        <w:rPr>
          <w:rStyle w:val="26"/>
          <w:lang w:val="en-GB"/>
        </w:rPr>
        <w:t>5.3.1</w:t>
      </w:r>
      <w:r>
        <w:rPr>
          <w:rFonts w:asciiTheme="minorHAnsi" w:hAnsiTheme="minorHAnsi" w:eastAsiaTheme="minorEastAsia" w:cstheme="minorBidi"/>
          <w:szCs w:val="22"/>
        </w:rPr>
        <w:tab/>
      </w:r>
      <w:r>
        <w:rPr>
          <w:rStyle w:val="26"/>
        </w:rPr>
        <w:t>过渡季、夏季工况达标判断</w:t>
      </w:r>
      <w:r>
        <w:tab/>
      </w:r>
      <w:r>
        <w:fldChar w:fldCharType="begin"/>
      </w:r>
      <w:r>
        <w:instrText xml:space="preserve"> PAGEREF _Toc60770645 \h </w:instrText>
      </w:r>
      <w:r>
        <w:fldChar w:fldCharType="separate"/>
      </w:r>
      <w:r>
        <w:t>16</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60770622"/>
      <w:bookmarkStart w:id="9" w:name="_Toc452108759"/>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452108760"/>
      <w:bookmarkStart w:id="12" w:name="_Toc60770623"/>
      <w:r>
        <w:rPr>
          <w:rFonts w:hint="eastAsia"/>
        </w:rPr>
        <w:t>总</w:t>
      </w:r>
      <w:r>
        <w:t>平面图</w:t>
      </w:r>
      <w:bookmarkEnd w:id="11"/>
      <w:bookmarkEnd w:id="12"/>
    </w:p>
    <w:p>
      <w:pPr>
        <w:pStyle w:val="3"/>
        <w:ind w:firstLine="0" w:firstLineChars="0"/>
        <w:jc w:val="center"/>
        <w:rPr>
          <w:lang w:val="en-US"/>
        </w:rPr>
      </w:pPr>
      <w:r>
        <w:rPr>
          <w:rFonts w:hint="eastAsia"/>
          <w:lang w:val="en-US"/>
        </w:rPr>
        <w:t xml:space="preserve"> </w:t>
      </w:r>
      <w:bookmarkStart w:id="13" w:name="总平面图"/>
      <w:bookmarkEnd w:id="13"/>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4" w:name="_Toc60770624"/>
      <w:bookmarkStart w:id="15" w:name="_Toc452108761"/>
      <w:r>
        <w:rPr>
          <w:rFonts w:hint="eastAsia"/>
        </w:rPr>
        <w:t>三</w:t>
      </w:r>
      <w:r>
        <w:t>维视图</w:t>
      </w:r>
      <w:bookmarkEnd w:id="14"/>
      <w:bookmarkEnd w:id="15"/>
    </w:p>
    <w:p>
      <w:pPr>
        <w:pStyle w:val="3"/>
        <w:ind w:firstLine="0" w:firstLineChars="0"/>
        <w:jc w:val="center"/>
        <w:rPr>
          <w:lang w:val="en-US"/>
        </w:rPr>
      </w:pPr>
      <w:r>
        <w:rPr>
          <w:rFonts w:hint="eastAsia"/>
          <w:lang w:val="en-US"/>
        </w:rPr>
        <w:t xml:space="preserve"> </w:t>
      </w:r>
      <w:bookmarkStart w:id="16" w:name="三维视图"/>
      <w:bookmarkEnd w:id="16"/>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7" w:name="_Toc60770625"/>
      <w:bookmarkStart w:id="18" w:name="TitleFormat"/>
      <w:bookmarkStart w:id="19" w:name="_Toc452108762"/>
      <w:r>
        <w:rPr>
          <w:rFonts w:hint="eastAsia"/>
        </w:rPr>
        <w:t>计算</w:t>
      </w:r>
      <w:r>
        <w:t>依据</w:t>
      </w:r>
      <w:bookmarkEnd w:id="17"/>
      <w:bookmarkEnd w:id="18"/>
      <w:bookmarkEnd w:id="19"/>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50378—2014</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0" w:name="_Toc452108763"/>
      <w:bookmarkStart w:id="21" w:name="_Toc60770626"/>
      <w:r>
        <w:rPr>
          <w:rFonts w:hint="eastAsia"/>
        </w:rPr>
        <w:t>参考</w:t>
      </w:r>
      <w:r>
        <w:t>标准</w:t>
      </w:r>
      <w:bookmarkEnd w:id="20"/>
      <w:bookmarkEnd w:id="21"/>
    </w:p>
    <w:p>
      <w:pPr>
        <w:pStyle w:val="3"/>
        <w:ind w:firstLine="420"/>
        <w:rPr>
          <w:lang w:val="en-US"/>
        </w:rPr>
      </w:pPr>
      <w:r>
        <w:rPr>
          <w:rFonts w:hint="eastAsia"/>
          <w:lang w:val="en-US"/>
        </w:rPr>
        <w:t>室外风环境评价依据为《绿色建筑评价标准》（GB/T 50378-2014）中有关室外风环境的条目要求。具体要求如下：</w:t>
      </w:r>
    </w:p>
    <w:p>
      <w:pPr>
        <w:pStyle w:val="3"/>
        <w:ind w:firstLine="420"/>
        <w:rPr>
          <w:lang w:val="en-US"/>
        </w:rPr>
      </w:pPr>
      <w:bookmarkStart w:id="22" w:name="_Toc451698935"/>
      <w:bookmarkStart w:id="23" w:name="_Toc452108764"/>
      <w:bookmarkStart w:id="24" w:name="_Toc451436145"/>
      <w:r>
        <w:rPr>
          <w:rFonts w:hint="eastAsia"/>
          <w:lang w:val="en-US"/>
        </w:rPr>
        <w:t>4.2.6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冬季典型风速和风向条件下，建筑物周围人行区风速低于5m/s，且室外风速放大系数小于2，得2分；除迎风第一排建筑外，建筑迎风面与背风面表面风压差不超过5Pa，得1分。</w:t>
      </w:r>
    </w:p>
    <w:p>
      <w:pPr>
        <w:pStyle w:val="3"/>
        <w:ind w:firstLine="420"/>
        <w:rPr>
          <w:lang w:val="en-US"/>
        </w:rPr>
      </w:pPr>
      <w:r>
        <w:rPr>
          <w:rFonts w:hint="eastAsia"/>
          <w:lang w:val="en-US"/>
        </w:rPr>
        <w:t>2  过渡季、夏季典型风速和风向条件下，场地内人活动区不出现涡旋或无风区，得2分；50%以上可开启外窗室内外表面的风压差大于0.5Pa，得1分。</w:t>
      </w:r>
    </w:p>
    <w:p>
      <w:pPr>
        <w:pStyle w:val="2"/>
      </w:pPr>
      <w:bookmarkStart w:id="25" w:name="_Toc60770627"/>
      <w:r>
        <w:rPr>
          <w:rFonts w:hint="eastAsia"/>
        </w:rPr>
        <w:t>计算原理</w:t>
      </w:r>
      <w:bookmarkEnd w:id="22"/>
      <w:bookmarkEnd w:id="23"/>
      <w:bookmarkEnd w:id="25"/>
    </w:p>
    <w:p>
      <w:pPr>
        <w:pStyle w:val="4"/>
        <w:numPr>
          <w:ilvl w:val="1"/>
          <w:numId w:val="3"/>
        </w:numPr>
      </w:pPr>
      <w:bookmarkStart w:id="26" w:name="_Toc60770628"/>
      <w:bookmarkStart w:id="27" w:name="_Toc509844740"/>
      <w:bookmarkStart w:id="28" w:name="_Toc452108765"/>
      <w:bookmarkStart w:id="29" w:name="_Toc451698937"/>
      <w:r>
        <w:rPr>
          <w:rFonts w:hint="eastAsia"/>
        </w:rPr>
        <w:t>风场计算域</w:t>
      </w:r>
      <w:bookmarkEnd w:id="26"/>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0" w:name="_Toc60770629"/>
      <w:r>
        <w:rPr>
          <w:rFonts w:hint="eastAsia"/>
        </w:rPr>
        <w:t>过渡季工况风场计算域</w:t>
      </w:r>
      <w:bookmarkEnd w:id="3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1" w:name="冬季风场X尺寸"/>
            <w:r>
              <w:t>496</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2" w:name="冬季风场Y尺寸"/>
            <w:r>
              <w:t>328</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3" w:name="冬季风场Z尺寸"/>
            <w:r>
              <w:t>131</w:t>
            </w:r>
            <w:bookmarkEnd w:id="33"/>
          </w:p>
        </w:tc>
      </w:tr>
    </w:tbl>
    <w:p>
      <w:pPr>
        <w:pStyle w:val="3"/>
        <w:ind w:firstLine="0" w:firstLineChars="0"/>
        <w:jc w:val="center"/>
        <w:rPr>
          <w:lang w:val="en-US"/>
        </w:rPr>
      </w:pPr>
      <w:bookmarkStart w:id="34" w:name="冬季工况风场计算域图示"/>
      <w:bookmarkEnd w:id="34"/>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5" w:name="计算域"/>
      <w:bookmarkEnd w:id="35"/>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6" w:name="_Toc509844741"/>
      <w:bookmarkStart w:id="37" w:name="_Toc60770630"/>
      <w:r>
        <w:rPr>
          <w:rFonts w:hint="eastAsia"/>
        </w:rPr>
        <w:t>网格划分</w:t>
      </w:r>
      <w:bookmarkEnd w:id="36"/>
      <w:bookmarkEnd w:id="37"/>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8" w:name="OLE_LINK276"/>
      <w:bookmarkStart w:id="39" w:name="OLE_LINK277"/>
      <w:r>
        <w:rPr>
          <w:rFonts w:hint="eastAsia"/>
        </w:rPr>
        <w:t>1）普通网格：指除靠近地面和建筑以外的网格，通常不需要特别加密处理</w:t>
      </w:r>
    </w:p>
    <w:p>
      <w:pPr>
        <w:pStyle w:val="12"/>
        <w:numPr>
          <w:ilvl w:val="0"/>
          <w:numId w:val="4"/>
        </w:numPr>
        <w:spacing w:before="156"/>
      </w:pPr>
      <w:bookmarkStart w:id="40" w:name="OLE_LINK15"/>
      <w:r>
        <w:rPr>
          <w:rFonts w:hint="eastAsia"/>
        </w:rPr>
        <w:t>分弧精度：对于有圆弧特征的建筑局部，把圆弧分解为线段时，弦到弧的最大距离；</w:t>
      </w:r>
    </w:p>
    <w:bookmarkEnd w:id="40"/>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38"/>
      <w:bookmarkEnd w:id="39"/>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41" w:name="冬季网格总数"/>
            <w:r>
              <w:t>435933</w:t>
            </w:r>
            <w:bookmarkEnd w:id="4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2" w:name="冬季分弧精度"/>
            <w:r>
              <w:t>0.24</w:t>
            </w:r>
            <w:bookmarkEnd w:id="42"/>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3" w:name="冬季初始网格"/>
            <w:r>
              <w:t>8.0</w:t>
            </w:r>
            <w:bookmarkEnd w:id="43"/>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4" w:name="冬季最小细分级数"/>
            <w:r>
              <w:t>1</w:t>
            </w:r>
            <w:bookmarkEnd w:id="4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5" w:name="冬季最大细分级数"/>
            <w:r>
              <w:t>2</w:t>
            </w:r>
            <w:bookmarkEnd w:id="4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6" w:name="冬季远场细分级数"/>
            <w:r>
              <w:t>1</w:t>
            </w:r>
            <w:bookmarkEnd w:id="4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7" w:name="冬季近场细分级数"/>
            <w:r>
              <w:t>2</w:t>
            </w:r>
            <w:bookmarkEnd w:id="4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8" w:name="冬季地面附面层数"/>
            <w:r>
              <w:t>2</w:t>
            </w:r>
            <w:bookmarkEnd w:id="4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9" w:name="冬季建筑附面层数"/>
            <w:r>
              <w:t>0</w:t>
            </w:r>
            <w:bookmarkEnd w:id="49"/>
          </w:p>
        </w:tc>
      </w:tr>
    </w:tbl>
    <w:p>
      <w:pPr>
        <w:rPr>
          <w:szCs w:val="21"/>
          <w:lang w:val="en-US"/>
        </w:rPr>
      </w:pPr>
    </w:p>
    <w:p>
      <w:pPr>
        <w:pStyle w:val="3"/>
        <w:ind w:firstLine="630" w:firstLineChars="300"/>
        <w:rPr>
          <w:rFonts w:ascii="黑体" w:hAnsi="黑体" w:eastAsia="黑体"/>
          <w:szCs w:val="20"/>
        </w:rPr>
      </w:pPr>
      <w:bookmarkStart w:id="50" w:name="网格划分信息"/>
      <w:bookmarkEnd w:id="50"/>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51" w:name="_Toc60770631"/>
      <w:bookmarkStart w:id="52" w:name="_Toc509844742"/>
      <w:r>
        <w:rPr>
          <w:rFonts w:hint="eastAsia"/>
        </w:rPr>
        <w:t>边界条件</w:t>
      </w:r>
      <w:bookmarkEnd w:id="51"/>
      <w:bookmarkEnd w:id="52"/>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53" w:name="_Toc60770632"/>
      <w:bookmarkStart w:id="54" w:name="_Toc509844743"/>
      <w:r>
        <w:rPr>
          <w:rFonts w:hint="eastAsia"/>
        </w:rPr>
        <w:t>入口与出口边界条件</w:t>
      </w:r>
      <w:bookmarkEnd w:id="53"/>
      <w:bookmarkEnd w:id="54"/>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4pt;width:71.4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6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6pt;width:14.4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55" w:name="地面粗糙度指数2"/>
      <w:r>
        <w:rPr>
          <w:rFonts w:hint="eastAsia"/>
          <w:lang w:val="en-US"/>
        </w:rPr>
        <w:t>0.22</w:t>
      </w:r>
      <w:bookmarkEnd w:id="55"/>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56" w:name="_Toc509844744"/>
      <w:bookmarkStart w:id="57" w:name="_Toc60770633"/>
      <w:r>
        <w:rPr>
          <w:rFonts w:hint="eastAsia"/>
        </w:rPr>
        <w:t>壁面边界条件</w:t>
      </w:r>
      <w:bookmarkEnd w:id="56"/>
      <w:bookmarkEnd w:id="57"/>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58" w:name="_Toc60770634"/>
      <w:r>
        <w:rPr>
          <w:rFonts w:hint="eastAsia"/>
        </w:rPr>
        <w:t>湍流模型</w:t>
      </w:r>
      <w:bookmarkEnd w:id="28"/>
      <w:bookmarkEnd w:id="29"/>
      <w:bookmarkEnd w:id="58"/>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59" w:name="_Toc452108767"/>
      <w:bookmarkStart w:id="60" w:name="_Toc60770635"/>
      <w:bookmarkStart w:id="61" w:name="_Toc451698939"/>
      <w:r>
        <w:rPr>
          <w:rFonts w:hint="eastAsia"/>
        </w:rPr>
        <w:t>求解计算</w:t>
      </w:r>
      <w:bookmarkEnd w:id="59"/>
      <w:bookmarkEnd w:id="60"/>
      <w:bookmarkEnd w:id="61"/>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4"/>
    </w:p>
    <w:p>
      <w:pPr>
        <w:pStyle w:val="4"/>
      </w:pPr>
      <w:bookmarkStart w:id="64" w:name="_Toc60770636"/>
      <w:bookmarkStart w:id="65" w:name="_Toc509844747"/>
      <w:r>
        <w:rPr>
          <w:rFonts w:hint="eastAsia"/>
        </w:rPr>
        <w:t>风速放大系数计算</w:t>
      </w:r>
      <w:bookmarkEnd w:id="64"/>
      <w:bookmarkEnd w:id="65"/>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4pt;width:12.6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4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4pt;width:20.4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66" w:name="地面粗糙度指数"/>
      <w:r>
        <w:rPr>
          <w:rFonts w:hint="eastAsia"/>
          <w:lang w:val="en-US"/>
        </w:rPr>
        <w:t>0.22</w:t>
      </w:r>
      <w:bookmarkEnd w:id="66"/>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67" w:name="_Toc60770637"/>
      <w:bookmarkStart w:id="68" w:name="_Toc452108768"/>
      <w:r>
        <w:rPr>
          <w:rFonts w:hint="eastAsia"/>
        </w:rPr>
        <w:t>结果</w:t>
      </w:r>
      <w:r>
        <w:t>分析</w:t>
      </w:r>
      <w:bookmarkEnd w:id="67"/>
      <w:bookmarkEnd w:id="68"/>
    </w:p>
    <w:p>
      <w:pPr>
        <w:pStyle w:val="4"/>
        <w:rPr>
          <w:szCs w:val="21"/>
        </w:rPr>
      </w:pPr>
      <w:bookmarkStart w:id="69" w:name="_Toc60770638"/>
      <w:r>
        <w:rPr>
          <w:rFonts w:hint="eastAsia"/>
          <w:szCs w:val="21"/>
        </w:rPr>
        <w:t>工况</w:t>
      </w:r>
      <w:r>
        <w:rPr>
          <w:szCs w:val="21"/>
        </w:rPr>
        <w:t>表</w:t>
      </w:r>
      <w:bookmarkEnd w:id="69"/>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7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4.20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SSE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292.5</w:t>
            </w:r>
          </w:p>
        </w:tc>
      </w:tr>
      <w:bookmarkEnd w:id="70"/>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rPr>
          <w:lang w:val="en-US"/>
        </w:rPr>
      </w:pPr>
      <w:bookmarkStart w:id="71" w:name="冬季工况"/>
      <w:bookmarkEnd w:id="71"/>
      <w:r>
        <w:rPr>
          <w:rFonts w:hint="eastAsia"/>
          <w:lang w:val="en-US"/>
        </w:rPr>
        <w:t xml:space="preserve"> </w:t>
      </w:r>
    </w:p>
    <w:p>
      <w:pPr>
        <w:pStyle w:val="4"/>
      </w:pPr>
      <w:bookmarkStart w:id="72" w:name="季节1"/>
      <w:bookmarkStart w:id="73" w:name="_Toc509844759"/>
      <w:bookmarkStart w:id="74" w:name="_Toc60770639"/>
      <w:r>
        <w:rPr>
          <w:rFonts w:hint="eastAsia"/>
        </w:rPr>
        <w:t>过渡季</w:t>
      </w:r>
      <w:bookmarkEnd w:id="72"/>
      <w:r>
        <w:rPr>
          <w:rFonts w:hint="eastAsia"/>
        </w:rPr>
        <w:t>工况</w:t>
      </w:r>
      <w:bookmarkEnd w:id="73"/>
      <w:bookmarkEnd w:id="74"/>
    </w:p>
    <w:p>
      <w:pPr>
        <w:pStyle w:val="3"/>
        <w:ind w:firstLine="420"/>
      </w:pPr>
      <w:r>
        <w:rPr>
          <w:rFonts w:hint="eastAsia"/>
          <w:lang w:val="en-US"/>
        </w:rPr>
        <w:t>本项目</w:t>
      </w:r>
      <w:bookmarkStart w:id="75" w:name="季节2"/>
      <w:r>
        <w:rPr>
          <w:rFonts w:hint="eastAsia"/>
          <w:lang w:val="en-US"/>
        </w:rPr>
        <w:t>过渡季</w:t>
      </w:r>
      <w:bookmarkEnd w:id="75"/>
      <w:r>
        <w:rPr>
          <w:rFonts w:hint="eastAsia"/>
          <w:lang w:val="en-US"/>
        </w:rPr>
        <w:t>工况的入口边界风速为</w:t>
      </w:r>
      <w:bookmarkStart w:id="76" w:name="入口边界风速"/>
      <w:r>
        <w:rPr>
          <w:rFonts w:hint="eastAsia"/>
          <w:lang w:val="en-US"/>
        </w:rPr>
        <w:t>4.20</w:t>
      </w:r>
      <w:bookmarkEnd w:id="76"/>
      <w:r>
        <w:rPr>
          <w:rFonts w:hint="eastAsia"/>
          <w:lang w:val="en-US"/>
        </w:rPr>
        <w:t>m/s，风向为</w:t>
      </w:r>
      <w:bookmarkStart w:id="77" w:name="入口边界风向"/>
      <w:r>
        <w:t>SSE</w:t>
      </w:r>
      <w:bookmarkEnd w:id="77"/>
      <w:r>
        <w:rPr>
          <w:rFonts w:hint="eastAsia"/>
          <w:lang w:val="en-US"/>
        </w:rPr>
        <w:t>。</w:t>
      </w:r>
    </w:p>
    <w:p>
      <w:pPr>
        <w:pStyle w:val="3"/>
        <w:ind w:firstLine="420"/>
      </w:pPr>
      <w:r>
        <w:rPr>
          <w:rFonts w:hint="eastAsia"/>
          <w:lang w:val="en-US"/>
        </w:rPr>
        <w:t>根据前述《绿色建筑评价标准》 对于夏季工况的要求，</w:t>
      </w:r>
      <w:bookmarkStart w:id="78" w:name="季节3"/>
      <w:r>
        <w:rPr>
          <w:rFonts w:hint="eastAsia"/>
          <w:lang w:val="en-US"/>
        </w:rPr>
        <w:t>过渡季</w:t>
      </w:r>
      <w:bookmarkEnd w:id="78"/>
      <w:r>
        <w:rPr>
          <w:rFonts w:hint="eastAsia"/>
          <w:lang w:val="en-US"/>
        </w:rPr>
        <w:t>典型风速和风向条件下，场地内人活动区不出现涡旋或无风区。通过该项标准指导设计确保合理的建筑布局，在</w:t>
      </w:r>
      <w:bookmarkStart w:id="79" w:name="季节4"/>
      <w:r>
        <w:rPr>
          <w:rFonts w:hint="eastAsia"/>
          <w:lang w:val="en-US"/>
        </w:rPr>
        <w:t>过渡季</w:t>
      </w:r>
      <w:bookmarkEnd w:id="79"/>
      <w:r>
        <w:rPr>
          <w:rFonts w:hint="eastAsia"/>
          <w:lang w:val="en-US"/>
        </w:rPr>
        <w:t>形成有效的巷道风，优化街区自然通风环境，避免</w:t>
      </w:r>
      <w:bookmarkStart w:id="80" w:name="季节5"/>
      <w:r>
        <w:rPr>
          <w:rFonts w:hint="eastAsia"/>
          <w:lang w:val="en-US"/>
        </w:rPr>
        <w:t>过渡季</w:t>
      </w:r>
      <w:bookmarkEnd w:id="80"/>
      <w:r>
        <w:rPr>
          <w:rFonts w:hint="eastAsia"/>
          <w:lang w:val="en-US"/>
        </w:rPr>
        <w:t>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81" w:name="_Toc60770640"/>
      <w:bookmarkStart w:id="82" w:name="_Toc509844760"/>
      <w:r>
        <w:rPr>
          <w:rFonts w:hint="eastAsia"/>
        </w:rPr>
        <w:t>无风区计算分析</w:t>
      </w:r>
      <w:bookmarkEnd w:id="81"/>
      <w:bookmarkEnd w:id="82"/>
    </w:p>
    <w:p>
      <w:pPr>
        <w:pStyle w:val="3"/>
        <w:tabs>
          <w:tab w:val="left" w:pos="426"/>
        </w:tabs>
        <w:ind w:firstLine="420"/>
      </w:pPr>
      <w:r>
        <w:rPr>
          <w:rFonts w:hint="eastAsia"/>
        </w:rPr>
        <w:t>下图为整个计算域内风速分布云图，参考图中速度分布可以对项目中建筑布局进行优化。分析下图，</w:t>
      </w:r>
      <w:bookmarkStart w:id="83" w:name="风速分析结论"/>
      <w:bookmarkEnd w:id="83"/>
      <w:r>
        <w:rPr>
          <w:rFonts w:hint="eastAsia"/>
          <w:lang w:val="en-US" w:eastAsia="zh-CN"/>
        </w:rPr>
        <w:t>没有</w:t>
      </w:r>
      <w:r>
        <w:t>人行区内风速小于0.2m/s的超限区域，因此</w:t>
      </w:r>
      <w:r>
        <w:rPr>
          <w:rFonts w:hint="eastAsia"/>
          <w:lang w:val="en-US" w:eastAsia="zh-CN"/>
        </w:rPr>
        <w:t>基本</w:t>
      </w:r>
      <w:r>
        <w:rPr>
          <w:color w:val="000000" w:themeColor="text1"/>
          <w14:textFill>
            <w14:solidFill>
              <w14:schemeClr w14:val="tx1"/>
            </w14:solidFill>
          </w14:textFill>
        </w:rPr>
        <w:t>满足</w:t>
      </w:r>
      <w:r>
        <w:t>绿标要求。</w:t>
      </w:r>
    </w:p>
    <w:p>
      <w:pPr>
        <w:pStyle w:val="3"/>
        <w:spacing w:after="156" w:afterLines="50"/>
        <w:ind w:firstLine="0" w:firstLineChars="0"/>
        <w:jc w:val="center"/>
      </w:pPr>
      <w:bookmarkStart w:id="84" w:name="风速云图"/>
      <w:bookmarkEnd w:id="84"/>
      <w:r>
        <w:drawing>
          <wp:inline distT="0" distB="0" distL="0" distR="0">
            <wp:extent cx="5667375" cy="3486150"/>
            <wp:effectExtent l="0" t="0" r="1905" b="381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w:t>
      </w:r>
      <w:bookmarkStart w:id="85" w:name="季节7"/>
      <w:r>
        <w:rPr>
          <w:rFonts w:hint="eastAsia" w:ascii="黑体" w:hAnsi="黑体" w:eastAsia="黑体"/>
          <w:sz w:val="20"/>
          <w:szCs w:val="20"/>
        </w:rPr>
        <w:t>过渡季</w:t>
      </w:r>
      <w:bookmarkEnd w:id="85"/>
    </w:p>
    <w:p>
      <w:pPr>
        <w:pStyle w:val="5"/>
      </w:pPr>
      <w:bookmarkStart w:id="86" w:name="_Toc509844761"/>
      <w:bookmarkStart w:id="87" w:name="_Toc60770641"/>
      <w:r>
        <w:rPr>
          <w:rFonts w:hint="eastAsia"/>
        </w:rPr>
        <w:t>旋涡区分析</w:t>
      </w:r>
      <w:bookmarkEnd w:id="86"/>
      <w:bookmarkEnd w:id="87"/>
    </w:p>
    <w:p>
      <w:pPr>
        <w:pStyle w:val="3"/>
        <w:tabs>
          <w:tab w:val="left" w:pos="426"/>
        </w:tabs>
        <w:ind w:firstLine="420"/>
        <w:rPr>
          <w:lang w:val="en-US"/>
        </w:rPr>
      </w:pPr>
      <w:r>
        <w:rPr>
          <w:rFonts w:hint="eastAsia"/>
          <w:lang w:val="en-US"/>
        </w:rPr>
        <w:t>下图为计算域内的风速矢量图，分析下图可知，计算域内没有明显的旋涡产生，本项目建筑布局基本合理。</w:t>
      </w:r>
    </w:p>
    <w:p>
      <w:pPr>
        <w:pStyle w:val="3"/>
        <w:ind w:firstLine="0" w:firstLineChars="0"/>
        <w:jc w:val="center"/>
        <w:rPr>
          <w:lang w:val="en-US"/>
        </w:rPr>
      </w:pPr>
      <w:bookmarkStart w:id="88" w:name="风速矢量图"/>
      <w:bookmarkEnd w:id="88"/>
      <w:r>
        <w:drawing>
          <wp:inline distT="0" distB="0" distL="0" distR="0">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6671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计算域内-1.5米高度水平面风速矢量图</w:t>
      </w:r>
    </w:p>
    <w:p>
      <w:pPr>
        <w:pStyle w:val="5"/>
      </w:pPr>
      <w:bookmarkStart w:id="89" w:name="_Toc509844762"/>
      <w:bookmarkStart w:id="90" w:name="_Toc60770642"/>
      <w:r>
        <w:rPr>
          <w:rFonts w:hint="eastAsia"/>
        </w:rPr>
        <w:t>人行区域旋涡区/无风区达标判定</w:t>
      </w:r>
      <w:bookmarkEnd w:id="89"/>
      <w:bookmarkEnd w:id="9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91" w:name="季节8"/>
      <w:r>
        <w:rPr>
          <w:rFonts w:hint="eastAsia" w:ascii="黑体" w:hAnsi="黑体" w:eastAsia="黑体"/>
          <w:sz w:val="20"/>
          <w:szCs w:val="20"/>
        </w:rPr>
        <w:t>过渡季</w:t>
      </w:r>
      <w:bookmarkEnd w:id="91"/>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92" w:name="_Toc504501018"/>
      <w:bookmarkStart w:id="93" w:name="_Toc60770643"/>
      <w:bookmarkStart w:id="94" w:name="_Toc509844763"/>
      <w:r>
        <w:rPr>
          <w:rFonts w:hint="eastAsia"/>
        </w:rPr>
        <w:t>外窗内外表面风压</w:t>
      </w:r>
      <w:bookmarkEnd w:id="92"/>
      <w:r>
        <w:rPr>
          <w:rFonts w:hint="eastAsia"/>
        </w:rPr>
        <w:t>差达标分析</w:t>
      </w:r>
      <w:bookmarkEnd w:id="93"/>
      <w:bookmarkEnd w:id="94"/>
    </w:p>
    <w:p>
      <w:pPr>
        <w:pStyle w:val="3"/>
        <w:ind w:firstLine="420"/>
      </w:pPr>
      <w:r>
        <w:rPr>
          <w:rFonts w:hint="eastAsia"/>
          <w:lang w:val="en-US"/>
        </w:rPr>
        <w:t>分析《绿色建筑评价标准》，</w:t>
      </w:r>
      <w:bookmarkStart w:id="95" w:name="季节9"/>
      <w:r>
        <w:rPr>
          <w:rFonts w:hint="eastAsia"/>
          <w:lang w:val="en-US"/>
        </w:rPr>
        <w:t>过渡季</w:t>
      </w:r>
      <w:bookmarkEnd w:id="95"/>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96" w:name="迎风面风压云图"/>
      <w:bookmarkEnd w:id="96"/>
      <w:r>
        <w:drawing>
          <wp:inline distT="0" distB="0" distL="0" distR="0">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97" w:name="季节10"/>
      <w:r>
        <w:rPr>
          <w:rFonts w:hint="eastAsia" w:ascii="黑体" w:hAnsi="黑体" w:eastAsia="黑体"/>
          <w:sz w:val="20"/>
          <w:szCs w:val="20"/>
        </w:rPr>
        <w:t>过渡季</w:t>
      </w:r>
      <w:bookmarkEnd w:id="97"/>
    </w:p>
    <w:p>
      <w:pPr>
        <w:pStyle w:val="13"/>
        <w:jc w:val="center"/>
      </w:pPr>
      <w:bookmarkStart w:id="98" w:name="背风面风压云图"/>
      <w:bookmarkEnd w:id="98"/>
      <w: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36385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99" w:name="季节11"/>
      <w:r>
        <w:rPr>
          <w:rFonts w:hint="eastAsia" w:ascii="黑体" w:hAnsi="黑体" w:eastAsia="黑体"/>
          <w:sz w:val="20"/>
          <w:szCs w:val="20"/>
        </w:rPr>
        <w:t>过渡季</w:t>
      </w:r>
      <w:bookmarkEnd w:id="99"/>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DT单体(博学楼初代5A _recover)</w:t>
            </w:r>
          </w:p>
        </w:tc>
        <w:tc>
          <w:tcPr>
            <w:tcW w:w="1134" w:type="dxa"/>
            <w:shd w:val="clear" w:color="auto" w:fill="auto"/>
            <w:vAlign w:val="center"/>
          </w:tcPr>
          <w:p>
            <w:pPr>
              <w:jc w:val="center"/>
              <w:rPr>
                <w:lang w:val="en-US"/>
              </w:rPr>
            </w:pPr>
            <w:r>
              <w:rPr>
                <w:lang w:val="en-US"/>
              </w:rPr>
              <w:t>6</w:t>
            </w:r>
          </w:p>
        </w:tc>
        <w:tc>
          <w:tcPr>
            <w:tcW w:w="1984" w:type="dxa"/>
            <w:shd w:val="clear" w:color="auto" w:fill="auto"/>
            <w:vAlign w:val="center"/>
          </w:tcPr>
          <w:p>
            <w:pPr>
              <w:jc w:val="center"/>
              <w:rPr>
                <w:lang w:val="en-US"/>
              </w:rPr>
            </w:pPr>
            <w:r>
              <w:rPr>
                <w:lang w:val="en-US"/>
              </w:rPr>
              <w:t>5</w:t>
            </w:r>
          </w:p>
        </w:tc>
        <w:tc>
          <w:tcPr>
            <w:tcW w:w="1116" w:type="dxa"/>
            <w:shd w:val="clear" w:color="auto" w:fill="auto"/>
            <w:vAlign w:val="center"/>
          </w:tcPr>
          <w:p>
            <w:pPr>
              <w:jc w:val="center"/>
              <w:rPr>
                <w:lang w:val="en-US"/>
              </w:rPr>
            </w:pPr>
            <w:r>
              <w:rPr>
                <w:lang w:val="en-US"/>
              </w:rPr>
              <w:t>83.33</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bookmarkStart w:id="100" w:name="建筑外窗室内外风压差达标判定"/>
      <w:bookmarkEnd w:id="100"/>
    </w:p>
    <w:p>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pPr>
        <w:pStyle w:val="13"/>
        <w:jc w:val="center"/>
      </w:pPr>
      <w:r>
        <w:rPr>
          <w:rFonts w:hint="eastAsia"/>
        </w:rPr>
        <w:t>表</w:t>
      </w:r>
      <w:r>
        <w:t xml:space="preserve"> </w:t>
      </w:r>
      <w:r>
        <w:fldChar w:fldCharType="begin"/>
      </w:r>
      <w:r>
        <w:instrText xml:space="preserve"> STYLEREF 2 \s </w:instrText>
      </w:r>
      <w:r>
        <w:fldChar w:fldCharType="separate"/>
      </w:r>
      <w:r>
        <w:t>5.2</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2"/>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pPr>
              <w:spacing w:line="360" w:lineRule="exact"/>
              <w:jc w:val="center"/>
              <w:rPr>
                <w:lang w:val="en-US"/>
              </w:rPr>
            </w:pPr>
            <w:r>
              <w:rPr>
                <w:rFonts w:hint="eastAsia"/>
                <w:lang w:val="en-US"/>
              </w:rPr>
              <w:t>建筑编号</w:t>
            </w:r>
          </w:p>
        </w:tc>
        <w:tc>
          <w:tcPr>
            <w:tcW w:w="1417" w:type="dxa"/>
            <w:shd w:val="clear" w:color="auto" w:fill="E6E6E6"/>
            <w:vAlign w:val="center"/>
          </w:tcPr>
          <w:p>
            <w:pPr>
              <w:spacing w:line="360" w:lineRule="exact"/>
              <w:jc w:val="center"/>
              <w:rPr>
                <w:lang w:val="en-US"/>
              </w:rPr>
            </w:pPr>
            <w:r>
              <w:rPr>
                <w:rFonts w:hint="eastAsia"/>
                <w:lang w:val="en-US"/>
              </w:rPr>
              <w:t>建筑表面积（㎡）</w:t>
            </w:r>
          </w:p>
        </w:tc>
        <w:tc>
          <w:tcPr>
            <w:tcW w:w="2552" w:type="dxa"/>
            <w:shd w:val="clear" w:color="auto" w:fill="E6E6E6"/>
            <w:vAlign w:val="center"/>
          </w:tcPr>
          <w:p>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pPr>
              <w:spacing w:line="360" w:lineRule="exact"/>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未命名(1B2E5)</w:t>
            </w:r>
          </w:p>
        </w:tc>
        <w:tc>
          <w:tcPr>
            <w:tcW w:w="1417" w:type="dxa"/>
            <w:vAlign w:val="center"/>
          </w:tcPr>
          <w:p>
            <w:pPr>
              <w:spacing w:line="360" w:lineRule="exact"/>
              <w:jc w:val="center"/>
              <w:rPr>
                <w:lang w:val="en-US"/>
              </w:rPr>
            </w:pPr>
            <w:r>
              <w:rPr>
                <w:lang w:val="en-US"/>
              </w:rPr>
              <w:t>300.00</w:t>
            </w:r>
          </w:p>
        </w:tc>
        <w:tc>
          <w:tcPr>
            <w:tcW w:w="2552" w:type="dxa"/>
            <w:vAlign w:val="center"/>
          </w:tcPr>
          <w:p>
            <w:pPr>
              <w:spacing w:line="360" w:lineRule="exact"/>
              <w:jc w:val="center"/>
              <w:rPr>
                <w:lang w:val="en-US"/>
              </w:rPr>
            </w:pPr>
            <w:r>
              <w:rPr>
                <w:lang w:val="en-US"/>
              </w:rPr>
              <w:t>289.39</w:t>
            </w:r>
          </w:p>
        </w:tc>
        <w:tc>
          <w:tcPr>
            <w:tcW w:w="1134" w:type="dxa"/>
            <w:vAlign w:val="center"/>
          </w:tcPr>
          <w:p>
            <w:pPr>
              <w:spacing w:line="360" w:lineRule="exact"/>
              <w:jc w:val="center"/>
              <w:rPr>
                <w:lang w:val="en-US"/>
              </w:rPr>
            </w:pPr>
            <w:r>
              <w:rPr>
                <w:lang w:val="en-US"/>
              </w:rPr>
              <w:t>96.46</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未命名(1B2E9)</w:t>
            </w:r>
          </w:p>
        </w:tc>
        <w:tc>
          <w:tcPr>
            <w:tcW w:w="1417" w:type="dxa"/>
            <w:vAlign w:val="center"/>
          </w:tcPr>
          <w:p>
            <w:pPr>
              <w:spacing w:line="360" w:lineRule="exact"/>
              <w:jc w:val="center"/>
              <w:rPr>
                <w:lang w:val="en-US"/>
              </w:rPr>
            </w:pPr>
            <w:r>
              <w:rPr>
                <w:lang w:val="en-US"/>
              </w:rPr>
              <w:t>763.01</w:t>
            </w:r>
          </w:p>
        </w:tc>
        <w:tc>
          <w:tcPr>
            <w:tcW w:w="2552" w:type="dxa"/>
            <w:vAlign w:val="center"/>
          </w:tcPr>
          <w:p>
            <w:pPr>
              <w:spacing w:line="360" w:lineRule="exact"/>
              <w:jc w:val="center"/>
              <w:rPr>
                <w:lang w:val="en-US"/>
              </w:rPr>
            </w:pPr>
            <w:r>
              <w:rPr>
                <w:lang w:val="en-US"/>
              </w:rPr>
              <w:t>763.01</w:t>
            </w:r>
          </w:p>
        </w:tc>
        <w:tc>
          <w:tcPr>
            <w:tcW w:w="1134" w:type="dxa"/>
            <w:vAlign w:val="center"/>
          </w:tcPr>
          <w:p>
            <w:pPr>
              <w:spacing w:line="360" w:lineRule="exact"/>
              <w:jc w:val="center"/>
              <w:rPr>
                <w:lang w:val="en-US"/>
              </w:rPr>
            </w:pPr>
            <w:r>
              <w:rPr>
                <w:lang w:val="en-US"/>
              </w:rPr>
              <w:t>100.00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未命名(1B2ED)</w:t>
            </w:r>
          </w:p>
        </w:tc>
        <w:tc>
          <w:tcPr>
            <w:tcW w:w="1417" w:type="dxa"/>
            <w:vAlign w:val="center"/>
          </w:tcPr>
          <w:p>
            <w:pPr>
              <w:spacing w:line="360" w:lineRule="exact"/>
              <w:jc w:val="center"/>
              <w:rPr>
                <w:lang w:val="en-US"/>
              </w:rPr>
            </w:pPr>
            <w:r>
              <w:rPr>
                <w:lang w:val="en-US"/>
              </w:rPr>
              <w:t>661.45</w:t>
            </w:r>
          </w:p>
        </w:tc>
        <w:tc>
          <w:tcPr>
            <w:tcW w:w="2552" w:type="dxa"/>
            <w:vAlign w:val="center"/>
          </w:tcPr>
          <w:p>
            <w:pPr>
              <w:spacing w:line="360" w:lineRule="exact"/>
              <w:jc w:val="center"/>
              <w:rPr>
                <w:lang w:val="en-US"/>
              </w:rPr>
            </w:pPr>
            <w:r>
              <w:rPr>
                <w:lang w:val="en-US"/>
              </w:rPr>
              <w:t>636.68</w:t>
            </w:r>
          </w:p>
        </w:tc>
        <w:tc>
          <w:tcPr>
            <w:tcW w:w="1134" w:type="dxa"/>
            <w:vAlign w:val="center"/>
          </w:tcPr>
          <w:p>
            <w:pPr>
              <w:spacing w:line="360" w:lineRule="exact"/>
              <w:jc w:val="center"/>
              <w:rPr>
                <w:lang w:val="en-US"/>
              </w:rPr>
            </w:pPr>
            <w:r>
              <w:rPr>
                <w:lang w:val="en-US"/>
              </w:rPr>
              <w:t>96.26</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未命名(1B2FF)</w:t>
            </w:r>
          </w:p>
        </w:tc>
        <w:tc>
          <w:tcPr>
            <w:tcW w:w="1417" w:type="dxa"/>
            <w:vAlign w:val="center"/>
          </w:tcPr>
          <w:p>
            <w:pPr>
              <w:spacing w:line="360" w:lineRule="exact"/>
              <w:jc w:val="center"/>
              <w:rPr>
                <w:lang w:val="en-US"/>
              </w:rPr>
            </w:pPr>
            <w:r>
              <w:rPr>
                <w:lang w:val="en-US"/>
              </w:rPr>
              <w:t>5384.23</w:t>
            </w:r>
          </w:p>
        </w:tc>
        <w:tc>
          <w:tcPr>
            <w:tcW w:w="2552" w:type="dxa"/>
            <w:vAlign w:val="center"/>
          </w:tcPr>
          <w:p>
            <w:pPr>
              <w:spacing w:line="360" w:lineRule="exact"/>
              <w:jc w:val="center"/>
              <w:rPr>
                <w:lang w:val="en-US"/>
              </w:rPr>
            </w:pPr>
            <w:r>
              <w:rPr>
                <w:lang w:val="en-US"/>
              </w:rPr>
              <w:t>5014.58</w:t>
            </w:r>
          </w:p>
        </w:tc>
        <w:tc>
          <w:tcPr>
            <w:tcW w:w="1134" w:type="dxa"/>
            <w:vAlign w:val="center"/>
          </w:tcPr>
          <w:p>
            <w:pPr>
              <w:spacing w:line="360" w:lineRule="exact"/>
              <w:jc w:val="center"/>
              <w:rPr>
                <w:lang w:val="en-US"/>
              </w:rPr>
            </w:pPr>
            <w:r>
              <w:rPr>
                <w:lang w:val="en-US"/>
              </w:rPr>
              <w:t>93.13</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未命名(1B302)</w:t>
            </w:r>
          </w:p>
        </w:tc>
        <w:tc>
          <w:tcPr>
            <w:tcW w:w="1417" w:type="dxa"/>
            <w:vAlign w:val="center"/>
          </w:tcPr>
          <w:p>
            <w:pPr>
              <w:spacing w:line="360" w:lineRule="exact"/>
              <w:jc w:val="center"/>
              <w:rPr>
                <w:lang w:val="en-US"/>
              </w:rPr>
            </w:pPr>
            <w:r>
              <w:rPr>
                <w:lang w:val="en-US"/>
              </w:rPr>
              <w:t>5026.16</w:t>
            </w:r>
          </w:p>
        </w:tc>
        <w:tc>
          <w:tcPr>
            <w:tcW w:w="2552" w:type="dxa"/>
            <w:vAlign w:val="center"/>
          </w:tcPr>
          <w:p>
            <w:pPr>
              <w:spacing w:line="360" w:lineRule="exact"/>
              <w:jc w:val="center"/>
              <w:rPr>
                <w:lang w:val="en-US"/>
              </w:rPr>
            </w:pPr>
            <w:r>
              <w:rPr>
                <w:lang w:val="en-US"/>
              </w:rPr>
              <w:t>4807.35</w:t>
            </w:r>
          </w:p>
        </w:tc>
        <w:tc>
          <w:tcPr>
            <w:tcW w:w="1134" w:type="dxa"/>
            <w:vAlign w:val="center"/>
          </w:tcPr>
          <w:p>
            <w:pPr>
              <w:spacing w:line="360" w:lineRule="exact"/>
              <w:jc w:val="center"/>
              <w:rPr>
                <w:lang w:val="en-US"/>
              </w:rPr>
            </w:pPr>
            <w:r>
              <w:rPr>
                <w:lang w:val="en-US"/>
              </w:rPr>
              <w:t>95.65</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未命名(1B308)</w:t>
            </w:r>
          </w:p>
        </w:tc>
        <w:tc>
          <w:tcPr>
            <w:tcW w:w="1417" w:type="dxa"/>
            <w:vAlign w:val="center"/>
          </w:tcPr>
          <w:p>
            <w:pPr>
              <w:spacing w:line="360" w:lineRule="exact"/>
              <w:jc w:val="center"/>
              <w:rPr>
                <w:lang w:val="en-US"/>
              </w:rPr>
            </w:pPr>
            <w:r>
              <w:rPr>
                <w:lang w:val="en-US"/>
              </w:rPr>
              <w:t>524.99</w:t>
            </w:r>
          </w:p>
        </w:tc>
        <w:tc>
          <w:tcPr>
            <w:tcW w:w="2552" w:type="dxa"/>
            <w:vAlign w:val="center"/>
          </w:tcPr>
          <w:p>
            <w:pPr>
              <w:spacing w:line="360" w:lineRule="exact"/>
              <w:jc w:val="center"/>
              <w:rPr>
                <w:lang w:val="en-US"/>
              </w:rPr>
            </w:pPr>
            <w:r>
              <w:rPr>
                <w:lang w:val="en-US"/>
              </w:rPr>
              <w:t>498.02</w:t>
            </w:r>
          </w:p>
        </w:tc>
        <w:tc>
          <w:tcPr>
            <w:tcW w:w="1134" w:type="dxa"/>
            <w:vAlign w:val="center"/>
          </w:tcPr>
          <w:p>
            <w:pPr>
              <w:spacing w:line="360" w:lineRule="exact"/>
              <w:jc w:val="center"/>
              <w:rPr>
                <w:lang w:val="en-US"/>
              </w:rPr>
            </w:pPr>
            <w:r>
              <w:rPr>
                <w:lang w:val="en-US"/>
              </w:rPr>
              <w:t>94.86</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未命名(1B30B)</w:t>
            </w:r>
          </w:p>
        </w:tc>
        <w:tc>
          <w:tcPr>
            <w:tcW w:w="1417" w:type="dxa"/>
            <w:vAlign w:val="center"/>
          </w:tcPr>
          <w:p>
            <w:pPr>
              <w:spacing w:line="360" w:lineRule="exact"/>
              <w:jc w:val="center"/>
              <w:rPr>
                <w:lang w:val="en-US"/>
              </w:rPr>
            </w:pPr>
            <w:r>
              <w:rPr>
                <w:lang w:val="en-US"/>
              </w:rPr>
              <w:t>689.96</w:t>
            </w:r>
          </w:p>
        </w:tc>
        <w:tc>
          <w:tcPr>
            <w:tcW w:w="2552" w:type="dxa"/>
            <w:vAlign w:val="center"/>
          </w:tcPr>
          <w:p>
            <w:pPr>
              <w:spacing w:line="360" w:lineRule="exact"/>
              <w:jc w:val="center"/>
              <w:rPr>
                <w:lang w:val="en-US"/>
              </w:rPr>
            </w:pPr>
            <w:r>
              <w:rPr>
                <w:lang w:val="en-US"/>
              </w:rPr>
              <w:t>630.01</w:t>
            </w:r>
          </w:p>
        </w:tc>
        <w:tc>
          <w:tcPr>
            <w:tcW w:w="1134" w:type="dxa"/>
            <w:vAlign w:val="center"/>
          </w:tcPr>
          <w:p>
            <w:pPr>
              <w:spacing w:line="360" w:lineRule="exact"/>
              <w:jc w:val="center"/>
              <w:rPr>
                <w:lang w:val="en-US"/>
              </w:rPr>
            </w:pPr>
            <w:r>
              <w:rPr>
                <w:lang w:val="en-US"/>
              </w:rPr>
              <w:t>91.31</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未命名(1B30E)</w:t>
            </w:r>
          </w:p>
        </w:tc>
        <w:tc>
          <w:tcPr>
            <w:tcW w:w="1417" w:type="dxa"/>
            <w:vAlign w:val="center"/>
          </w:tcPr>
          <w:p>
            <w:pPr>
              <w:spacing w:line="360" w:lineRule="exact"/>
              <w:jc w:val="center"/>
              <w:rPr>
                <w:lang w:val="en-US"/>
              </w:rPr>
            </w:pPr>
            <w:r>
              <w:rPr>
                <w:lang w:val="en-US"/>
              </w:rPr>
              <w:t>689.92</w:t>
            </w:r>
          </w:p>
        </w:tc>
        <w:tc>
          <w:tcPr>
            <w:tcW w:w="2552" w:type="dxa"/>
            <w:vAlign w:val="center"/>
          </w:tcPr>
          <w:p>
            <w:pPr>
              <w:spacing w:line="360" w:lineRule="exact"/>
              <w:jc w:val="center"/>
              <w:rPr>
                <w:lang w:val="en-US"/>
              </w:rPr>
            </w:pPr>
            <w:r>
              <w:rPr>
                <w:lang w:val="en-US"/>
              </w:rPr>
              <w:t>601.33</w:t>
            </w:r>
          </w:p>
        </w:tc>
        <w:tc>
          <w:tcPr>
            <w:tcW w:w="1134" w:type="dxa"/>
            <w:vAlign w:val="center"/>
          </w:tcPr>
          <w:p>
            <w:pPr>
              <w:spacing w:line="360" w:lineRule="exact"/>
              <w:jc w:val="center"/>
              <w:rPr>
                <w:lang w:val="en-US"/>
              </w:rPr>
            </w:pPr>
            <w:r>
              <w:rPr>
                <w:lang w:val="en-US"/>
              </w:rPr>
              <w:t>87.16</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未命名(1B311)</w:t>
            </w:r>
          </w:p>
        </w:tc>
        <w:tc>
          <w:tcPr>
            <w:tcW w:w="1417" w:type="dxa"/>
            <w:vAlign w:val="center"/>
          </w:tcPr>
          <w:p>
            <w:pPr>
              <w:spacing w:line="360" w:lineRule="exact"/>
              <w:jc w:val="center"/>
              <w:rPr>
                <w:lang w:val="en-US"/>
              </w:rPr>
            </w:pPr>
            <w:r>
              <w:rPr>
                <w:lang w:val="en-US"/>
              </w:rPr>
              <w:t>4374.23</w:t>
            </w:r>
          </w:p>
        </w:tc>
        <w:tc>
          <w:tcPr>
            <w:tcW w:w="2552" w:type="dxa"/>
            <w:vAlign w:val="center"/>
          </w:tcPr>
          <w:p>
            <w:pPr>
              <w:spacing w:line="360" w:lineRule="exact"/>
              <w:jc w:val="center"/>
              <w:rPr>
                <w:lang w:val="en-US"/>
              </w:rPr>
            </w:pPr>
            <w:r>
              <w:rPr>
                <w:lang w:val="en-US"/>
              </w:rPr>
              <w:t>4216.91</w:t>
            </w:r>
          </w:p>
        </w:tc>
        <w:tc>
          <w:tcPr>
            <w:tcW w:w="1134" w:type="dxa"/>
            <w:vAlign w:val="center"/>
          </w:tcPr>
          <w:p>
            <w:pPr>
              <w:spacing w:line="360" w:lineRule="exact"/>
              <w:jc w:val="center"/>
              <w:rPr>
                <w:lang w:val="en-US"/>
              </w:rPr>
            </w:pPr>
            <w:r>
              <w:rPr>
                <w:lang w:val="en-US"/>
              </w:rPr>
              <w:t>96.40</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未命名(1B314)</w:t>
            </w:r>
          </w:p>
        </w:tc>
        <w:tc>
          <w:tcPr>
            <w:tcW w:w="1417" w:type="dxa"/>
            <w:vAlign w:val="center"/>
          </w:tcPr>
          <w:p>
            <w:pPr>
              <w:spacing w:line="360" w:lineRule="exact"/>
              <w:jc w:val="center"/>
              <w:rPr>
                <w:lang w:val="en-US"/>
              </w:rPr>
            </w:pPr>
            <w:r>
              <w:rPr>
                <w:lang w:val="en-US"/>
              </w:rPr>
              <w:t>2617.77</w:t>
            </w:r>
          </w:p>
        </w:tc>
        <w:tc>
          <w:tcPr>
            <w:tcW w:w="2552" w:type="dxa"/>
            <w:vAlign w:val="center"/>
          </w:tcPr>
          <w:p>
            <w:pPr>
              <w:spacing w:line="360" w:lineRule="exact"/>
              <w:jc w:val="center"/>
              <w:rPr>
                <w:lang w:val="en-US"/>
              </w:rPr>
            </w:pPr>
            <w:r>
              <w:rPr>
                <w:lang w:val="en-US"/>
              </w:rPr>
              <w:t>2232.69</w:t>
            </w:r>
          </w:p>
        </w:tc>
        <w:tc>
          <w:tcPr>
            <w:tcW w:w="1134" w:type="dxa"/>
            <w:vAlign w:val="center"/>
          </w:tcPr>
          <w:p>
            <w:pPr>
              <w:spacing w:line="360" w:lineRule="exact"/>
              <w:jc w:val="center"/>
              <w:rPr>
                <w:lang w:val="en-US"/>
              </w:rPr>
            </w:pPr>
            <w:r>
              <w:rPr>
                <w:lang w:val="en-US"/>
              </w:rPr>
              <w:t>85.29</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未命名(1B317)</w:t>
            </w:r>
          </w:p>
        </w:tc>
        <w:tc>
          <w:tcPr>
            <w:tcW w:w="1417" w:type="dxa"/>
            <w:vAlign w:val="center"/>
          </w:tcPr>
          <w:p>
            <w:pPr>
              <w:spacing w:line="360" w:lineRule="exact"/>
              <w:jc w:val="center"/>
              <w:rPr>
                <w:lang w:val="en-US"/>
              </w:rPr>
            </w:pPr>
            <w:r>
              <w:rPr>
                <w:lang w:val="en-US"/>
              </w:rPr>
              <w:t>1536.40</w:t>
            </w:r>
          </w:p>
        </w:tc>
        <w:tc>
          <w:tcPr>
            <w:tcW w:w="2552" w:type="dxa"/>
            <w:vAlign w:val="center"/>
          </w:tcPr>
          <w:p>
            <w:pPr>
              <w:spacing w:line="360" w:lineRule="exact"/>
              <w:jc w:val="center"/>
              <w:rPr>
                <w:lang w:val="en-US"/>
              </w:rPr>
            </w:pPr>
            <w:r>
              <w:rPr>
                <w:lang w:val="en-US"/>
              </w:rPr>
              <w:t>999.00</w:t>
            </w:r>
          </w:p>
        </w:tc>
        <w:tc>
          <w:tcPr>
            <w:tcW w:w="1134" w:type="dxa"/>
            <w:vAlign w:val="center"/>
          </w:tcPr>
          <w:p>
            <w:pPr>
              <w:spacing w:line="360" w:lineRule="exact"/>
              <w:jc w:val="center"/>
              <w:rPr>
                <w:lang w:val="en-US"/>
              </w:rPr>
            </w:pPr>
            <w:r>
              <w:rPr>
                <w:lang w:val="en-US"/>
              </w:rPr>
              <w:t>65.02</w:t>
            </w:r>
          </w:p>
        </w:tc>
        <w:tc>
          <w:tcPr>
            <w:tcW w:w="835" w:type="dxa"/>
            <w:vAlign w:val="center"/>
          </w:tcPr>
          <w:p>
            <w:pPr>
              <w:spacing w:line="360" w:lineRule="exact"/>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pPr>
              <w:spacing w:line="360" w:lineRule="exact"/>
              <w:jc w:val="center"/>
              <w:rPr>
                <w:lang w:val="en-US"/>
              </w:rPr>
            </w:pPr>
            <w:r>
              <w:rPr>
                <w:lang w:val="en-US"/>
              </w:rPr>
              <w:t>未命名(1B31A)</w:t>
            </w:r>
          </w:p>
        </w:tc>
        <w:tc>
          <w:tcPr>
            <w:tcW w:w="1417" w:type="dxa"/>
            <w:vAlign w:val="center"/>
          </w:tcPr>
          <w:p>
            <w:pPr>
              <w:spacing w:line="360" w:lineRule="exact"/>
              <w:jc w:val="center"/>
              <w:rPr>
                <w:lang w:val="en-US"/>
              </w:rPr>
            </w:pPr>
            <w:r>
              <w:rPr>
                <w:lang w:val="en-US"/>
              </w:rPr>
              <w:t>2851.50</w:t>
            </w:r>
          </w:p>
        </w:tc>
        <w:tc>
          <w:tcPr>
            <w:tcW w:w="2552" w:type="dxa"/>
            <w:vAlign w:val="center"/>
          </w:tcPr>
          <w:p>
            <w:pPr>
              <w:spacing w:line="360" w:lineRule="exact"/>
              <w:jc w:val="center"/>
              <w:rPr>
                <w:lang w:val="en-US"/>
              </w:rPr>
            </w:pPr>
            <w:r>
              <w:rPr>
                <w:lang w:val="en-US"/>
              </w:rPr>
              <w:t>2213.26</w:t>
            </w:r>
          </w:p>
        </w:tc>
        <w:tc>
          <w:tcPr>
            <w:tcW w:w="1134" w:type="dxa"/>
            <w:vAlign w:val="center"/>
          </w:tcPr>
          <w:p>
            <w:pPr>
              <w:spacing w:line="360" w:lineRule="exact"/>
              <w:jc w:val="center"/>
              <w:rPr>
                <w:lang w:val="en-US"/>
              </w:rPr>
            </w:pPr>
            <w:r>
              <w:rPr>
                <w:lang w:val="en-US"/>
              </w:rPr>
              <w:t>77.62</w:t>
            </w:r>
          </w:p>
        </w:tc>
        <w:tc>
          <w:tcPr>
            <w:tcW w:w="835" w:type="dxa"/>
            <w:vAlign w:val="center"/>
          </w:tcPr>
          <w:p>
            <w:pPr>
              <w:spacing w:line="360" w:lineRule="exact"/>
              <w:jc w:val="center"/>
              <w:rPr>
                <w:lang w:val="en-US"/>
              </w:rPr>
            </w:pPr>
            <w:r>
              <w:rPr>
                <w:lang w:val="en-US"/>
              </w:rPr>
              <w:t>是</w:t>
            </w:r>
          </w:p>
        </w:tc>
      </w:tr>
    </w:tbl>
    <w:p>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bookmarkStart w:id="101" w:name="建筑室内外风压差达标判定"/>
      <w:r>
        <w:rPr>
          <w:rFonts w:hint="eastAsia"/>
        </w:rPr>
        <w:t xml:space="preserve"> </w:t>
      </w:r>
      <w:bookmarkEnd w:id="101"/>
    </w:p>
    <w:p>
      <w:pPr>
        <w:rPr>
          <w:lang w:val="en-US"/>
        </w:rPr>
      </w:pPr>
      <w:bookmarkStart w:id="102" w:name="建筑室内外风压差达标判定结论"/>
      <w:r>
        <w:rPr>
          <w:rFonts w:hint="eastAsia"/>
          <w:lang w:val="en-US"/>
        </w:rPr>
        <w:t>结论：本项目中所有建筑均满足“50%以上可开启外窗室内外表面的风压差大于0.5Pa”的要求。</w:t>
      </w:r>
      <w:bookmarkEnd w:id="102"/>
      <w:r>
        <w:rPr>
          <w:rFonts w:hint="eastAsia"/>
          <w:lang w:val="en-US"/>
        </w:rPr>
        <w:t xml:space="preserve"> </w:t>
      </w:r>
    </w:p>
    <w:p>
      <w:pPr>
        <w:rPr>
          <w:lang w:val="en-US"/>
        </w:rPr>
      </w:pPr>
      <w:bookmarkStart w:id="103" w:name="其他工况"/>
      <w:bookmarkEnd w:id="103"/>
      <w:r>
        <w:rPr>
          <w:rFonts w:hint="eastAsia"/>
          <w:lang w:val="en-US"/>
        </w:rPr>
        <w:t xml:space="preserve"> </w:t>
      </w:r>
    </w:p>
    <w:p>
      <w:pPr>
        <w:pStyle w:val="4"/>
      </w:pPr>
      <w:bookmarkStart w:id="104" w:name="_Toc509844764"/>
      <w:bookmarkStart w:id="105" w:name="_Toc60770644"/>
      <w:r>
        <w:rPr>
          <w:rFonts w:hint="eastAsia"/>
        </w:rPr>
        <w:t>结论</w:t>
      </w:r>
      <w:bookmarkEnd w:id="104"/>
      <w:bookmarkEnd w:id="105"/>
    </w:p>
    <w:p>
      <w:pPr>
        <w:pStyle w:val="5"/>
      </w:pPr>
      <w:bookmarkStart w:id="106" w:name="_Toc509844768"/>
      <w:bookmarkEnd w:id="106"/>
      <w:bookmarkStart w:id="107" w:name="_Toc509844767"/>
      <w:bookmarkEnd w:id="107"/>
      <w:bookmarkStart w:id="108" w:name="_Toc60770645"/>
      <w:bookmarkStart w:id="109" w:name="_Toc509844769"/>
      <w:r>
        <w:rPr>
          <w:rFonts w:hint="eastAsia"/>
        </w:rPr>
        <w:t>过渡季、夏季工况达标判断</w:t>
      </w:r>
      <w:bookmarkEnd w:id="108"/>
      <w:bookmarkEnd w:id="109"/>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，得2分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r>
              <w:rPr>
                <w:rFonts w:hint="eastAsia"/>
                <w:lang w:val="en-US" w:eastAsia="zh-CN"/>
              </w:rPr>
              <w:t>无</w:t>
            </w:r>
            <w:r>
              <w:rPr>
                <w:rFonts w:hint="eastAsia"/>
                <w:lang w:val="en-US"/>
              </w:rPr>
              <w:t>无风区</w:t>
            </w:r>
          </w:p>
        </w:tc>
        <w:tc>
          <w:tcPr>
            <w:tcW w:w="1985" w:type="dxa"/>
            <w:vMerge w:val="restart"/>
            <w:tcBorders>
              <w:top w:val="single" w:color="auto" w:sz="4" w:space="0"/>
            </w:tcBorders>
            <w:shd w:val="clear" w:color="auto" w:fill="auto"/>
            <w:vAlign w:val="center"/>
          </w:tcPr>
          <w:p>
            <w:pPr>
              <w:jc w:val="center"/>
              <w:rPr>
                <w:rFonts w:hint="eastAsia" w:eastAsia="宋体"/>
                <w:lang w:val="en-US" w:eastAsia="zh-CN"/>
              </w:rPr>
            </w:pPr>
            <w:r>
              <w:rPr>
                <w:rFonts w:hint="eastAsia"/>
                <w:b/>
                <w:color w:val="000000" w:themeColor="text1"/>
                <w:lang w:val="en-US" w:eastAsia="zh-CN"/>
                <w14:textFill>
                  <w14:solidFill>
                    <w14:schemeClr w14:val="tx1"/>
                  </w14:solidFill>
                </w14:textFill>
              </w:rPr>
              <w:t>达标</w:t>
            </w:r>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eastAsia="zh-CN"/>
              </w:rPr>
              <w:t>2</w:t>
            </w:r>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，得1分。</w:t>
            </w:r>
          </w:p>
        </w:tc>
        <w:tc>
          <w:tcPr>
            <w:tcW w:w="1985" w:type="dxa"/>
            <w:shd w:val="clear" w:color="auto" w:fill="auto"/>
            <w:vAlign w:val="center"/>
          </w:tcPr>
          <w:p>
            <w:pPr>
              <w:jc w:val="center"/>
              <w:rPr>
                <w:lang w:val="en-US"/>
              </w:rPr>
            </w:pPr>
            <w:r>
              <w:rPr>
                <w:rFonts w:hint="eastAsia"/>
                <w:b/>
                <w:lang w:val="en-US"/>
              </w:rPr>
              <w:t>可开启外窗室内外表面的风压差</w:t>
            </w:r>
            <w:bookmarkStart w:id="110" w:name="夏季窗内外风压差结果"/>
            <w:r>
              <w:rPr>
                <w:rFonts w:hint="eastAsia"/>
                <w:lang w:val="en-US"/>
              </w:rPr>
              <w:t>满足</w:t>
            </w:r>
            <w:bookmarkEnd w:id="110"/>
            <w:r>
              <w:rPr>
                <w:rFonts w:hint="eastAsia"/>
                <w:lang w:val="en-US"/>
              </w:rPr>
              <w:t>标准要求</w:t>
            </w:r>
          </w:p>
        </w:tc>
        <w:tc>
          <w:tcPr>
            <w:tcW w:w="1985" w:type="dxa"/>
            <w:shd w:val="clear" w:color="auto" w:fill="auto"/>
            <w:vAlign w:val="center"/>
          </w:tcPr>
          <w:p>
            <w:pPr>
              <w:jc w:val="center"/>
              <w:rPr>
                <w:b/>
                <w:lang w:val="en-US"/>
              </w:rPr>
            </w:pPr>
            <w:bookmarkStart w:id="111" w:name="夏季窗内外风压差达标判定"/>
            <w:r>
              <w:rPr>
                <w:rFonts w:hint="eastAsia"/>
                <w:b/>
                <w:lang w:val="en-US"/>
              </w:rPr>
              <w:t>达标</w:t>
            </w:r>
            <w:bookmarkEnd w:id="111"/>
          </w:p>
        </w:tc>
        <w:tc>
          <w:tcPr>
            <w:tcW w:w="1416" w:type="dxa"/>
            <w:shd w:val="clear" w:color="auto" w:fill="auto"/>
            <w:vAlign w:val="center"/>
          </w:tcPr>
          <w:p>
            <w:pPr>
              <w:jc w:val="center"/>
              <w:rPr>
                <w:lang w:val="en-US"/>
              </w:rPr>
            </w:pPr>
            <w:bookmarkStart w:id="112" w:name="夏季窗内外风压差得分"/>
            <w:r>
              <w:rPr>
                <w:rFonts w:hint="eastAsia"/>
                <w:lang w:val="en-US"/>
              </w:rPr>
              <w:t>1</w:t>
            </w:r>
            <w:bookmarkEnd w:id="112"/>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r>
        <w:rPr>
          <w:rFonts w:hint="eastAsia"/>
          <w:lang w:val="en-US" w:eastAsia="zh-CN"/>
        </w:rPr>
        <w:t>3</w:t>
      </w:r>
      <w:bookmarkStart w:id="113" w:name="_GoBack"/>
      <w:bookmarkEnd w:id="113"/>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ENT2018</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DB"/>
    <w:rsid w:val="00005045"/>
    <w:rsid w:val="0000578F"/>
    <w:rsid w:val="00015AD3"/>
    <w:rsid w:val="0002001E"/>
    <w:rsid w:val="000219DF"/>
    <w:rsid w:val="0003306A"/>
    <w:rsid w:val="00037A4C"/>
    <w:rsid w:val="000678A8"/>
    <w:rsid w:val="00067FD6"/>
    <w:rsid w:val="00070047"/>
    <w:rsid w:val="00073958"/>
    <w:rsid w:val="00081A16"/>
    <w:rsid w:val="000A23A8"/>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7C37"/>
    <w:rsid w:val="001B7C87"/>
    <w:rsid w:val="001C1C39"/>
    <w:rsid w:val="001D3014"/>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47B9"/>
    <w:rsid w:val="003857DF"/>
    <w:rsid w:val="003A50E3"/>
    <w:rsid w:val="003A6A7F"/>
    <w:rsid w:val="003B2E2C"/>
    <w:rsid w:val="003C51B9"/>
    <w:rsid w:val="003C5F3A"/>
    <w:rsid w:val="003D123E"/>
    <w:rsid w:val="003D3E8E"/>
    <w:rsid w:val="003E405A"/>
    <w:rsid w:val="00407998"/>
    <w:rsid w:val="00412598"/>
    <w:rsid w:val="00412ACB"/>
    <w:rsid w:val="00413DB8"/>
    <w:rsid w:val="004169B3"/>
    <w:rsid w:val="00437A5C"/>
    <w:rsid w:val="00453246"/>
    <w:rsid w:val="004556B5"/>
    <w:rsid w:val="0046589C"/>
    <w:rsid w:val="0047200C"/>
    <w:rsid w:val="004825F5"/>
    <w:rsid w:val="00483193"/>
    <w:rsid w:val="00492DDB"/>
    <w:rsid w:val="00494ADE"/>
    <w:rsid w:val="0049520E"/>
    <w:rsid w:val="004A0D3B"/>
    <w:rsid w:val="004C7D33"/>
    <w:rsid w:val="004D230F"/>
    <w:rsid w:val="004D449D"/>
    <w:rsid w:val="004E2AEB"/>
    <w:rsid w:val="004F0639"/>
    <w:rsid w:val="0050569B"/>
    <w:rsid w:val="00511D13"/>
    <w:rsid w:val="00512B1A"/>
    <w:rsid w:val="005215FB"/>
    <w:rsid w:val="00537E4B"/>
    <w:rsid w:val="00540765"/>
    <w:rsid w:val="00547D69"/>
    <w:rsid w:val="00562403"/>
    <w:rsid w:val="005725E0"/>
    <w:rsid w:val="005755BA"/>
    <w:rsid w:val="00577DEA"/>
    <w:rsid w:val="0058501E"/>
    <w:rsid w:val="005910E8"/>
    <w:rsid w:val="00594562"/>
    <w:rsid w:val="005A1031"/>
    <w:rsid w:val="005A1B63"/>
    <w:rsid w:val="005A21DB"/>
    <w:rsid w:val="005A317A"/>
    <w:rsid w:val="005A3A23"/>
    <w:rsid w:val="005A7F1B"/>
    <w:rsid w:val="005B7445"/>
    <w:rsid w:val="005C069E"/>
    <w:rsid w:val="005C6629"/>
    <w:rsid w:val="005E2482"/>
    <w:rsid w:val="005F4F73"/>
    <w:rsid w:val="006105F7"/>
    <w:rsid w:val="006156D5"/>
    <w:rsid w:val="0062338D"/>
    <w:rsid w:val="006254D5"/>
    <w:rsid w:val="00634E08"/>
    <w:rsid w:val="00642309"/>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72690"/>
    <w:rsid w:val="00782889"/>
    <w:rsid w:val="00790965"/>
    <w:rsid w:val="007A20AF"/>
    <w:rsid w:val="007A5318"/>
    <w:rsid w:val="007B2D7C"/>
    <w:rsid w:val="007B61C5"/>
    <w:rsid w:val="007C15B9"/>
    <w:rsid w:val="007C4F93"/>
    <w:rsid w:val="007D02FB"/>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B4ED4"/>
    <w:rsid w:val="008C231A"/>
    <w:rsid w:val="008C2A0D"/>
    <w:rsid w:val="008D41A0"/>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D0C1B"/>
    <w:rsid w:val="00BE0E75"/>
    <w:rsid w:val="00BE4681"/>
    <w:rsid w:val="00BE75B4"/>
    <w:rsid w:val="00BF173E"/>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3042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58.png"/><Relationship Id="rId7" Type="http://schemas.openxmlformats.org/officeDocument/2006/relationships/image" Target="media/image2.png"/><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174\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2A54F-B8BC-4FDB-9024-D88C7898E5D3}">
  <ds:schemaRefs/>
</ds:datastoreItem>
</file>

<file path=docProps/app.xml><?xml version="1.0" encoding="utf-8"?>
<Properties xmlns="http://schemas.openxmlformats.org/officeDocument/2006/extended-properties" xmlns:vt="http://schemas.openxmlformats.org/officeDocument/2006/docPropsVTypes">
  <Template>tmp9</Template>
  <Company>ths</Company>
  <Pages>16</Pages>
  <Words>1258</Words>
  <Characters>7174</Characters>
  <Lines>59</Lines>
  <Paragraphs>16</Paragraphs>
  <TotalTime>5</TotalTime>
  <ScaleCrop>false</ScaleCrop>
  <LinksUpToDate>false</LinksUpToDate>
  <CharactersWithSpaces>8416</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2021-01-05T12:23:00Z</dcterms:created>
  <dc:creator>DB</dc:creator>
  <cp:lastModifiedBy>某博</cp:lastModifiedBy>
  <cp:lastPrinted>1900-12-31T16:00:00Z</cp:lastPrinted>
  <dcterms:modified xsi:type="dcterms:W3CDTF">2021-01-06T07:29:38Z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