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90" w:name="_GoBack"/>
      <w:bookmarkEnd w:id="290"/>
    </w:p>
    <w:p>
      <w:pPr>
        <w:jc w:val="center"/>
      </w:pPr>
    </w:p>
    <w:p>
      <w:pPr>
        <w:jc w:val="center"/>
      </w:pPr>
    </w:p>
    <w:p>
      <w:pPr>
        <w:jc w:val="center"/>
      </w:pPr>
    </w:p>
    <w:p>
      <w:pPr>
        <w:jc w:val="center"/>
      </w:pPr>
      <w:r>
        <w:rPr>
          <w:rFonts w:hint="eastAsia" w:ascii="宋体" w:hAnsi="宋体"/>
          <w:b/>
          <w:bCs/>
          <w:color w:val="000000"/>
          <w:sz w:val="44"/>
          <w:szCs w:val="44"/>
        </w:rPr>
        <w:t>绿色建筑性能评价</w:t>
      </w:r>
    </w:p>
    <w:p>
      <w:pPr>
        <w:jc w:val="center"/>
      </w:pPr>
      <w:r>
        <w:rPr>
          <w:rFonts w:hint="eastAsia" w:ascii="宋体" w:hAnsi="宋体"/>
          <w:b/>
          <w:bCs/>
          <w:color w:val="000000"/>
          <w:sz w:val="44"/>
          <w:szCs w:val="44"/>
        </w:rPr>
        <w:t>自评估报告</w:t>
      </w:r>
    </w:p>
    <w:p>
      <w:pPr>
        <w:jc w:val="center"/>
      </w:pPr>
    </w:p>
    <w:p>
      <w:pPr>
        <w:jc w:val="center"/>
      </w:pPr>
    </w:p>
    <w:p>
      <w:pPr>
        <w:jc w:val="center"/>
      </w:pPr>
    </w:p>
    <w:p>
      <w:r>
        <w:rPr>
          <w:rFonts w:hint="eastAsia" w:ascii="宋体" w:hAnsi="宋体"/>
          <w:bCs/>
          <w:color w:val="000000"/>
          <w:sz w:val="30"/>
          <w:szCs w:val="30"/>
        </w:rPr>
        <w:t>申报项目名称： 某项目改造工程</w:t>
      </w:r>
    </w:p>
    <w:p>
      <w:r>
        <w:rPr>
          <w:rFonts w:hint="eastAsia" w:ascii="宋体" w:hAnsi="宋体"/>
          <w:bCs/>
          <w:color w:val="000000"/>
          <w:sz w:val="30"/>
          <w:szCs w:val="30"/>
        </w:rPr>
        <w:t>申报单位名称：</w:t>
      </w:r>
    </w:p>
    <w:p>
      <w:r>
        <w:rPr>
          <w:rFonts w:hint="eastAsia" w:ascii="宋体" w:hAnsi="宋体"/>
          <w:bCs/>
          <w:color w:val="000000"/>
          <w:sz w:val="30"/>
          <w:szCs w:val="30"/>
        </w:rPr>
        <w:t>参与单位名称：</w:t>
      </w:r>
    </w:p>
    <w:p>
      <w:r>
        <w:rPr>
          <w:rFonts w:hint="eastAsia" w:ascii="宋体" w:hAnsi="宋体"/>
          <w:bCs/>
          <w:color w:val="000000"/>
          <w:sz w:val="30"/>
          <w:szCs w:val="30"/>
        </w:rPr>
        <w:t>咨询单位名称：</w:t>
      </w:r>
    </w:p>
    <w:p>
      <w:pPr>
        <w:jc w:val="center"/>
      </w:pPr>
    </w:p>
    <w:p>
      <w:pPr>
        <w:jc w:val="center"/>
      </w:pPr>
    </w:p>
    <w:p>
      <w:pPr>
        <w:jc w:val="center"/>
      </w:pPr>
    </w:p>
    <w:p>
      <w:pPr>
        <w:jc w:val="center"/>
      </w:pPr>
    </w:p>
    <w:p>
      <w:r>
        <w:rPr>
          <w:rFonts w:hint="eastAsia" w:ascii="宋体" w:hAnsi="宋体"/>
          <w:bCs/>
          <w:color w:val="000000"/>
          <w:sz w:val="30"/>
          <w:szCs w:val="30"/>
        </w:rPr>
        <w:t>自评星级：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ascii="宋体" w:hAnsi="宋体"/>
          <w:b/>
          <w:bCs/>
          <w:color w:val="000000"/>
          <w:sz w:val="32"/>
          <w:szCs w:val="32"/>
        </w:rPr>
        <w:t>中国城市科学研究会绿色建筑研究中心   V2.0.1</w:t>
      </w:r>
    </w:p>
    <w:p>
      <w:pPr>
        <w:jc w:val="center"/>
      </w:pPr>
      <w:r>
        <w:rPr>
          <w:rFonts w:hint="eastAsia" w:ascii="宋体" w:hAnsi="宋体"/>
          <w:b/>
          <w:bCs/>
          <w:color w:val="000000"/>
          <w:sz w:val="32"/>
          <w:szCs w:val="32"/>
        </w:rPr>
        <w:t>2021年1月21日</w:t>
      </w:r>
    </w:p>
    <w:p>
      <w:r>
        <w:br w:type="page"/>
      </w:r>
    </w:p>
    <w:p>
      <w:pPr>
        <w:jc w:val="center"/>
      </w:pPr>
    </w:p>
    <w:p>
      <w:pPr>
        <w:jc w:val="center"/>
      </w:pPr>
    </w:p>
    <w:p>
      <w:pPr>
        <w:jc w:val="center"/>
      </w:pPr>
      <w:r>
        <w:rPr>
          <w:rFonts w:hint="eastAsia" w:ascii="宋体" w:hAnsi="宋体"/>
          <w:b/>
          <w:bCs/>
          <w:color w:val="000000"/>
          <w:sz w:val="36"/>
          <w:szCs w:val="36"/>
        </w:rPr>
        <w:t>填写说明</w:t>
      </w:r>
    </w:p>
    <w:p>
      <w:r>
        <w:rPr>
          <w:rFonts w:hint="eastAsia" w:ascii="宋体" w:hAnsi="宋体"/>
          <w:bCs/>
          <w:color w:val="000000"/>
          <w:sz w:val="30"/>
          <w:szCs w:val="30"/>
        </w:rPr>
        <w:t>1、本报告适用于申报绿色建筑的民用建筑，由申报单位填写；</w:t>
      </w:r>
    </w:p>
    <w:p>
      <w:r>
        <w:rPr>
          <w:rFonts w:hint="eastAsia" w:ascii="宋体" w:hAnsi="宋体"/>
          <w:bCs/>
          <w:color w:val="000000"/>
          <w:sz w:val="30"/>
          <w:szCs w:val="30"/>
        </w:rPr>
        <w:t>2、“达标判定”项的填写方式：满足要求的项在□中填写“√”；不满足要求的项在□中填写“×”。</w:t>
      </w:r>
    </w:p>
    <w:p>
      <w:r>
        <w:rPr>
          <w:rFonts w:hint="eastAsia" w:ascii="宋体" w:hAnsi="宋体"/>
          <w:bCs/>
          <w:color w:val="000000"/>
          <w:sz w:val="30"/>
          <w:szCs w:val="30"/>
        </w:rPr>
        <w:t>3.“实际提交材料”中列表填写对应条文实际提交的材料的全称。</w:t>
      </w:r>
    </w:p>
    <w:p>
      <w:r>
        <w:rPr>
          <w:rFonts w:hint="eastAsia" w:ascii="宋体" w:hAnsi="宋体"/>
          <w:bCs/>
          <w:color w:val="000000"/>
          <w:sz w:val="30"/>
          <w:szCs w:val="30"/>
        </w:rPr>
        <w:t>4. 本报告封面的“申报项目名称”、“申报单位名称”、“参与单位名称”请务必认真、仔细填写，并与申报书保持一致，如因笔误造成评审或证书制作问题，后果自负。</w:t>
      </w:r>
    </w:p>
    <w:p>
      <w:r>
        <w:rPr>
          <w:rFonts w:hint="eastAsia" w:ascii="宋体" w:hAnsi="宋体"/>
          <w:bCs/>
          <w:color w:val="000000"/>
          <w:sz w:val="30"/>
          <w:szCs w:val="30"/>
        </w:rPr>
        <w:t>5.若采用本报告参考样式，可进行编辑性修改，但不应自行删除技术内容和要求。</w:t>
      </w:r>
    </w:p>
    <w:p/>
    <w:p/>
    <w:p/>
    <w:p>
      <w:r>
        <w:br w:type="page"/>
      </w:r>
    </w:p>
    <w:p>
      <w:pPr>
        <w:jc w:val="center"/>
      </w:pPr>
    </w:p>
    <w:p/>
    <w:p>
      <w:pPr>
        <w:jc w:val="center"/>
      </w:pPr>
    </w:p>
    <w:p>
      <w:r>
        <w:rPr>
          <w:rFonts w:hint="eastAsia" w:ascii="宋体" w:hAnsi="宋体"/>
          <w:b/>
          <w:bCs/>
          <w:color w:val="000000"/>
          <w:sz w:val="28"/>
          <w:szCs w:val="28"/>
        </w:rPr>
        <w:t>一、自评总述</w:t>
      </w:r>
    </w:p>
    <w:p>
      <w:r>
        <w:rPr>
          <w:rFonts w:hint="eastAsia" w:ascii="宋体" w:hAnsi="宋体"/>
          <w:bCs/>
          <w:color w:val="000000"/>
          <w:sz w:val="30"/>
          <w:szCs w:val="30"/>
        </w:rPr>
        <w:t>1、各类指标的评分项得分均不小于该评分项满分值的30%。√</w:t>
      </w:r>
    </w:p>
    <w:p>
      <w:r>
        <w:rPr>
          <w:rFonts w:hint="eastAsia" w:ascii="宋体" w:hAnsi="宋体"/>
          <w:bCs/>
          <w:color w:val="000000"/>
          <w:sz w:val="30"/>
          <w:szCs w:val="30"/>
        </w:rPr>
        <w:t>2、全装修…………………………………………………………√</w:t>
      </w:r>
    </w:p>
    <w:p>
      <w:r>
        <w:rPr>
          <w:rFonts w:hint="eastAsia" w:ascii="宋体" w:hAnsi="宋体"/>
          <w:bCs/>
          <w:color w:val="000000"/>
          <w:sz w:val="30"/>
          <w:szCs w:val="30"/>
        </w:rPr>
        <w:t>3、技术要求：</w:t>
      </w:r>
    </w:p>
    <w:p>
      <w:pPr>
        <w:jc w:val="center"/>
      </w:pPr>
    </w:p>
    <w:p>
      <w:pPr>
        <w:jc w:val="center"/>
      </w:pP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00"/>
        <w:gridCol w:w="1900"/>
        <w:gridCol w:w="1900"/>
        <w:gridCol w:w="1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noWrap w:val="0"/>
            <w:vAlign w:val="center"/>
          </w:tcPr>
          <w:p>
            <w:pPr>
              <w:jc w:val="center"/>
            </w:pPr>
            <w:r>
              <w:rPr>
                <w:rFonts w:hint="eastAsia" w:ascii="宋体" w:hAnsi="宋体"/>
                <w:bCs/>
                <w:color w:val="000000"/>
                <w:sz w:val="24"/>
                <w:szCs w:val="24"/>
              </w:rPr>
              <w:t>技术指标内容</w:t>
            </w:r>
          </w:p>
        </w:tc>
        <w:tc>
          <w:tcPr>
            <w:tcW w:w="1900" w:type="dxa"/>
            <w:noWrap w:val="0"/>
            <w:vAlign w:val="center"/>
          </w:tcPr>
          <w:p>
            <w:pPr>
              <w:jc w:val="center"/>
            </w:pPr>
            <w:r>
              <w:rPr>
                <w:rFonts w:hint="eastAsia" w:ascii="宋体" w:hAnsi="宋体"/>
                <w:bCs/>
                <w:color w:val="000000"/>
                <w:sz w:val="24"/>
                <w:szCs w:val="24"/>
              </w:rPr>
              <w:t>自评情况</w:t>
            </w:r>
          </w:p>
        </w:tc>
        <w:tc>
          <w:tcPr>
            <w:tcW w:w="1900" w:type="dxa"/>
            <w:noWrap w:val="0"/>
            <w:vAlign w:val="center"/>
          </w:tcPr>
          <w:p>
            <w:pPr>
              <w:jc w:val="center"/>
            </w:pPr>
            <w:r>
              <w:rPr>
                <w:rFonts w:hint="eastAsia" w:ascii="宋体" w:hAnsi="宋体"/>
                <w:bCs/>
                <w:color w:val="000000"/>
                <w:sz w:val="24"/>
                <w:szCs w:val="24"/>
              </w:rPr>
              <w:t>申报星级要求</w:t>
            </w:r>
          </w:p>
        </w:tc>
        <w:tc>
          <w:tcPr>
            <w:tcW w:w="1900" w:type="dxa"/>
            <w:noWrap w:val="0"/>
            <w:vAlign w:val="center"/>
          </w:tcPr>
          <w:p>
            <w:pPr>
              <w:jc w:val="center"/>
            </w:pPr>
            <w:r>
              <w:rPr>
                <w:rFonts w:hint="eastAsia" w:ascii="宋体" w:hAnsi="宋体"/>
                <w:bCs/>
                <w:color w:val="000000"/>
                <w:sz w:val="24"/>
                <w:szCs w:val="24"/>
              </w:rPr>
              <w:t>是否达标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900" w:type="dxa"/>
            <w:noWrap w:val="0"/>
            <w:vAlign w:val="center"/>
          </w:tcPr>
          <w:p>
            <w:pPr>
              <w:jc w:val="center"/>
            </w:pPr>
            <w:r>
              <w:rPr>
                <w:rFonts w:hint="eastAsia" w:ascii="宋体" w:hAnsi="宋体"/>
                <w:bCs/>
                <w:color w:val="000000"/>
                <w:sz w:val="24"/>
                <w:szCs w:val="24"/>
              </w:rPr>
              <w:t>围护结构热工性能的提高比例，或建筑供暖空调负荷降低比例</w:t>
            </w:r>
          </w:p>
        </w:tc>
        <w:tc>
          <w:tcPr>
            <w:tcW w:w="1900" w:type="dxa"/>
            <w:noWrap w:val="0"/>
            <w:vAlign w:val="center"/>
          </w:tcPr>
          <w:p>
            <w:pPr>
              <w:jc w:val="center"/>
            </w:pPr>
            <w:r>
              <w:rPr>
                <w:rFonts w:hint="eastAsia" w:ascii="宋体" w:hAnsi="宋体"/>
                <w:bCs/>
                <w:color w:val="000000"/>
                <w:sz w:val="24"/>
                <w:szCs w:val="24"/>
              </w:rPr>
              <w:t>围护结构提高20%或负荷降低15%</w:t>
            </w:r>
          </w:p>
        </w:tc>
        <w:tc>
          <w:tcPr>
            <w:tcW w:w="1900" w:type="dxa"/>
            <w:noWrap w:val="0"/>
            <w:vAlign w:val="center"/>
          </w:tcPr>
          <w:p>
            <w:pPr>
              <w:jc w:val="center"/>
            </w:pPr>
            <w:r>
              <w:rPr>
                <w:rFonts w:hint="eastAsia" w:ascii="宋体" w:hAnsi="宋体"/>
                <w:bCs/>
                <w:color w:val="000000"/>
                <w:sz w:val="24"/>
                <w:szCs w:val="24"/>
              </w:rPr>
              <w:t>围护结构提高20%或负荷降低15%</w:t>
            </w:r>
          </w:p>
        </w:tc>
        <w:tc>
          <w:tcPr>
            <w:tcW w:w="1900" w:type="dxa"/>
            <w:noWrap w:val="0"/>
            <w:vAlign w:val="center"/>
          </w:tcPr>
          <w:p>
            <w:pPr>
              <w:jc w:val="center"/>
            </w:pPr>
            <w:r>
              <w:rPr>
                <w:rFonts w:hint="eastAsia" w:ascii="宋体" w:hAnsi="宋体"/>
                <w:bCs/>
                <w:color w:val="000000"/>
                <w:sz w:val="24"/>
                <w:szCs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900" w:type="dxa"/>
            <w:noWrap w:val="0"/>
            <w:vAlign w:val="center"/>
          </w:tcPr>
          <w:p>
            <w:pPr>
              <w:jc w:val="center"/>
            </w:pPr>
            <w:r>
              <w:rPr>
                <w:rFonts w:hint="eastAsia" w:ascii="宋体" w:hAnsi="宋体"/>
                <w:bCs/>
                <w:color w:val="000000"/>
                <w:sz w:val="24"/>
                <w:szCs w:val="24"/>
              </w:rPr>
              <w:t>节水器具用水效率等级</w:t>
            </w:r>
          </w:p>
        </w:tc>
        <w:tc>
          <w:tcPr>
            <w:tcW w:w="1900" w:type="dxa"/>
            <w:noWrap w:val="0"/>
            <w:vAlign w:val="center"/>
          </w:tcPr>
          <w:p>
            <w:pPr>
              <w:jc w:val="center"/>
            </w:pPr>
            <w:r>
              <w:rPr>
                <w:rFonts w:hint="eastAsia" w:ascii="宋体" w:hAnsi="宋体"/>
                <w:bCs/>
                <w:color w:val="000000"/>
                <w:sz w:val="24"/>
                <w:szCs w:val="24"/>
              </w:rPr>
              <w:t>2级</w:t>
            </w:r>
          </w:p>
        </w:tc>
        <w:tc>
          <w:tcPr>
            <w:tcW w:w="1900" w:type="dxa"/>
            <w:noWrap w:val="0"/>
            <w:vAlign w:val="center"/>
          </w:tcPr>
          <w:p>
            <w:pPr>
              <w:jc w:val="center"/>
            </w:pPr>
            <w:r>
              <w:rPr>
                <w:rFonts w:hint="eastAsia" w:ascii="宋体" w:hAnsi="宋体"/>
                <w:bCs/>
                <w:color w:val="000000"/>
                <w:sz w:val="24"/>
                <w:szCs w:val="24"/>
              </w:rPr>
              <w:t>2级</w:t>
            </w:r>
          </w:p>
        </w:tc>
        <w:tc>
          <w:tcPr>
            <w:tcW w:w="1900" w:type="dxa"/>
            <w:noWrap w:val="0"/>
            <w:vAlign w:val="center"/>
          </w:tcPr>
          <w:p>
            <w:pPr>
              <w:jc w:val="center"/>
            </w:pPr>
            <w:r>
              <w:rPr>
                <w:rFonts w:hint="eastAsia" w:ascii="宋体" w:hAnsi="宋体"/>
                <w:bCs/>
                <w:color w:val="000000"/>
                <w:sz w:val="24"/>
                <w:szCs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900" w:type="dxa"/>
            <w:noWrap w:val="0"/>
            <w:vAlign w:val="center"/>
          </w:tcPr>
          <w:p>
            <w:pPr>
              <w:jc w:val="center"/>
            </w:pPr>
            <w:r>
              <w:rPr>
                <w:rFonts w:hint="eastAsia" w:ascii="宋体" w:hAnsi="宋体"/>
                <w:bCs/>
                <w:color w:val="000000"/>
                <w:sz w:val="24"/>
                <w:szCs w:val="24"/>
              </w:rPr>
              <w:t>住宅建筑隔声性能</w:t>
            </w:r>
          </w:p>
        </w:tc>
        <w:tc>
          <w:tcPr>
            <w:tcW w:w="1900" w:type="dxa"/>
            <w:noWrap w:val="0"/>
            <w:vAlign w:val="center"/>
          </w:tcPr>
          <w:p>
            <w:pPr>
              <w:jc w:val="center"/>
            </w:pPr>
            <w:r>
              <w:rPr>
                <w:rFonts w:hint="eastAsia" w:ascii="宋体" w:hAnsi="宋体"/>
                <w:bCs/>
                <w:color w:val="000000"/>
                <w:sz w:val="24"/>
                <w:szCs w:val="24"/>
              </w:rPr>
              <w:t>满足高限值</w:t>
            </w:r>
          </w:p>
        </w:tc>
        <w:tc>
          <w:tcPr>
            <w:tcW w:w="1900" w:type="dxa"/>
            <w:noWrap w:val="0"/>
            <w:vAlign w:val="center"/>
          </w:tcPr>
          <w:p>
            <w:pPr>
              <w:jc w:val="center"/>
            </w:pPr>
            <w:r>
              <w:rPr>
                <w:rFonts w:hint="eastAsia" w:ascii="宋体" w:hAnsi="宋体"/>
                <w:bCs/>
                <w:color w:val="000000"/>
                <w:sz w:val="24"/>
                <w:szCs w:val="24"/>
              </w:rPr>
              <w:t>满足高限值</w:t>
            </w:r>
          </w:p>
        </w:tc>
        <w:tc>
          <w:tcPr>
            <w:tcW w:w="1900" w:type="dxa"/>
            <w:noWrap w:val="0"/>
            <w:vAlign w:val="center"/>
          </w:tcPr>
          <w:p>
            <w:pPr>
              <w:jc w:val="center"/>
            </w:pPr>
            <w:r>
              <w:rPr>
                <w:rFonts w:hint="eastAsia" w:ascii="宋体" w:hAnsi="宋体"/>
                <w:bCs/>
                <w:color w:val="000000"/>
                <w:sz w:val="24"/>
                <w:szCs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900" w:type="dxa"/>
            <w:noWrap w:val="0"/>
            <w:vAlign w:val="center"/>
          </w:tcPr>
          <w:p>
            <w:pPr>
              <w:jc w:val="center"/>
            </w:pPr>
            <w:r>
              <w:rPr>
                <w:rFonts w:hint="eastAsia" w:ascii="宋体" w:hAnsi="宋体"/>
                <w:bCs/>
                <w:color w:val="000000"/>
                <w:sz w:val="24"/>
                <w:szCs w:val="24"/>
              </w:rPr>
              <w:t>室内主要空气污染物浓度降低比例</w:t>
            </w:r>
          </w:p>
        </w:tc>
        <w:tc>
          <w:tcPr>
            <w:tcW w:w="1900" w:type="dxa"/>
            <w:noWrap w:val="0"/>
            <w:vAlign w:val="center"/>
          </w:tcPr>
          <w:p>
            <w:pPr>
              <w:jc w:val="center"/>
            </w:pPr>
            <w:r>
              <w:rPr>
                <w:rFonts w:hint="eastAsia" w:ascii="宋体" w:hAnsi="宋体"/>
                <w:bCs/>
                <w:color w:val="000000"/>
                <w:sz w:val="24"/>
                <w:szCs w:val="24"/>
              </w:rPr>
              <w:t>20%</w:t>
            </w:r>
          </w:p>
        </w:tc>
        <w:tc>
          <w:tcPr>
            <w:tcW w:w="1900" w:type="dxa"/>
            <w:noWrap w:val="0"/>
            <w:vAlign w:val="center"/>
          </w:tcPr>
          <w:p>
            <w:pPr>
              <w:jc w:val="center"/>
            </w:pPr>
            <w:r>
              <w:rPr>
                <w:rFonts w:hint="eastAsia" w:ascii="宋体" w:hAnsi="宋体"/>
                <w:bCs/>
                <w:color w:val="000000"/>
                <w:sz w:val="24"/>
                <w:szCs w:val="24"/>
              </w:rPr>
              <w:t>20%</w:t>
            </w:r>
          </w:p>
        </w:tc>
        <w:tc>
          <w:tcPr>
            <w:tcW w:w="1900" w:type="dxa"/>
            <w:noWrap w:val="0"/>
            <w:vAlign w:val="center"/>
          </w:tcPr>
          <w:p>
            <w:pPr>
              <w:jc w:val="center"/>
            </w:pPr>
            <w:r>
              <w:rPr>
                <w:rFonts w:hint="eastAsia" w:ascii="宋体" w:hAnsi="宋体"/>
                <w:bCs/>
                <w:color w:val="000000"/>
                <w:sz w:val="24"/>
                <w:szCs w:val="24"/>
              </w:rPr>
              <w:t>是</w:t>
            </w:r>
          </w:p>
        </w:tc>
      </w:tr>
    </w:tbl>
    <w:p/>
    <w:p>
      <w:r>
        <w:rPr>
          <w:rFonts w:hint="eastAsia" w:ascii="宋体" w:hAnsi="宋体"/>
          <w:bCs/>
          <w:color w:val="000000"/>
          <w:sz w:val="24"/>
          <w:szCs w:val="24"/>
        </w:rPr>
        <w:t>4、得分情况：</w:t>
      </w:r>
    </w:p>
    <w:p>
      <w:pPr>
        <w:jc w:val="center"/>
      </w:pPr>
      <w:r>
        <w:rPr>
          <w:rFonts w:hint="eastAsia" w:ascii="宋体" w:hAnsi="宋体"/>
          <w:bCs/>
          <w:color w:val="000000"/>
          <w:sz w:val="24"/>
          <w:szCs w:val="24"/>
        </w:rPr>
        <w:t>评价指标体系评分项</w:t>
      </w:r>
    </w:p>
    <w:p>
      <w:pPr>
        <w:jc w:val="center"/>
      </w:pP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0"/>
        <w:gridCol w:w="1087"/>
        <w:gridCol w:w="1160"/>
        <w:gridCol w:w="1160"/>
        <w:gridCol w:w="1160"/>
        <w:gridCol w:w="1234"/>
        <w:gridCol w:w="1160"/>
        <w:gridCol w:w="7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noWrap w:val="0"/>
            <w:vAlign w:val="center"/>
          </w:tcPr>
          <w:p>
            <w:pPr>
              <w:jc w:val="center"/>
            </w:pPr>
          </w:p>
        </w:tc>
        <w:tc>
          <w:tcPr>
            <w:tcW w:w="1900" w:type="dxa"/>
            <w:noWrap w:val="0"/>
            <w:vAlign w:val="center"/>
          </w:tcPr>
          <w:p>
            <w:pPr>
              <w:jc w:val="center"/>
            </w:pPr>
            <w:r>
              <w:rPr>
                <w:rFonts w:hint="eastAsia" w:ascii="宋体" w:hAnsi="宋体"/>
                <w:bCs/>
                <w:color w:val="000000"/>
                <w:sz w:val="24"/>
                <w:szCs w:val="24"/>
              </w:rPr>
              <w:t>控制项</w:t>
            </w:r>
          </w:p>
        </w:tc>
        <w:tc>
          <w:tcPr>
            <w:tcW w:w="1900" w:type="dxa"/>
            <w:noWrap w:val="0"/>
            <w:vAlign w:val="center"/>
          </w:tcPr>
          <w:p>
            <w:pPr>
              <w:jc w:val="center"/>
            </w:pPr>
            <w:r>
              <w:rPr>
                <w:rFonts w:hint="eastAsia" w:ascii="宋体" w:hAnsi="宋体"/>
                <w:bCs/>
                <w:color w:val="000000"/>
                <w:sz w:val="24"/>
                <w:szCs w:val="24"/>
              </w:rPr>
              <w:t>安全耐久</w:t>
            </w:r>
          </w:p>
        </w:tc>
        <w:tc>
          <w:tcPr>
            <w:tcW w:w="1900" w:type="dxa"/>
            <w:noWrap w:val="0"/>
            <w:vAlign w:val="center"/>
          </w:tcPr>
          <w:p>
            <w:pPr>
              <w:jc w:val="center"/>
            </w:pPr>
            <w:r>
              <w:rPr>
                <w:rFonts w:hint="eastAsia" w:ascii="宋体" w:hAnsi="宋体"/>
                <w:bCs/>
                <w:color w:val="000000"/>
                <w:sz w:val="24"/>
                <w:szCs w:val="24"/>
              </w:rPr>
              <w:t>健康舒适</w:t>
            </w:r>
          </w:p>
        </w:tc>
        <w:tc>
          <w:tcPr>
            <w:tcW w:w="1900" w:type="dxa"/>
            <w:noWrap w:val="0"/>
            <w:vAlign w:val="center"/>
          </w:tcPr>
          <w:p>
            <w:pPr>
              <w:jc w:val="center"/>
            </w:pPr>
            <w:r>
              <w:rPr>
                <w:rFonts w:hint="eastAsia" w:ascii="宋体" w:hAnsi="宋体"/>
                <w:bCs/>
                <w:color w:val="000000"/>
                <w:sz w:val="24"/>
                <w:szCs w:val="24"/>
              </w:rPr>
              <w:t>生活便利</w:t>
            </w:r>
          </w:p>
        </w:tc>
        <w:tc>
          <w:tcPr>
            <w:tcW w:w="1900" w:type="dxa"/>
            <w:noWrap w:val="0"/>
            <w:vAlign w:val="center"/>
          </w:tcPr>
          <w:p>
            <w:pPr>
              <w:jc w:val="center"/>
            </w:pPr>
            <w:r>
              <w:rPr>
                <w:rFonts w:hint="eastAsia" w:ascii="宋体" w:hAnsi="宋体"/>
                <w:bCs/>
                <w:color w:val="000000"/>
                <w:sz w:val="24"/>
                <w:szCs w:val="24"/>
              </w:rPr>
              <w:t>资源节约</w:t>
            </w:r>
          </w:p>
        </w:tc>
        <w:tc>
          <w:tcPr>
            <w:tcW w:w="1900" w:type="dxa"/>
            <w:noWrap w:val="0"/>
            <w:vAlign w:val="center"/>
          </w:tcPr>
          <w:p>
            <w:pPr>
              <w:jc w:val="center"/>
            </w:pPr>
            <w:r>
              <w:rPr>
                <w:rFonts w:hint="eastAsia" w:ascii="宋体" w:hAnsi="宋体"/>
                <w:bCs/>
                <w:color w:val="000000"/>
                <w:sz w:val="24"/>
                <w:szCs w:val="24"/>
              </w:rPr>
              <w:t>环境宜居</w:t>
            </w:r>
          </w:p>
        </w:tc>
        <w:tc>
          <w:tcPr>
            <w:tcW w:w="1000" w:type="dxa"/>
            <w:noWrap w:val="0"/>
            <w:vAlign w:val="center"/>
          </w:tcPr>
          <w:p>
            <w:pPr>
              <w:jc w:val="center"/>
            </w:pPr>
            <w:r>
              <w:rPr>
                <w:rFonts w:hint="eastAsia" w:ascii="宋体" w:hAnsi="宋体"/>
                <w:bCs/>
                <w:color w:val="000000"/>
                <w:sz w:val="24"/>
                <w:szCs w:val="24"/>
              </w:rPr>
              <w:t>提高与创新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 w:type="dxa"/>
            <w:noWrap w:val="0"/>
            <w:vAlign w:val="center"/>
          </w:tcPr>
          <w:p>
            <w:pPr>
              <w:jc w:val="center"/>
            </w:pPr>
            <w:r>
              <w:rPr>
                <w:rFonts w:hint="eastAsia" w:ascii="宋体" w:hAnsi="宋体"/>
                <w:bCs/>
                <w:color w:val="000000"/>
                <w:sz w:val="24"/>
                <w:szCs w:val="24"/>
              </w:rPr>
              <w:t>评价分值</w:t>
            </w:r>
          </w:p>
        </w:tc>
        <w:tc>
          <w:tcPr>
            <w:tcW w:w="1900" w:type="dxa"/>
            <w:noWrap w:val="0"/>
            <w:vAlign w:val="center"/>
          </w:tcPr>
          <w:p>
            <w:pPr>
              <w:jc w:val="center"/>
            </w:pPr>
            <w:r>
              <w:rPr>
                <w:rFonts w:hint="eastAsia" w:ascii="宋体" w:hAnsi="宋体"/>
                <w:bCs/>
                <w:color w:val="000000"/>
                <w:sz w:val="24"/>
                <w:szCs w:val="24"/>
              </w:rPr>
              <w:t>400</w:t>
            </w:r>
          </w:p>
        </w:tc>
        <w:tc>
          <w:tcPr>
            <w:tcW w:w="1900" w:type="dxa"/>
            <w:noWrap w:val="0"/>
            <w:vAlign w:val="center"/>
          </w:tcPr>
          <w:p>
            <w:pPr>
              <w:jc w:val="center"/>
            </w:pPr>
            <w:r>
              <w:rPr>
                <w:rFonts w:hint="eastAsia" w:ascii="宋体" w:hAnsi="宋体"/>
                <w:bCs/>
                <w:color w:val="000000"/>
                <w:sz w:val="24"/>
                <w:szCs w:val="24"/>
              </w:rPr>
              <w:t>100</w:t>
            </w:r>
          </w:p>
        </w:tc>
        <w:tc>
          <w:tcPr>
            <w:tcW w:w="1900" w:type="dxa"/>
            <w:noWrap w:val="0"/>
            <w:vAlign w:val="center"/>
          </w:tcPr>
          <w:p>
            <w:pPr>
              <w:jc w:val="center"/>
            </w:pPr>
            <w:r>
              <w:rPr>
                <w:rFonts w:hint="eastAsia" w:ascii="宋体" w:hAnsi="宋体"/>
                <w:bCs/>
                <w:color w:val="000000"/>
                <w:sz w:val="24"/>
                <w:szCs w:val="24"/>
              </w:rPr>
              <w:t>100</w:t>
            </w:r>
          </w:p>
        </w:tc>
        <w:tc>
          <w:tcPr>
            <w:tcW w:w="1900" w:type="dxa"/>
            <w:noWrap w:val="0"/>
            <w:vAlign w:val="center"/>
          </w:tcPr>
          <w:p>
            <w:pPr>
              <w:jc w:val="center"/>
            </w:pPr>
            <w:r>
              <w:rPr>
                <w:rFonts w:hint="eastAsia" w:ascii="宋体" w:hAnsi="宋体"/>
                <w:bCs/>
                <w:color w:val="000000"/>
                <w:sz w:val="24"/>
                <w:szCs w:val="24"/>
              </w:rPr>
              <w:t>100</w:t>
            </w:r>
          </w:p>
        </w:tc>
        <w:tc>
          <w:tcPr>
            <w:tcW w:w="1900" w:type="dxa"/>
            <w:noWrap w:val="0"/>
            <w:vAlign w:val="center"/>
          </w:tcPr>
          <w:p>
            <w:pPr>
              <w:jc w:val="center"/>
            </w:pPr>
            <w:r>
              <w:rPr>
                <w:rFonts w:hint="eastAsia" w:ascii="宋体" w:hAnsi="宋体"/>
                <w:bCs/>
                <w:color w:val="000000"/>
                <w:sz w:val="24"/>
                <w:szCs w:val="24"/>
              </w:rPr>
              <w:t>200</w:t>
            </w:r>
          </w:p>
        </w:tc>
        <w:tc>
          <w:tcPr>
            <w:tcW w:w="1900" w:type="dxa"/>
            <w:noWrap w:val="0"/>
            <w:vAlign w:val="center"/>
          </w:tcPr>
          <w:p>
            <w:pPr>
              <w:jc w:val="center"/>
            </w:pPr>
            <w:r>
              <w:rPr>
                <w:rFonts w:hint="eastAsia" w:ascii="宋体" w:hAnsi="宋体"/>
                <w:bCs/>
                <w:color w:val="000000"/>
                <w:sz w:val="24"/>
                <w:szCs w:val="24"/>
              </w:rPr>
              <w:t>100</w:t>
            </w:r>
          </w:p>
        </w:tc>
        <w:tc>
          <w:tcPr>
            <w:tcW w:w="1" w:type="dxa"/>
            <w:noWrap w:val="0"/>
            <w:vAlign w:val="center"/>
          </w:tcPr>
          <w:p>
            <w:pPr>
              <w:jc w:val="center"/>
            </w:pPr>
            <w:r>
              <w:rPr>
                <w:rFonts w:hint="eastAsia" w:ascii="宋体" w:hAnsi="宋体"/>
                <w:bCs/>
                <w:color w:val="000000"/>
                <w:sz w:val="24"/>
                <w:szCs w:val="24"/>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400" w:type="dxa"/>
            <w:noWrap w:val="0"/>
            <w:vAlign w:val="center"/>
          </w:tcPr>
          <w:p>
            <w:pPr>
              <w:jc w:val="center"/>
            </w:pPr>
            <w:r>
              <w:rPr>
                <w:rFonts w:hint="eastAsia" w:ascii="宋体" w:hAnsi="宋体"/>
                <w:bCs/>
                <w:color w:val="000000"/>
                <w:sz w:val="24"/>
                <w:szCs w:val="24"/>
              </w:rPr>
              <w:t>自评得分</w:t>
            </w:r>
          </w:p>
        </w:tc>
        <w:tc>
          <w:tcPr>
            <w:tcW w:w="1200" w:type="dxa"/>
            <w:noWrap w:val="0"/>
            <w:vAlign w:val="center"/>
          </w:tcPr>
          <w:p>
            <w:pPr>
              <w:jc w:val="center"/>
            </w:pPr>
            <w:r>
              <w:rPr>
                <w:rFonts w:hint="eastAsia" w:ascii="宋体" w:hAnsi="宋体"/>
                <w:bCs/>
                <w:color w:val="000000"/>
                <w:sz w:val="24"/>
                <w:szCs w:val="24"/>
              </w:rPr>
              <w:t>400</w:t>
            </w:r>
          </w:p>
        </w:tc>
        <w:tc>
          <w:tcPr>
            <w:tcW w:w="1200" w:type="dxa"/>
            <w:noWrap w:val="0"/>
            <w:vAlign w:val="center"/>
          </w:tcPr>
          <w:p>
            <w:pPr>
              <w:jc w:val="center"/>
            </w:pPr>
            <w:r>
              <w:rPr>
                <w:rFonts w:hint="eastAsia" w:ascii="宋体" w:hAnsi="宋体"/>
                <w:bCs/>
                <w:color w:val="000000"/>
                <w:sz w:val="24"/>
                <w:szCs w:val="24"/>
              </w:rPr>
              <w:t>84.0</w:t>
            </w:r>
          </w:p>
        </w:tc>
        <w:tc>
          <w:tcPr>
            <w:tcW w:w="1200" w:type="dxa"/>
            <w:noWrap w:val="0"/>
            <w:vAlign w:val="center"/>
          </w:tcPr>
          <w:p>
            <w:pPr>
              <w:jc w:val="center"/>
            </w:pPr>
            <w:r>
              <w:rPr>
                <w:rFonts w:hint="eastAsia" w:ascii="宋体" w:hAnsi="宋体"/>
                <w:bCs/>
                <w:color w:val="000000"/>
                <w:sz w:val="24"/>
                <w:szCs w:val="24"/>
              </w:rPr>
              <w:t>88.0</w:t>
            </w:r>
          </w:p>
        </w:tc>
        <w:tc>
          <w:tcPr>
            <w:tcW w:w="1200" w:type="dxa"/>
            <w:noWrap w:val="0"/>
            <w:vAlign w:val="center"/>
          </w:tcPr>
          <w:p>
            <w:pPr>
              <w:jc w:val="center"/>
            </w:pPr>
            <w:r>
              <w:rPr>
                <w:rFonts w:hint="eastAsia" w:ascii="宋体" w:hAnsi="宋体"/>
                <w:bCs/>
                <w:color w:val="000000"/>
                <w:sz w:val="24"/>
                <w:szCs w:val="24"/>
              </w:rPr>
              <w:t>82.0</w:t>
            </w:r>
          </w:p>
        </w:tc>
        <w:tc>
          <w:tcPr>
            <w:tcW w:w="1400" w:type="dxa"/>
            <w:noWrap w:val="0"/>
            <w:vAlign w:val="center"/>
          </w:tcPr>
          <w:p>
            <w:pPr>
              <w:jc w:val="center"/>
            </w:pPr>
            <w:r>
              <w:rPr>
                <w:rFonts w:hint="eastAsia" w:ascii="宋体" w:hAnsi="宋体"/>
                <w:bCs/>
                <w:color w:val="000000"/>
                <w:sz w:val="24"/>
                <w:szCs w:val="24"/>
              </w:rPr>
              <w:t>150.0</w:t>
            </w:r>
          </w:p>
        </w:tc>
        <w:tc>
          <w:tcPr>
            <w:tcW w:w="1200" w:type="dxa"/>
            <w:noWrap w:val="0"/>
            <w:vAlign w:val="center"/>
          </w:tcPr>
          <w:p>
            <w:pPr>
              <w:jc w:val="center"/>
            </w:pPr>
            <w:r>
              <w:rPr>
                <w:rFonts w:hint="eastAsia" w:ascii="宋体" w:hAnsi="宋体"/>
                <w:bCs/>
                <w:color w:val="000000"/>
                <w:sz w:val="24"/>
                <w:szCs w:val="24"/>
              </w:rPr>
              <w:t>66.0</w:t>
            </w:r>
          </w:p>
        </w:tc>
        <w:tc>
          <w:tcPr>
            <w:tcW w:w="1" w:type="dxa"/>
            <w:noWrap w:val="0"/>
            <w:vAlign w:val="center"/>
          </w:tcPr>
          <w:p>
            <w:pPr>
              <w:jc w:val="center"/>
            </w:pPr>
            <w:r>
              <w:rPr>
                <w:rFonts w:hint="eastAsia" w:ascii="宋体" w:hAnsi="宋体"/>
                <w:bCs/>
                <w:color w:val="000000"/>
                <w:sz w:val="24"/>
                <w:szCs w:val="24"/>
              </w:rPr>
              <w:t>0.0</w:t>
            </w:r>
          </w:p>
        </w:tc>
      </w:tr>
    </w:tbl>
    <w:p>
      <w:pPr>
        <w:jc w:val="center"/>
      </w:pPr>
      <w:r>
        <w:rPr>
          <w:rFonts w:hint="eastAsia" w:ascii="宋体" w:hAnsi="宋体"/>
          <w:bCs/>
          <w:color w:val="000000"/>
          <w:sz w:val="24"/>
          <w:szCs w:val="24"/>
        </w:rPr>
        <w:t>总得分：Q=（Q0+Q1+Q2+Q3+Q4+Q5+QA）/10=87</w:t>
      </w:r>
    </w:p>
    <w:p>
      <w:pPr>
        <w:jc w:val="center"/>
      </w:pPr>
    </w:p>
    <w:p>
      <w:r>
        <w:rPr>
          <w:rFonts w:hint="eastAsia" w:ascii="宋体" w:hAnsi="宋体"/>
          <w:b/>
          <w:bCs/>
          <w:color w:val="000000"/>
          <w:sz w:val="28"/>
          <w:szCs w:val="28"/>
        </w:rPr>
        <w:t>二、项目情况</w:t>
      </w:r>
    </w:p>
    <w:p>
      <w:r>
        <w:rPr>
          <w:rFonts w:hint="eastAsia" w:ascii="宋体" w:hAnsi="宋体"/>
          <w:bCs/>
          <w:color w:val="000000"/>
          <w:sz w:val="30"/>
          <w:szCs w:val="30"/>
        </w:rPr>
        <w:t>1、项目效果图（竣工，申报对象为部分时，应在整体中标示申报范围）</w:t>
      </w:r>
    </w:p>
    <w:p>
      <w:pPr>
        <w:jc w:val="center"/>
      </w:pPr>
      <w:r>
        <w:rPr>
          <w:lang/>
        </w:rPr>
        <w:drawing>
          <wp:inline distT="0" distB="0" distL="114300" distR="114300">
            <wp:extent cx="1905635" cy="2667635"/>
            <wp:effectExtent l="0" t="0" r="14605" b="14605"/>
            <wp:docPr id="1" name="Filename hint"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name hint" descr="说明: Alternative text"/>
                    <pic:cNvPicPr>
                      <a:picLocks noChangeAspect="1"/>
                    </pic:cNvPicPr>
                  </pic:nvPicPr>
                  <pic:blipFill>
                    <a:blip r:embed="rId4"/>
                    <a:stretch>
                      <a:fillRect/>
                    </a:stretch>
                  </pic:blipFill>
                  <pic:spPr>
                    <a:xfrm>
                      <a:off x="0" y="0"/>
                      <a:ext cx="1905635" cy="2667635"/>
                    </a:xfrm>
                    <a:prstGeom prst="rect">
                      <a:avLst/>
                    </a:prstGeom>
                    <a:noFill/>
                    <a:ln>
                      <a:noFill/>
                    </a:ln>
                  </pic:spPr>
                </pic:pic>
              </a:graphicData>
            </a:graphic>
          </wp:inline>
        </w:drawing>
      </w:r>
    </w:p>
    <w:p>
      <w:r>
        <w:rPr>
          <w:rFonts w:hint="eastAsia" w:ascii="宋体" w:hAnsi="宋体"/>
          <w:bCs/>
          <w:color w:val="000000"/>
          <w:sz w:val="30"/>
          <w:szCs w:val="30"/>
        </w:rPr>
        <w:t>2、项目总平面图（申报对象为部分时，应在整体中标示申报范围）</w:t>
      </w:r>
    </w:p>
    <w:p>
      <w:pPr>
        <w:jc w:val="center"/>
      </w:pPr>
      <w:r>
        <w:rPr>
          <w:lang/>
        </w:rPr>
        <w:drawing>
          <wp:inline distT="0" distB="0" distL="114300" distR="114300">
            <wp:extent cx="1905635" cy="2667635"/>
            <wp:effectExtent l="0" t="0" r="14605" b="14605"/>
            <wp:docPr id="2" name="Filename hint"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descr="说明: Alternative text"/>
                    <pic:cNvPicPr>
                      <a:picLocks noChangeAspect="1"/>
                    </pic:cNvPicPr>
                  </pic:nvPicPr>
                  <pic:blipFill>
                    <a:blip r:embed="rId4"/>
                    <a:stretch>
                      <a:fillRect/>
                    </a:stretch>
                  </pic:blipFill>
                  <pic:spPr>
                    <a:xfrm>
                      <a:off x="0" y="0"/>
                      <a:ext cx="1905635" cy="2667635"/>
                    </a:xfrm>
                    <a:prstGeom prst="rect">
                      <a:avLst/>
                    </a:prstGeom>
                    <a:noFill/>
                    <a:ln>
                      <a:noFill/>
                    </a:ln>
                  </pic:spPr>
                </pic:pic>
              </a:graphicData>
            </a:graphic>
          </wp:inline>
        </w:drawing>
      </w:r>
    </w:p>
    <w:p>
      <w:pPr>
        <w:jc w:val="center"/>
      </w:pPr>
    </w:p>
    <w:p/>
    <w:p>
      <w:r>
        <w:br w:type="page"/>
      </w:r>
    </w:p>
    <w:p>
      <w:pPr>
        <w:jc w:val="center"/>
      </w:pPr>
    </w:p>
    <w:p>
      <w:r>
        <w:rPr>
          <w:rFonts w:hint="eastAsia" w:ascii="宋体" w:hAnsi="宋体"/>
          <w:b/>
          <w:bCs/>
          <w:color w:val="000000"/>
          <w:sz w:val="28"/>
          <w:szCs w:val="28"/>
        </w:rPr>
        <w:t>三、自评内容</w:t>
      </w:r>
    </w:p>
    <w:p>
      <w:pPr>
        <w:jc w:val="center"/>
      </w:pPr>
      <w:r>
        <w:rPr>
          <w:rFonts w:hint="eastAsia" w:ascii="宋体" w:hAnsi="宋体"/>
          <w:b/>
          <w:bCs/>
          <w:color w:val="000000"/>
          <w:sz w:val="24"/>
          <w:szCs w:val="24"/>
        </w:rPr>
        <w:t>4 安全耐久</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0"/>
        <w:gridCol w:w="800"/>
        <w:gridCol w:w="5000"/>
        <w:gridCol w:w="80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shd w:val="clear" w:color="auto" w:fill="DCDCDC"/>
            <w:noWrap w:val="0"/>
            <w:vAlign w:val="center"/>
          </w:tcPr>
          <w:p>
            <w:pPr>
              <w:jc w:val="center"/>
            </w:pPr>
            <w:r>
              <w:rPr>
                <w:rFonts w:hint="eastAsia" w:ascii="宋体" w:hAnsi="宋体"/>
                <w:b/>
                <w:bCs/>
                <w:color w:val="000000"/>
                <w:sz w:val="20"/>
                <w:szCs w:val="20"/>
              </w:rPr>
              <w:t>子项</w:t>
            </w:r>
          </w:p>
        </w:tc>
        <w:tc>
          <w:tcPr>
            <w:tcW w:w="800" w:type="dxa"/>
            <w:shd w:val="clear" w:color="auto" w:fill="DCDCDC"/>
            <w:noWrap w:val="0"/>
            <w:vAlign w:val="center"/>
          </w:tcPr>
          <w:p>
            <w:pPr>
              <w:jc w:val="center"/>
            </w:pPr>
            <w:r>
              <w:rPr>
                <w:rFonts w:hint="eastAsia" w:ascii="宋体" w:hAnsi="宋体"/>
                <w:b/>
                <w:bCs/>
                <w:color w:val="000000"/>
                <w:sz w:val="22"/>
              </w:rPr>
              <w:t>条文编号</w:t>
            </w:r>
          </w:p>
        </w:tc>
        <w:tc>
          <w:tcPr>
            <w:tcW w:w="5000" w:type="dxa"/>
            <w:shd w:val="clear" w:color="auto" w:fill="DCDCDC"/>
            <w:noWrap w:val="0"/>
            <w:vAlign w:val="center"/>
          </w:tcPr>
          <w:p>
            <w:pPr>
              <w:jc w:val="center"/>
            </w:pPr>
            <w:r>
              <w:rPr>
                <w:rFonts w:hint="eastAsia" w:ascii="宋体" w:hAnsi="宋体"/>
                <w:b/>
                <w:bCs/>
                <w:color w:val="000000"/>
                <w:sz w:val="20"/>
                <w:szCs w:val="20"/>
              </w:rPr>
              <w:t>条文</w:t>
            </w:r>
          </w:p>
        </w:tc>
        <w:tc>
          <w:tcPr>
            <w:tcW w:w="800" w:type="dxa"/>
            <w:shd w:val="clear" w:color="auto" w:fill="DCDCDC"/>
            <w:noWrap w:val="0"/>
            <w:vAlign w:val="center"/>
          </w:tcPr>
          <w:p>
            <w:pPr>
              <w:jc w:val="center"/>
            </w:pPr>
            <w:r>
              <w:rPr>
                <w:rFonts w:hint="eastAsia" w:ascii="宋体" w:hAnsi="宋体"/>
                <w:b/>
                <w:bCs/>
                <w:color w:val="000000"/>
                <w:sz w:val="20"/>
                <w:szCs w:val="20"/>
              </w:rPr>
              <w:t>满分</w:t>
            </w:r>
          </w:p>
        </w:tc>
        <w:tc>
          <w:tcPr>
            <w:tcW w:w="800" w:type="dxa"/>
            <w:shd w:val="clear" w:color="auto" w:fill="DCDCDC"/>
            <w:noWrap w:val="0"/>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控制项</w:t>
            </w:r>
          </w:p>
        </w:tc>
        <w:tc>
          <w:tcPr>
            <w:tcW w:w="800" w:type="dxa"/>
            <w:noWrap w:val="0"/>
            <w:vAlign w:val="center"/>
          </w:tcPr>
          <w:p>
            <w:r>
              <w:rPr>
                <w:rFonts w:hint="eastAsia" w:ascii="宋体" w:hAnsi="宋体"/>
                <w:bCs/>
                <w:color w:val="000000"/>
                <w:sz w:val="22"/>
              </w:rPr>
              <w:t>4.1.1</w:t>
            </w:r>
          </w:p>
        </w:tc>
        <w:tc>
          <w:tcPr>
            <w:tcW w:w="5000" w:type="dxa"/>
            <w:noWrap w:val="0"/>
            <w:vAlign w:val="center"/>
          </w:tcPr>
          <w:p>
            <w:r>
              <w:rPr>
                <w:rFonts w:hint="eastAsia" w:ascii="宋体" w:hAnsi="宋体"/>
                <w:bCs/>
                <w:color w:val="000000"/>
                <w:sz w:val="22"/>
              </w:rPr>
              <w:t>场地安全</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4.1.2</w:t>
            </w:r>
          </w:p>
        </w:tc>
        <w:tc>
          <w:tcPr>
            <w:tcW w:w="5000" w:type="dxa"/>
            <w:noWrap w:val="0"/>
            <w:vAlign w:val="center"/>
          </w:tcPr>
          <w:p>
            <w:r>
              <w:rPr>
                <w:rFonts w:hint="eastAsia" w:ascii="宋体" w:hAnsi="宋体"/>
                <w:bCs/>
                <w:color w:val="000000"/>
                <w:sz w:val="22"/>
              </w:rPr>
              <w:t>建筑结构</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4.1.3</w:t>
            </w:r>
          </w:p>
        </w:tc>
        <w:tc>
          <w:tcPr>
            <w:tcW w:w="5000" w:type="dxa"/>
            <w:noWrap w:val="0"/>
            <w:vAlign w:val="center"/>
          </w:tcPr>
          <w:p>
            <w:r>
              <w:rPr>
                <w:rFonts w:hint="eastAsia" w:ascii="宋体" w:hAnsi="宋体"/>
                <w:bCs/>
                <w:color w:val="000000"/>
                <w:sz w:val="22"/>
              </w:rPr>
              <w:t>外部设施</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4.1.4</w:t>
            </w:r>
          </w:p>
        </w:tc>
        <w:tc>
          <w:tcPr>
            <w:tcW w:w="5000" w:type="dxa"/>
            <w:noWrap w:val="0"/>
            <w:vAlign w:val="center"/>
          </w:tcPr>
          <w:p>
            <w:r>
              <w:rPr>
                <w:rFonts w:hint="eastAsia" w:ascii="宋体" w:hAnsi="宋体"/>
                <w:bCs/>
                <w:color w:val="000000"/>
                <w:sz w:val="22"/>
              </w:rPr>
              <w:t>建筑内部非结构构件</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4.1.5</w:t>
            </w:r>
          </w:p>
        </w:tc>
        <w:tc>
          <w:tcPr>
            <w:tcW w:w="5000" w:type="dxa"/>
            <w:noWrap w:val="0"/>
            <w:vAlign w:val="center"/>
          </w:tcPr>
          <w:p>
            <w:r>
              <w:rPr>
                <w:rFonts w:hint="eastAsia" w:ascii="宋体" w:hAnsi="宋体"/>
                <w:bCs/>
                <w:color w:val="000000"/>
                <w:sz w:val="22"/>
              </w:rPr>
              <w:t>外门窗性能</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4.1.6</w:t>
            </w:r>
          </w:p>
        </w:tc>
        <w:tc>
          <w:tcPr>
            <w:tcW w:w="5000" w:type="dxa"/>
            <w:noWrap w:val="0"/>
            <w:vAlign w:val="center"/>
          </w:tcPr>
          <w:p>
            <w:r>
              <w:rPr>
                <w:rFonts w:hint="eastAsia" w:ascii="宋体" w:hAnsi="宋体"/>
                <w:bCs/>
                <w:color w:val="000000"/>
                <w:sz w:val="22"/>
              </w:rPr>
              <w:t>防水防潮</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4.1.7</w:t>
            </w:r>
          </w:p>
        </w:tc>
        <w:tc>
          <w:tcPr>
            <w:tcW w:w="5000" w:type="dxa"/>
            <w:noWrap w:val="0"/>
            <w:vAlign w:val="center"/>
          </w:tcPr>
          <w:p>
            <w:r>
              <w:rPr>
                <w:rFonts w:hint="eastAsia" w:ascii="宋体" w:hAnsi="宋体"/>
                <w:bCs/>
                <w:color w:val="000000"/>
                <w:sz w:val="22"/>
              </w:rPr>
              <w:t>满足紧急疏散要求</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4.1.8</w:t>
            </w:r>
          </w:p>
        </w:tc>
        <w:tc>
          <w:tcPr>
            <w:tcW w:w="5000" w:type="dxa"/>
            <w:noWrap w:val="0"/>
            <w:vAlign w:val="center"/>
          </w:tcPr>
          <w:p>
            <w:r>
              <w:rPr>
                <w:rFonts w:hint="eastAsia" w:ascii="宋体" w:hAnsi="宋体"/>
                <w:bCs/>
                <w:color w:val="000000"/>
                <w:sz w:val="22"/>
              </w:rPr>
              <w:t>安全防护标识系统</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评分项</w:t>
            </w:r>
          </w:p>
        </w:tc>
        <w:tc>
          <w:tcPr>
            <w:tcW w:w="800" w:type="dxa"/>
            <w:noWrap w:val="0"/>
            <w:vAlign w:val="center"/>
          </w:tcPr>
          <w:p>
            <w:r>
              <w:rPr>
                <w:rFonts w:hint="eastAsia" w:ascii="宋体" w:hAnsi="宋体"/>
                <w:bCs/>
                <w:color w:val="000000"/>
                <w:sz w:val="22"/>
              </w:rPr>
              <w:t>4.2.1</w:t>
            </w:r>
          </w:p>
        </w:tc>
        <w:tc>
          <w:tcPr>
            <w:tcW w:w="5000" w:type="dxa"/>
            <w:noWrap w:val="0"/>
            <w:vAlign w:val="center"/>
          </w:tcPr>
          <w:p>
            <w:r>
              <w:rPr>
                <w:rFonts w:hint="eastAsia" w:ascii="宋体" w:hAnsi="宋体"/>
                <w:bCs/>
                <w:color w:val="000000"/>
                <w:sz w:val="22"/>
              </w:rPr>
              <w:t>提高抗震性能</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4.2.2</w:t>
            </w:r>
          </w:p>
        </w:tc>
        <w:tc>
          <w:tcPr>
            <w:tcW w:w="5000" w:type="dxa"/>
            <w:noWrap w:val="0"/>
            <w:vAlign w:val="center"/>
          </w:tcPr>
          <w:p>
            <w:r>
              <w:rPr>
                <w:rFonts w:hint="eastAsia" w:ascii="宋体" w:hAnsi="宋体"/>
                <w:bCs/>
                <w:color w:val="000000"/>
                <w:sz w:val="22"/>
              </w:rPr>
              <w:t>防护措施</w:t>
            </w:r>
          </w:p>
        </w:tc>
        <w:tc>
          <w:tcPr>
            <w:tcW w:w="800" w:type="dxa"/>
            <w:noWrap w:val="0"/>
            <w:vAlign w:val="center"/>
          </w:tcPr>
          <w:p>
            <w:pPr>
              <w:jc w:val="center"/>
            </w:pPr>
            <w:r>
              <w:rPr>
                <w:rFonts w:hint="eastAsia" w:ascii="宋体" w:hAnsi="宋体"/>
                <w:bCs/>
                <w:color w:val="000000"/>
                <w:sz w:val="22"/>
              </w:rPr>
              <w:t>15</w:t>
            </w:r>
          </w:p>
        </w:tc>
        <w:tc>
          <w:tcPr>
            <w:tcW w:w="800" w:type="dxa"/>
            <w:noWrap w:val="0"/>
            <w:vAlign w:val="center"/>
          </w:tcPr>
          <w:p>
            <w:pPr>
              <w:jc w:val="center"/>
            </w:pPr>
            <w:r>
              <w:rPr>
                <w:rFonts w:hint="eastAsia" w:ascii="宋体" w:hAnsi="宋体"/>
                <w:bCs/>
                <w:color w:val="000000"/>
                <w:sz w:val="22"/>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4.2.3</w:t>
            </w:r>
          </w:p>
        </w:tc>
        <w:tc>
          <w:tcPr>
            <w:tcW w:w="5000" w:type="dxa"/>
            <w:noWrap w:val="0"/>
            <w:vAlign w:val="center"/>
          </w:tcPr>
          <w:p>
            <w:r>
              <w:rPr>
                <w:rFonts w:hint="eastAsia" w:ascii="宋体" w:hAnsi="宋体"/>
                <w:bCs/>
                <w:color w:val="000000"/>
                <w:sz w:val="22"/>
              </w:rPr>
              <w:t>配件安全性</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4.2.4</w:t>
            </w:r>
          </w:p>
        </w:tc>
        <w:tc>
          <w:tcPr>
            <w:tcW w:w="5000" w:type="dxa"/>
            <w:noWrap w:val="0"/>
            <w:vAlign w:val="center"/>
          </w:tcPr>
          <w:p>
            <w:r>
              <w:rPr>
                <w:rFonts w:hint="eastAsia" w:ascii="宋体" w:hAnsi="宋体"/>
                <w:bCs/>
                <w:color w:val="000000"/>
                <w:sz w:val="22"/>
              </w:rPr>
              <w:t>地面防滑设置</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4.2.5</w:t>
            </w:r>
          </w:p>
        </w:tc>
        <w:tc>
          <w:tcPr>
            <w:tcW w:w="5000" w:type="dxa"/>
            <w:noWrap w:val="0"/>
            <w:vAlign w:val="center"/>
          </w:tcPr>
          <w:p>
            <w:r>
              <w:rPr>
                <w:rFonts w:hint="eastAsia" w:ascii="宋体" w:hAnsi="宋体"/>
                <w:bCs/>
                <w:color w:val="000000"/>
                <w:sz w:val="22"/>
              </w:rPr>
              <w:t>人车分流及交通照明</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4.2.6</w:t>
            </w:r>
          </w:p>
        </w:tc>
        <w:tc>
          <w:tcPr>
            <w:tcW w:w="5000" w:type="dxa"/>
            <w:noWrap w:val="0"/>
            <w:vAlign w:val="center"/>
          </w:tcPr>
          <w:p>
            <w:r>
              <w:rPr>
                <w:rFonts w:hint="eastAsia" w:ascii="宋体" w:hAnsi="宋体"/>
                <w:bCs/>
                <w:color w:val="000000"/>
                <w:sz w:val="22"/>
              </w:rPr>
              <w:t>建筑适变性</w:t>
            </w:r>
          </w:p>
        </w:tc>
        <w:tc>
          <w:tcPr>
            <w:tcW w:w="800" w:type="dxa"/>
            <w:noWrap w:val="0"/>
            <w:vAlign w:val="center"/>
          </w:tcPr>
          <w:p>
            <w:pPr>
              <w:jc w:val="center"/>
            </w:pPr>
            <w:r>
              <w:rPr>
                <w:rFonts w:hint="eastAsia" w:ascii="宋体" w:hAnsi="宋体"/>
                <w:bCs/>
                <w:color w:val="000000"/>
                <w:sz w:val="22"/>
              </w:rPr>
              <w:t>18</w:t>
            </w:r>
          </w:p>
        </w:tc>
        <w:tc>
          <w:tcPr>
            <w:tcW w:w="800" w:type="dxa"/>
            <w:noWrap w:val="0"/>
            <w:vAlign w:val="center"/>
          </w:tcPr>
          <w:p>
            <w:pPr>
              <w:jc w:val="center"/>
            </w:pPr>
            <w:r>
              <w:rPr>
                <w:rFonts w:hint="eastAsia" w:ascii="宋体" w:hAnsi="宋体"/>
                <w:bCs/>
                <w:color w:val="000000"/>
                <w:sz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4.2.7</w:t>
            </w:r>
          </w:p>
        </w:tc>
        <w:tc>
          <w:tcPr>
            <w:tcW w:w="5000" w:type="dxa"/>
            <w:noWrap w:val="0"/>
            <w:vAlign w:val="center"/>
          </w:tcPr>
          <w:p>
            <w:r>
              <w:rPr>
                <w:rFonts w:hint="eastAsia" w:ascii="宋体" w:hAnsi="宋体"/>
                <w:bCs/>
                <w:color w:val="000000"/>
                <w:sz w:val="22"/>
              </w:rPr>
              <w:t>部品部件耐久性</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4.2.8</w:t>
            </w:r>
          </w:p>
        </w:tc>
        <w:tc>
          <w:tcPr>
            <w:tcW w:w="5000" w:type="dxa"/>
            <w:noWrap w:val="0"/>
            <w:vAlign w:val="center"/>
          </w:tcPr>
          <w:p>
            <w:r>
              <w:rPr>
                <w:rFonts w:hint="eastAsia" w:ascii="宋体" w:hAnsi="宋体"/>
                <w:bCs/>
                <w:color w:val="000000"/>
                <w:sz w:val="22"/>
              </w:rPr>
              <w:t>结构材料耐久性</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4.2.9</w:t>
            </w:r>
          </w:p>
        </w:tc>
        <w:tc>
          <w:tcPr>
            <w:tcW w:w="5000" w:type="dxa"/>
            <w:noWrap w:val="0"/>
            <w:vAlign w:val="center"/>
          </w:tcPr>
          <w:p>
            <w:r>
              <w:rPr>
                <w:rFonts w:hint="eastAsia" w:ascii="宋体" w:hAnsi="宋体"/>
                <w:bCs/>
                <w:color w:val="000000"/>
                <w:sz w:val="22"/>
              </w:rPr>
              <w:t>装饰装修材料耐久性</w:t>
            </w:r>
          </w:p>
        </w:tc>
        <w:tc>
          <w:tcPr>
            <w:tcW w:w="800" w:type="dxa"/>
            <w:noWrap w:val="0"/>
            <w:vAlign w:val="center"/>
          </w:tcPr>
          <w:p>
            <w:pPr>
              <w:jc w:val="center"/>
            </w:pPr>
            <w:r>
              <w:rPr>
                <w:rFonts w:hint="eastAsia" w:ascii="宋体" w:hAnsi="宋体"/>
                <w:bCs/>
                <w:color w:val="000000"/>
                <w:sz w:val="22"/>
              </w:rPr>
              <w:t>9</w:t>
            </w:r>
          </w:p>
        </w:tc>
        <w:tc>
          <w:tcPr>
            <w:tcW w:w="800" w:type="dxa"/>
            <w:noWrap w:val="0"/>
            <w:vAlign w:val="center"/>
          </w:tcPr>
          <w:p>
            <w:pPr>
              <w:jc w:val="center"/>
            </w:pPr>
            <w:r>
              <w:rPr>
                <w:rFonts w:hint="eastAsia" w:ascii="宋体" w:hAnsi="宋体"/>
                <w:bCs/>
                <w:color w:val="000000"/>
                <w:sz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gridSpan w:val="3"/>
            <w:shd w:val="clear" w:color="auto" w:fill="DCDCDC"/>
            <w:noWrap w:val="0"/>
            <w:vAlign w:val="center"/>
          </w:tcPr>
          <w:p>
            <w:pPr>
              <w:jc w:val="center"/>
            </w:pPr>
            <w:r>
              <w:rPr>
                <w:rFonts w:hint="eastAsia" w:ascii="宋体" w:hAnsi="宋体"/>
                <w:b/>
                <w:bCs/>
                <w:color w:val="000000"/>
                <w:sz w:val="20"/>
                <w:szCs w:val="20"/>
              </w:rPr>
              <w:t>合计</w:t>
            </w:r>
          </w:p>
        </w:tc>
        <w:tc>
          <w:tcPr>
            <w:tcW w:w="800" w:type="dxa"/>
            <w:noWrap w:val="0"/>
            <w:vAlign w:val="center"/>
          </w:tcPr>
          <w:p>
            <w:pPr>
              <w:jc w:val="center"/>
            </w:pPr>
            <w:r>
              <w:rPr>
                <w:rFonts w:hint="eastAsia" w:ascii="宋体" w:hAnsi="宋体"/>
                <w:bCs/>
                <w:color w:val="000000"/>
                <w:sz w:val="22"/>
              </w:rPr>
              <w:t>100.0</w:t>
            </w:r>
          </w:p>
        </w:tc>
        <w:tc>
          <w:tcPr>
            <w:tcW w:w="800" w:type="dxa"/>
            <w:noWrap w:val="0"/>
            <w:vAlign w:val="center"/>
          </w:tcPr>
          <w:p>
            <w:pPr>
              <w:jc w:val="center"/>
            </w:pPr>
            <w:r>
              <w:rPr>
                <w:rFonts w:hint="eastAsia" w:ascii="宋体" w:hAnsi="宋体"/>
                <w:bCs/>
                <w:color w:val="000000"/>
                <w:sz w:val="22"/>
              </w:rPr>
              <w:t>84.0</w:t>
            </w: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4.1.1 场地应避开滑坡、泥石流等地质危险地段，易发生洪涝区有可靠的防涝基础设施；场地应无危险化学品、易燃易爆源的威胁，无电磁辐射、含氡土壤的危害。</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请对场地作简要说明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建筑场地选址科学</w:t>
            </w:r>
            <w:r>
              <w:rPr>
                <w:rFonts w:ascii="Times New Roman" w:hAnsi="Times New Roman"/>
                <w:kern w:val="0"/>
                <w:sz w:val="20"/>
                <w:szCs w:val="21"/>
              </w:rPr>
              <w:t>，土地平整，无洪涝、滑坡、泥石流</w:t>
            </w:r>
            <w:r>
              <w:rPr>
                <w:rFonts w:hint="eastAsia" w:ascii="Times New Roman" w:hAnsi="Times New Roman"/>
                <w:kern w:val="0"/>
                <w:sz w:val="20"/>
                <w:szCs w:val="21"/>
              </w:rPr>
              <w:t>自然灾害，无危险化学品、易燃易爆危险源的威胁，无电磁辐射、含氡土壤等危害。</w:t>
            </w:r>
          </w:p>
          <w:p>
            <w:pPr>
              <w:ind w:firstLine="400" w:firstLineChars="200"/>
              <w:rPr>
                <w:rFonts w:ascii="Times New Roman" w:hAnsi="Times New Roman"/>
                <w:kern w:val="0"/>
                <w:sz w:val="20"/>
                <w:szCs w:val="21"/>
              </w:rPr>
            </w:pPr>
            <w:r>
              <w:rPr>
                <w:rFonts w:hint="eastAsia" w:ascii="Times New Roman" w:hAnsi="Times New Roman"/>
                <w:kern w:val="0"/>
                <w:sz w:val="20"/>
                <w:szCs w:val="21"/>
              </w:rPr>
              <w:t>本工程位所在地块区位优越、交通便利、基础设施完善，区域内无自然保护区、风景游览区等特殊环境敏感保护目标。</w:t>
            </w:r>
          </w:p>
          <w:p>
            <w:pPr>
              <w:ind w:firstLine="400" w:firstLineChars="200"/>
              <w:rPr>
                <w:rFonts w:ascii="Times New Roman" w:hAnsi="Times New Roman"/>
                <w:kern w:val="0"/>
                <w:sz w:val="20"/>
                <w:szCs w:val="21"/>
              </w:rPr>
            </w:pPr>
            <w:r>
              <w:rPr>
                <w:rFonts w:hint="eastAsia" w:ascii="Times New Roman" w:hAnsi="Times New Roman"/>
                <w:kern w:val="0"/>
                <w:sz w:val="20"/>
                <w:szCs w:val="21"/>
              </w:rPr>
              <w:t>土壤氡浓度平均值≤5000Bq/m³,含量为低等。《民用建筑工程室内环境污染控制规范》GB50325—2010规定氡浓度的上限值为20000 Bq/m³。因此本项目土壤氡含量满足建设要求。</w:t>
            </w:r>
          </w:p>
          <w:p>
            <w:pPr>
              <w:ind w:firstLine="400" w:firstLineChars="200"/>
              <w:rPr>
                <w:rFonts w:ascii="Times New Roman" w:hAnsi="Times New Roman"/>
                <w:kern w:val="0"/>
                <w:sz w:val="20"/>
                <w:szCs w:val="21"/>
              </w:rPr>
            </w:pPr>
            <w:r>
              <w:rPr>
                <w:rFonts w:hint="eastAsia" w:ascii="Times New Roman" w:hAnsi="Times New Roman"/>
                <w:kern w:val="0"/>
                <w:sz w:val="20"/>
                <w:szCs w:val="21"/>
              </w:rPr>
              <w:t>根据实地考察，本项目远离电磁辐射源（如电视广播发射塔、雷达站、通信发射台、变电站、高压电线等）。</w:t>
            </w:r>
          </w:p>
          <w:p>
            <w:pPr>
              <w:ind w:firstLine="400" w:firstLineChars="200"/>
              <w:rPr>
                <w:rFonts w:ascii="Times New Roman" w:hAnsi="Times New Roman"/>
                <w:kern w:val="0"/>
                <w:sz w:val="20"/>
                <w:szCs w:val="21"/>
              </w:rPr>
            </w:pPr>
            <w:r>
              <w:rPr>
                <w:rFonts w:hint="eastAsia" w:ascii="Times New Roman" w:hAnsi="Times New Roman"/>
                <w:kern w:val="0"/>
                <w:sz w:val="20"/>
                <w:szCs w:val="21"/>
              </w:rPr>
              <w:t>场地远离油库、有毒物质车间等可能发生火灾、爆炸和有毒物质泄漏等危险源。</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项目区位图、场地地形图、</w:t>
      </w:r>
      <w:r>
        <w:rPr>
          <w:rFonts w:hint="eastAsia" w:ascii="Times New Roman" w:hAnsi="Times New Roman"/>
          <w:szCs w:val="21"/>
        </w:rPr>
        <w:t>工程地质</w:t>
      </w:r>
      <w:r>
        <w:rPr>
          <w:rFonts w:ascii="Times New Roman" w:hAnsi="Times New Roman"/>
          <w:szCs w:val="21"/>
        </w:rPr>
        <w:t>勘察报告</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2）</w:t>
      </w:r>
      <w:r>
        <w:rPr>
          <w:rFonts w:ascii="Times New Roman" w:hAnsi="Times New Roman"/>
          <w:szCs w:val="21"/>
        </w:rPr>
        <w:t>环评报告</w:t>
      </w:r>
      <w:r>
        <w:rPr>
          <w:rFonts w:hint="eastAsia" w:ascii="Times New Roman" w:hAnsi="Times New Roman"/>
          <w:szCs w:val="21"/>
        </w:rPr>
        <w:t>；</w:t>
      </w:r>
    </w:p>
    <w:p>
      <w:pPr>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相关检测报告或论证报告</w:t>
      </w:r>
      <w:r>
        <w:rPr>
          <w:rFonts w:hint="eastAsia" w:ascii="Times New Roman" w:hAnsi="Times New Roman"/>
          <w:szCs w:val="21"/>
        </w:rPr>
        <w:t>。</w:t>
      </w:r>
    </w:p>
    <w:p>
      <w:pPr>
        <w:rPr>
          <w:rFonts w:ascii="Times New Roman" w:hAnsi="Times New Roman"/>
          <w:szCs w:val="21"/>
        </w:rPr>
      </w:pPr>
    </w:p>
    <w:p>
      <w:pPr>
        <w:rPr>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rPr>
          <w:rFonts w:ascii="Times New Roman" w:hAnsi="Times New Roman"/>
          <w:szCs w:val="21"/>
        </w:rPr>
      </w:pPr>
    </w:p>
    <w:p>
      <w:pPr>
        <w:rPr>
          <w:rFonts w:ascii="Times New Roman" w:hAnsi="Times New Roman"/>
          <w:szCs w:val="21"/>
        </w:rPr>
      </w:pPr>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4.1.2</w:t>
      </w:r>
      <w:r>
        <w:rPr>
          <w:rFonts w:hint="eastAsia"/>
          <w:sz w:val="24"/>
          <w:szCs w:val="40"/>
        </w:rPr>
        <w:t xml:space="preserve"> </w:t>
      </w:r>
      <w:r>
        <w:rPr>
          <w:sz w:val="24"/>
          <w:szCs w:val="40"/>
        </w:rPr>
        <w:t>建筑结构应满足承载力和建筑使用功能要求。建筑外墙、屋面门窗幕墙及外保温等围护结构应满足安全、耐久和防护的要求。</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ascii="Times New Roman" w:hAnsi="Times New Roman"/>
          <w:szCs w:val="21"/>
        </w:rPr>
        <w:t>请</w:t>
      </w:r>
      <w:r>
        <w:rPr>
          <w:rFonts w:ascii="Times New Roman" w:hAnsi="Times New Roman"/>
          <w:szCs w:val="21"/>
        </w:rPr>
        <w:t>对建筑结构和外</w:t>
      </w:r>
      <w:r>
        <w:rPr>
          <w:rFonts w:hint="eastAsia" w:ascii="Times New Roman" w:hAnsi="Times New Roman"/>
          <w:szCs w:val="21"/>
        </w:rPr>
        <w:t>墙</w:t>
      </w:r>
      <w:r>
        <w:rPr>
          <w:rFonts w:ascii="Times New Roman" w:hAnsi="Times New Roman"/>
          <w:szCs w:val="21"/>
        </w:rPr>
        <w:t>，门窗幕墙及</w:t>
      </w:r>
      <w:r>
        <w:rPr>
          <w:rFonts w:hint="eastAsia" w:ascii="Times New Roman" w:hAnsi="Times New Roman"/>
          <w:szCs w:val="21"/>
        </w:rPr>
        <w:t>外</w:t>
      </w:r>
      <w:r>
        <w:rPr>
          <w:rFonts w:ascii="Times New Roman" w:hAnsi="Times New Roman"/>
          <w:szCs w:val="21"/>
        </w:rPr>
        <w:t>保温等</w:t>
      </w:r>
      <w:r>
        <w:rPr>
          <w:rFonts w:hint="eastAsia" w:ascii="Times New Roman" w:hAnsi="Times New Roman"/>
          <w:szCs w:val="21"/>
        </w:rPr>
        <w:t>围</w:t>
      </w:r>
      <w:r>
        <w:rPr>
          <w:rFonts w:ascii="Times New Roman" w:hAnsi="Times New Roman"/>
          <w:szCs w:val="21"/>
        </w:rPr>
        <w:t>护结构的构</w:t>
      </w:r>
      <w:r>
        <w:rPr>
          <w:rFonts w:hint="eastAsia" w:ascii="Times New Roman" w:hAnsi="Times New Roman"/>
          <w:szCs w:val="21"/>
        </w:rPr>
        <w:t>造满足</w:t>
      </w:r>
      <w:r>
        <w:rPr>
          <w:rFonts w:ascii="Times New Roman" w:hAnsi="Times New Roman"/>
          <w:szCs w:val="21"/>
        </w:rPr>
        <w:t>安全性</w:t>
      </w:r>
      <w:r>
        <w:rPr>
          <w:rFonts w:hint="eastAsia" w:ascii="Times New Roman" w:hAnsi="Times New Roman"/>
          <w:szCs w:val="21"/>
        </w:rPr>
        <w:t>耐久</w:t>
      </w:r>
      <w:r>
        <w:rPr>
          <w:rFonts w:ascii="Times New Roman" w:hAnsi="Times New Roman"/>
          <w:szCs w:val="21"/>
        </w:rPr>
        <w:t>性的作法</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建筑</w:t>
      </w:r>
      <w:r>
        <w:rPr>
          <w:rFonts w:hint="eastAsia" w:ascii="Times New Roman" w:hAnsi="Times New Roman"/>
          <w:szCs w:val="21"/>
        </w:rPr>
        <w:t>竣工</w:t>
      </w:r>
      <w:r>
        <w:rPr>
          <w:rFonts w:ascii="Times New Roman" w:hAnsi="Times New Roman"/>
          <w:szCs w:val="21"/>
        </w:rPr>
        <w:t>图与</w:t>
      </w:r>
      <w:r>
        <w:rPr>
          <w:rFonts w:hint="eastAsia" w:ascii="Times New Roman" w:hAnsi="Times New Roman"/>
          <w:szCs w:val="21"/>
        </w:rPr>
        <w:t>设计</w:t>
      </w:r>
      <w:r>
        <w:rPr>
          <w:rFonts w:ascii="Times New Roman" w:hAnsi="Times New Roman"/>
          <w:szCs w:val="21"/>
        </w:rPr>
        <w:t>说明、结构</w:t>
      </w:r>
      <w:r>
        <w:rPr>
          <w:rFonts w:hint="eastAsia" w:ascii="Times New Roman" w:hAnsi="Times New Roman"/>
          <w:szCs w:val="21"/>
        </w:rPr>
        <w:t>竣工</w:t>
      </w:r>
      <w:r>
        <w:rPr>
          <w:rFonts w:ascii="Times New Roman" w:hAnsi="Times New Roman"/>
          <w:szCs w:val="21"/>
        </w:rPr>
        <w:t>图与</w:t>
      </w:r>
      <w:r>
        <w:rPr>
          <w:rFonts w:hint="eastAsia" w:ascii="Times New Roman" w:hAnsi="Times New Roman"/>
          <w:szCs w:val="21"/>
        </w:rPr>
        <w:t>设计</w:t>
      </w:r>
      <w:r>
        <w:rPr>
          <w:rFonts w:ascii="Times New Roman" w:hAnsi="Times New Roman"/>
          <w:szCs w:val="21"/>
        </w:rPr>
        <w:t>说明、</w:t>
      </w:r>
      <w:r>
        <w:rPr>
          <w:rFonts w:hint="eastAsia" w:ascii="Times New Roman" w:hAnsi="Times New Roman"/>
          <w:szCs w:val="21"/>
        </w:rPr>
        <w:t>主体与围护结构</w:t>
      </w:r>
      <w:r>
        <w:rPr>
          <w:rFonts w:ascii="Times New Roman" w:hAnsi="Times New Roman"/>
          <w:szCs w:val="21"/>
        </w:rPr>
        <w:t>计算书等</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2）竣工验收合格证明及相关主要结构用材料的检测报告；</w:t>
      </w:r>
    </w:p>
    <w:p>
      <w:pPr>
        <w:rPr>
          <w:rFonts w:ascii="Times New Roman" w:hAnsi="Times New Roman"/>
          <w:szCs w:val="21"/>
        </w:rPr>
      </w:pPr>
      <w:r>
        <w:rPr>
          <w:rFonts w:hint="eastAsia" w:ascii="Times New Roman" w:hAnsi="Times New Roman"/>
          <w:szCs w:val="21"/>
        </w:rPr>
        <w:t>3）运营管理记录，应包括定期查验记录与维修记录等。</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4.1.3</w:t>
      </w:r>
      <w:r>
        <w:rPr>
          <w:rFonts w:hint="eastAsia"/>
          <w:sz w:val="24"/>
          <w:szCs w:val="40"/>
        </w:rPr>
        <w:t xml:space="preserve"> </w:t>
      </w:r>
      <w:r>
        <w:rPr>
          <w:sz w:val="24"/>
          <w:szCs w:val="40"/>
        </w:rPr>
        <w:t>外遮阳、太阳能设施、空调室外机位、外墙花池等部外部设施应与建筑主体结构统一设计、施工，并应具备安装、检修与维护条件。</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请对外部设施与建筑主体结构的</w:t>
      </w:r>
      <w:r>
        <w:rPr>
          <w:rFonts w:hint="eastAsia" w:ascii="Times New Roman" w:hAnsi="Times New Roman"/>
          <w:szCs w:val="21"/>
        </w:rPr>
        <w:t>统一设计、</w:t>
      </w:r>
      <w:r>
        <w:rPr>
          <w:rFonts w:ascii="Times New Roman" w:hAnsi="Times New Roman"/>
          <w:szCs w:val="21"/>
        </w:rPr>
        <w:t>施工</w:t>
      </w:r>
      <w:r>
        <w:rPr>
          <w:rFonts w:hint="eastAsia" w:ascii="Times New Roman" w:hAnsi="Times New Roman"/>
          <w:szCs w:val="21"/>
        </w:rPr>
        <w:t>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本项目集中热水采用太阳能热水系统，集热器布置在屋面，系统为集中集热集中供热系统。</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建筑和结构竣工图</w:t>
      </w:r>
      <w:r>
        <w:rPr>
          <w:rFonts w:hint="eastAsia" w:ascii="Times New Roman" w:hAnsi="Times New Roman"/>
          <w:szCs w:val="21"/>
        </w:rPr>
        <w:t>和设计说明；</w:t>
      </w:r>
    </w:p>
    <w:p>
      <w:pPr>
        <w:rPr>
          <w:rFonts w:ascii="Times New Roman" w:hAnsi="Times New Roman"/>
          <w:szCs w:val="21"/>
        </w:rPr>
      </w:pPr>
      <w:r>
        <w:rPr>
          <w:rFonts w:ascii="Times New Roman" w:hAnsi="Times New Roman"/>
          <w:szCs w:val="21"/>
        </w:rPr>
        <w:t>2</w:t>
      </w:r>
      <w:r>
        <w:rPr>
          <w:rFonts w:hint="eastAsia" w:ascii="Times New Roman" w:hAnsi="Times New Roman"/>
          <w:szCs w:val="21"/>
        </w:rPr>
        <w:t>）外部设施</w:t>
      </w:r>
      <w:r>
        <w:rPr>
          <w:rFonts w:ascii="Times New Roman" w:hAnsi="Times New Roman"/>
          <w:szCs w:val="21"/>
        </w:rPr>
        <w:t>设计说明、计算书和结构大样</w:t>
      </w:r>
      <w:r>
        <w:rPr>
          <w:rFonts w:hint="eastAsia" w:ascii="Times New Roman" w:hAnsi="Times New Roman"/>
          <w:szCs w:val="21"/>
        </w:rPr>
        <w:t>竣工图；</w:t>
      </w:r>
    </w:p>
    <w:p>
      <w:pPr>
        <w:rPr>
          <w:rFonts w:ascii="Times New Roman" w:hAnsi="Times New Roman"/>
          <w:szCs w:val="21"/>
        </w:rPr>
      </w:pPr>
      <w:r>
        <w:rPr>
          <w:rFonts w:hint="eastAsia" w:ascii="Times New Roman" w:hAnsi="Times New Roman"/>
          <w:szCs w:val="21"/>
        </w:rPr>
        <w:t>3）相关检测报告；</w:t>
      </w:r>
    </w:p>
    <w:p>
      <w:pPr>
        <w:rPr>
          <w:rFonts w:ascii="Times New Roman" w:hAnsi="Times New Roman"/>
          <w:szCs w:val="21"/>
        </w:rPr>
      </w:pPr>
      <w:r>
        <w:rPr>
          <w:rFonts w:ascii="Times New Roman" w:hAnsi="Times New Roman"/>
          <w:szCs w:val="21"/>
        </w:rPr>
        <w:t>4</w:t>
      </w:r>
      <w:r>
        <w:rPr>
          <w:rFonts w:hint="eastAsia" w:ascii="Times New Roman" w:hAnsi="Times New Roman"/>
          <w:szCs w:val="21"/>
        </w:rPr>
        <w:t>）外部设施的维修与管理记录。</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4.1.4</w:t>
      </w:r>
      <w:r>
        <w:rPr>
          <w:rFonts w:hint="eastAsia"/>
          <w:sz w:val="24"/>
          <w:szCs w:val="40"/>
        </w:rPr>
        <w:t xml:space="preserve"> </w:t>
      </w:r>
      <w:r>
        <w:rPr>
          <w:sz w:val="24"/>
          <w:szCs w:val="40"/>
        </w:rPr>
        <w:t>建筑内部的非结构件、设备及附属设施等应连接牢固并能适应主体结构变形。</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请对建筑内部的非结构件、设备及附属设施等的连接</w:t>
      </w:r>
      <w:r>
        <w:rPr>
          <w:rFonts w:hint="eastAsia" w:ascii="Times New Roman" w:hAnsi="Times New Roman"/>
          <w:szCs w:val="21"/>
        </w:rPr>
        <w:t>情况进行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建筑、结构</w:t>
      </w:r>
      <w:r>
        <w:rPr>
          <w:rFonts w:hint="eastAsia" w:ascii="Times New Roman" w:hAnsi="Times New Roman"/>
          <w:szCs w:val="21"/>
        </w:rPr>
        <w:t>竣工</w:t>
      </w:r>
      <w:r>
        <w:rPr>
          <w:rFonts w:ascii="Times New Roman" w:hAnsi="Times New Roman"/>
          <w:szCs w:val="21"/>
        </w:rPr>
        <w:t>图</w:t>
      </w:r>
      <w:r>
        <w:rPr>
          <w:rFonts w:hint="eastAsia" w:ascii="Times New Roman" w:hAnsi="Times New Roman"/>
          <w:szCs w:val="21"/>
        </w:rPr>
        <w:t>和设计说明；</w:t>
      </w:r>
    </w:p>
    <w:p>
      <w:pPr>
        <w:rPr>
          <w:rFonts w:ascii="Times New Roman" w:hAnsi="Times New Roman"/>
          <w:szCs w:val="21"/>
        </w:rPr>
      </w:pPr>
      <w:r>
        <w:rPr>
          <w:rFonts w:hint="eastAsia" w:ascii="Times New Roman" w:hAnsi="Times New Roman"/>
          <w:szCs w:val="21"/>
        </w:rPr>
        <w:t>2）关键构件计算书；</w:t>
      </w:r>
    </w:p>
    <w:p>
      <w:pPr>
        <w:rPr>
          <w:rFonts w:ascii="Times New Roman" w:hAnsi="Times New Roman"/>
          <w:szCs w:val="21"/>
        </w:rPr>
      </w:pPr>
      <w:r>
        <w:rPr>
          <w:rFonts w:hint="eastAsia" w:ascii="Times New Roman" w:hAnsi="Times New Roman"/>
          <w:szCs w:val="21"/>
        </w:rPr>
        <w:t>3）相关检测报告；</w:t>
      </w:r>
    </w:p>
    <w:p>
      <w:pPr>
        <w:rPr>
          <w:rFonts w:ascii="Times New Roman" w:hAnsi="Times New Roman"/>
          <w:szCs w:val="21"/>
        </w:rPr>
      </w:pPr>
      <w:r>
        <w:rPr>
          <w:rFonts w:hint="eastAsia" w:ascii="Times New Roman" w:hAnsi="Times New Roman"/>
          <w:szCs w:val="21"/>
        </w:rPr>
        <w:t>4）建筑的维修与管理记录。</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4.1.5</w:t>
      </w:r>
      <w:r>
        <w:rPr>
          <w:rFonts w:hint="eastAsia"/>
          <w:sz w:val="24"/>
          <w:szCs w:val="40"/>
        </w:rPr>
        <w:t xml:space="preserve"> </w:t>
      </w:r>
      <w:r>
        <w:rPr>
          <w:sz w:val="24"/>
          <w:szCs w:val="40"/>
        </w:rPr>
        <w:t>建筑外门窗必须安装牢靠，其抗风压性能和水密性能应符合国家现行有关标准的规定</w:t>
      </w:r>
      <w:r>
        <w:rPr>
          <w:rFonts w:hint="eastAsia"/>
          <w:sz w:val="24"/>
          <w:szCs w:val="40"/>
        </w:rPr>
        <w:t>。</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rPr>
          <w:rFonts w:ascii="Times New Roman" w:hAnsi="Times New Roman"/>
          <w:szCs w:val="21"/>
        </w:rPr>
      </w:pP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请对外门窗牢靠性、抗风压性能和水密性能</w:t>
      </w:r>
      <w:r>
        <w:rPr>
          <w:rFonts w:hint="eastAsia" w:ascii="Times New Roman" w:hAnsi="Times New Roman"/>
          <w:szCs w:val="21"/>
        </w:rPr>
        <w:t>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建筑</w:t>
      </w:r>
      <w:r>
        <w:rPr>
          <w:rFonts w:hint="eastAsia" w:ascii="Times New Roman" w:hAnsi="Times New Roman"/>
          <w:szCs w:val="21"/>
        </w:rPr>
        <w:t>门窗（</w:t>
      </w:r>
      <w:r>
        <w:rPr>
          <w:rFonts w:ascii="Times New Roman" w:hAnsi="Times New Roman"/>
          <w:szCs w:val="21"/>
        </w:rPr>
        <w:t>幕墙</w:t>
      </w:r>
      <w:r>
        <w:rPr>
          <w:rFonts w:hint="eastAsia" w:ascii="Times New Roman" w:hAnsi="Times New Roman"/>
          <w:szCs w:val="21"/>
        </w:rPr>
        <w:t>）</w:t>
      </w:r>
      <w:r>
        <w:rPr>
          <w:rFonts w:ascii="Times New Roman" w:hAnsi="Times New Roman"/>
          <w:szCs w:val="21"/>
        </w:rPr>
        <w:t>竣工图纸、门窗</w:t>
      </w:r>
      <w:r>
        <w:rPr>
          <w:rFonts w:hint="eastAsia" w:ascii="Times New Roman" w:hAnsi="Times New Roman"/>
          <w:szCs w:val="21"/>
        </w:rPr>
        <w:t>抗风压</w:t>
      </w:r>
      <w:r>
        <w:rPr>
          <w:rFonts w:ascii="Times New Roman" w:hAnsi="Times New Roman"/>
          <w:szCs w:val="21"/>
        </w:rPr>
        <w:t>性能、水密性能设计文件</w:t>
      </w:r>
      <w:r>
        <w:rPr>
          <w:rFonts w:hint="eastAsia" w:ascii="Times New Roman" w:hAnsi="Times New Roman"/>
          <w:szCs w:val="21"/>
        </w:rPr>
        <w:t>；</w:t>
      </w:r>
    </w:p>
    <w:p>
      <w:pP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施工工法说明文件</w:t>
      </w:r>
      <w:r>
        <w:rPr>
          <w:rFonts w:hint="eastAsia" w:ascii="Times New Roman" w:hAnsi="Times New Roman"/>
          <w:szCs w:val="21"/>
        </w:rPr>
        <w:t>；</w:t>
      </w:r>
    </w:p>
    <w:p>
      <w:pPr>
        <w:rPr>
          <w:rFonts w:ascii="Times New Roman" w:hAnsi="Times New Roman"/>
          <w:szCs w:val="21"/>
        </w:rPr>
      </w:pPr>
      <w:r>
        <w:rPr>
          <w:rFonts w:ascii="Times New Roman" w:hAnsi="Times New Roman"/>
          <w:szCs w:val="21"/>
        </w:rPr>
        <w:t>3</w:t>
      </w:r>
      <w:r>
        <w:rPr>
          <w:rFonts w:hint="eastAsia" w:ascii="Times New Roman" w:hAnsi="Times New Roman"/>
          <w:szCs w:val="21"/>
        </w:rPr>
        <w:t>）门窗水密、抗风压性能检测报告；</w:t>
      </w:r>
    </w:p>
    <w:p>
      <w:pPr>
        <w:rPr>
          <w:rFonts w:ascii="Times New Roman" w:hAnsi="Times New Roman"/>
          <w:szCs w:val="21"/>
        </w:rPr>
      </w:pPr>
      <w:r>
        <w:rPr>
          <w:rFonts w:hint="eastAsia" w:ascii="Times New Roman" w:hAnsi="Times New Roman"/>
          <w:szCs w:val="21"/>
        </w:rPr>
        <w:t>4）门窗维修与管理记录。</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4.1.6</w:t>
      </w:r>
      <w:r>
        <w:rPr>
          <w:rFonts w:hint="eastAsia"/>
          <w:sz w:val="24"/>
          <w:szCs w:val="40"/>
        </w:rPr>
        <w:t xml:space="preserve"> </w:t>
      </w:r>
      <w:r>
        <w:rPr>
          <w:sz w:val="24"/>
          <w:szCs w:val="40"/>
        </w:rPr>
        <w:t>卫生间、浴室的地面应设置防水层，墙面、顶棚应设置防潮层。</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请对卫生间、浴室的地面和墙面、顶棚</w:t>
      </w:r>
      <w:r>
        <w:rPr>
          <w:rFonts w:hint="eastAsia" w:ascii="Times New Roman" w:hAnsi="Times New Roman"/>
          <w:szCs w:val="21"/>
        </w:rPr>
        <w:t>构造进行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相关竣工图</w:t>
      </w:r>
      <w:r>
        <w:rPr>
          <w:rFonts w:hint="eastAsia" w:ascii="Times New Roman" w:hAnsi="Times New Roman"/>
          <w:szCs w:val="21"/>
        </w:rPr>
        <w:t>和防水、防潮措施说明；</w:t>
      </w:r>
    </w:p>
    <w:p>
      <w:pPr>
        <w:rPr>
          <w:rFonts w:ascii="Times New Roman" w:hAnsi="Times New Roman"/>
          <w:szCs w:val="21"/>
        </w:rPr>
      </w:pPr>
      <w:r>
        <w:rPr>
          <w:rFonts w:ascii="Times New Roman" w:hAnsi="Times New Roman"/>
          <w:szCs w:val="21"/>
        </w:rPr>
        <w:t>2</w:t>
      </w:r>
      <w:r>
        <w:rPr>
          <w:rFonts w:hint="eastAsia" w:ascii="Times New Roman" w:hAnsi="Times New Roman"/>
          <w:szCs w:val="21"/>
        </w:rPr>
        <w:t>）防水、防潮相关材料的决算清单</w:t>
      </w:r>
      <w:r>
        <w:rPr>
          <w:rFonts w:ascii="Times New Roman" w:hAnsi="Times New Roman"/>
          <w:szCs w:val="21"/>
        </w:rPr>
        <w:t>、产品说明书、</w:t>
      </w:r>
      <w:r>
        <w:rPr>
          <w:rFonts w:hint="eastAsia" w:ascii="Times New Roman" w:hAnsi="Times New Roman"/>
          <w:szCs w:val="21"/>
        </w:rPr>
        <w:t>检测报告。</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4.1.7</w:t>
      </w:r>
      <w:r>
        <w:rPr>
          <w:rFonts w:hint="eastAsia"/>
          <w:sz w:val="24"/>
          <w:szCs w:val="40"/>
        </w:rPr>
        <w:t xml:space="preserve"> </w:t>
      </w:r>
      <w:r>
        <w:rPr>
          <w:sz w:val="24"/>
          <w:szCs w:val="40"/>
        </w:rPr>
        <w:t>走廊、疏散通道等通行空间应满足紧急疏散、应急救护等要求，且应保持畅通。</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请对走廊、疏散通道等通行空间的畅通性</w:t>
      </w:r>
      <w:r>
        <w:rPr>
          <w:rFonts w:hint="eastAsia" w:ascii="Times New Roman" w:hAnsi="Times New Roman"/>
          <w:szCs w:val="21"/>
        </w:rPr>
        <w:t>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建筑</w:t>
      </w:r>
      <w:r>
        <w:rPr>
          <w:rFonts w:hint="eastAsia" w:ascii="Times New Roman" w:hAnsi="Times New Roman"/>
          <w:szCs w:val="21"/>
        </w:rPr>
        <w:t>、弱电专业相关</w:t>
      </w:r>
      <w:r>
        <w:rPr>
          <w:rFonts w:ascii="Times New Roman" w:hAnsi="Times New Roman"/>
          <w:szCs w:val="21"/>
        </w:rPr>
        <w:t>竣工图纸</w:t>
      </w:r>
      <w:r>
        <w:rPr>
          <w:rFonts w:hint="eastAsia" w:ascii="Times New Roman" w:hAnsi="Times New Roman"/>
          <w:szCs w:val="21"/>
        </w:rPr>
        <w:t>；</w:t>
      </w:r>
    </w:p>
    <w:p>
      <w:pP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紧急疏散</w:t>
      </w:r>
      <w:r>
        <w:rPr>
          <w:rFonts w:hint="eastAsia" w:ascii="Times New Roman" w:hAnsi="Times New Roman"/>
          <w:szCs w:val="21"/>
        </w:rPr>
        <w:t>、应急救护的</w:t>
      </w:r>
      <w:r>
        <w:rPr>
          <w:rFonts w:ascii="Times New Roman" w:hAnsi="Times New Roman"/>
          <w:szCs w:val="21"/>
        </w:rPr>
        <w:t>相关管理</w:t>
      </w:r>
      <w:r>
        <w:rPr>
          <w:rFonts w:hint="eastAsia" w:ascii="Times New Roman" w:hAnsi="Times New Roman"/>
          <w:szCs w:val="21"/>
        </w:rPr>
        <w:t>制度；</w:t>
      </w:r>
    </w:p>
    <w:p>
      <w:pPr>
        <w:rPr>
          <w:rFonts w:ascii="Times New Roman" w:hAnsi="Times New Roman"/>
          <w:szCs w:val="21"/>
        </w:rPr>
      </w:pPr>
      <w:r>
        <w:rPr>
          <w:rFonts w:hint="eastAsia" w:ascii="Times New Roman" w:hAnsi="Times New Roman"/>
          <w:szCs w:val="21"/>
        </w:rPr>
        <w:t>3）紧急疏散、应急救护的相关教育宣传记录，应提供影像资料。</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4.1.8</w:t>
      </w:r>
      <w:r>
        <w:rPr>
          <w:rFonts w:hint="eastAsia"/>
          <w:sz w:val="24"/>
          <w:szCs w:val="40"/>
        </w:rPr>
        <w:t xml:space="preserve"> </w:t>
      </w:r>
      <w:r>
        <w:rPr>
          <w:sz w:val="24"/>
          <w:szCs w:val="40"/>
        </w:rPr>
        <w:t>应具有安全防护的警示和引导标识系统。</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请对安全防护的警示和引导</w:t>
      </w:r>
      <w:r>
        <w:rPr>
          <w:rFonts w:hint="eastAsia" w:ascii="Times New Roman" w:hAnsi="Times New Roman"/>
          <w:szCs w:val="21"/>
        </w:rPr>
        <w:t>标识</w:t>
      </w:r>
      <w:r>
        <w:rPr>
          <w:rFonts w:ascii="Times New Roman" w:hAnsi="Times New Roman"/>
          <w:szCs w:val="21"/>
        </w:rPr>
        <w:t>系统</w:t>
      </w:r>
      <w:r>
        <w:rPr>
          <w:rFonts w:hint="eastAsia" w:ascii="Times New Roman" w:hAnsi="Times New Roman"/>
          <w:szCs w:val="21"/>
        </w:rPr>
        <w:t>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标识系统</w:t>
      </w:r>
      <w:r>
        <w:rPr>
          <w:rFonts w:hint="eastAsia" w:ascii="Times New Roman" w:hAnsi="Times New Roman"/>
          <w:szCs w:val="21"/>
        </w:rPr>
        <w:t>的</w:t>
      </w:r>
      <w:r>
        <w:rPr>
          <w:rFonts w:ascii="Times New Roman" w:hAnsi="Times New Roman"/>
          <w:szCs w:val="21"/>
        </w:rPr>
        <w:t>设计与设置说明文件</w:t>
      </w:r>
      <w:r>
        <w:rPr>
          <w:rFonts w:hint="eastAsia" w:ascii="Times New Roman" w:hAnsi="Times New Roman"/>
          <w:szCs w:val="21"/>
        </w:rPr>
        <w:t>；</w:t>
      </w:r>
    </w:p>
    <w:p>
      <w:pP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现场照片</w:t>
      </w:r>
      <w:r>
        <w:rPr>
          <w:rFonts w:hint="eastAsia" w:ascii="Times New Roman" w:hAnsi="Times New Roman"/>
          <w:szCs w:val="21"/>
        </w:rPr>
        <w:t>。</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4.2.1</w:t>
      </w:r>
      <w:r>
        <w:rPr>
          <w:rFonts w:hint="eastAsia"/>
          <w:sz w:val="24"/>
          <w:szCs w:val="40"/>
        </w:rPr>
        <w:t xml:space="preserve"> </w:t>
      </w:r>
      <w:r>
        <w:rPr>
          <w:sz w:val="24"/>
          <w:szCs w:val="40"/>
        </w:rPr>
        <w:t>采用基于性能的抗震设计并合理提高建筑的抗震性能。（10分）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center"/>
              <w:rPr>
                <w:rFonts w:ascii="Times New Roman" w:hAnsi="Times New Roman"/>
                <w:szCs w:val="21"/>
              </w:rPr>
            </w:pPr>
            <w:r>
              <w:rPr>
                <w:rFonts w:ascii="Times New Roman" w:hAnsi="Times New Roman"/>
                <w:szCs w:val="21"/>
              </w:rPr>
              <w:t>基于性能的抗震设计</w:t>
            </w:r>
          </w:p>
        </w:tc>
        <w:tc>
          <w:tcPr>
            <w:tcW w:w="984" w:type="pct"/>
            <w:noWrap w:val="0"/>
            <w:vAlign w:val="center"/>
          </w:tcPr>
          <w:p>
            <w:pPr>
              <w:jc w:val="center"/>
              <w:rPr>
                <w:rFonts w:ascii="Times New Roman" w:hAnsi="Times New Roman"/>
                <w:szCs w:val="21"/>
              </w:rPr>
            </w:pPr>
            <w:r>
              <w:rPr>
                <w:rFonts w:ascii="Times New Roman" w:hAnsi="Times New Roman"/>
                <w:szCs w:val="21"/>
              </w:rPr>
              <w:t>10</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ascii="Times New Roman" w:hAnsi="Times New Roman"/>
          <w:szCs w:val="21"/>
        </w:rPr>
        <w:t>如何基于性能</w:t>
      </w:r>
      <w:r>
        <w:rPr>
          <w:rFonts w:ascii="Times New Roman" w:hAnsi="Times New Roman"/>
          <w:szCs w:val="21"/>
        </w:rPr>
        <w:t>进行抗震设计并</w:t>
      </w:r>
      <w:r>
        <w:rPr>
          <w:rFonts w:hint="eastAsia" w:ascii="Times New Roman" w:hAnsi="Times New Roman"/>
          <w:szCs w:val="21"/>
        </w:rPr>
        <w:t>提供</w:t>
      </w:r>
      <w:r>
        <w:rPr>
          <w:rFonts w:ascii="Times New Roman" w:hAnsi="Times New Roman"/>
          <w:szCs w:val="21"/>
        </w:rPr>
        <w:t>合理提高建筑抗震性能的简要说明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）结构</w:t>
      </w:r>
      <w:r>
        <w:rPr>
          <w:rFonts w:ascii="Times New Roman" w:hAnsi="Times New Roman"/>
          <w:szCs w:val="21"/>
        </w:rPr>
        <w:t>竣工图、计算书</w:t>
      </w:r>
      <w:r>
        <w:rPr>
          <w:rFonts w:hint="eastAsia" w:ascii="Times New Roman" w:hAnsi="Times New Roman"/>
          <w:szCs w:val="21"/>
        </w:rPr>
        <w:t>；</w:t>
      </w:r>
    </w:p>
    <w:p>
      <w:pPr>
        <w:rPr>
          <w:rFonts w:ascii="Times New Roman" w:hAnsi="Times New Roman"/>
          <w:szCs w:val="21"/>
        </w:rPr>
      </w:pPr>
      <w:r>
        <w:rPr>
          <w:rFonts w:ascii="Times New Roman" w:hAnsi="Times New Roman"/>
          <w:szCs w:val="21"/>
        </w:rPr>
        <w:t>2</w:t>
      </w:r>
      <w:r>
        <w:rPr>
          <w:rFonts w:hint="eastAsia" w:ascii="Times New Roman" w:hAnsi="Times New Roman"/>
          <w:szCs w:val="21"/>
        </w:rPr>
        <w:t>）抗震性能分析报告或抗震设计专篇；</w:t>
      </w:r>
    </w:p>
    <w:p>
      <w:pPr>
        <w:rPr>
          <w:rFonts w:ascii="Times New Roman" w:hAnsi="Times New Roman"/>
          <w:szCs w:val="21"/>
        </w:rPr>
      </w:pPr>
      <w:r>
        <w:rPr>
          <w:rFonts w:hint="eastAsia" w:ascii="Times New Roman" w:hAnsi="Times New Roman"/>
          <w:szCs w:val="21"/>
        </w:rPr>
        <w:t>3）隔震设施、消能减震构件的检测检验报告。</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4.2.2</w:t>
      </w:r>
      <w:r>
        <w:rPr>
          <w:rFonts w:hint="eastAsia"/>
          <w:sz w:val="24"/>
          <w:szCs w:val="40"/>
        </w:rPr>
        <w:t xml:space="preserve"> </w:t>
      </w:r>
      <w:r>
        <w:rPr>
          <w:sz w:val="24"/>
          <w:szCs w:val="40"/>
        </w:rPr>
        <w:t>采取保障人员安全的防护措施。（15分）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4801"/>
        <w:gridCol w:w="114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999" w:type="pct"/>
            <w:noWrap w:val="0"/>
            <w:vAlign w:val="top"/>
          </w:tcPr>
          <w:p>
            <w:pPr>
              <w:jc w:val="center"/>
              <w:rPr>
                <w:rFonts w:ascii="Times New Roman" w:hAnsi="Times New Roman"/>
                <w:szCs w:val="21"/>
              </w:rPr>
            </w:pPr>
            <w:r>
              <w:rPr>
                <w:rFonts w:ascii="Times New Roman" w:hAnsi="Times New Roman"/>
                <w:szCs w:val="21"/>
              </w:rPr>
              <w:t>评价内容</w:t>
            </w:r>
          </w:p>
        </w:tc>
        <w:tc>
          <w:tcPr>
            <w:tcW w:w="712"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999" w:type="pct"/>
            <w:noWrap w:val="0"/>
            <w:vAlign w:val="center"/>
          </w:tcPr>
          <w:p>
            <w:pPr>
              <w:rPr>
                <w:rFonts w:ascii="Times New Roman" w:hAnsi="Times New Roman"/>
                <w:szCs w:val="21"/>
              </w:rPr>
            </w:pPr>
            <w:r>
              <w:rPr>
                <w:rFonts w:ascii="Times New Roman" w:hAnsi="Times New Roman"/>
                <w:szCs w:val="21"/>
              </w:rPr>
              <w:t>提高阳台、外窗、窗台、防护栏杆等安全防护水平</w:t>
            </w:r>
          </w:p>
        </w:tc>
        <w:tc>
          <w:tcPr>
            <w:tcW w:w="712" w:type="pct"/>
            <w:noWrap w:val="0"/>
            <w:vAlign w:val="center"/>
          </w:tcPr>
          <w:p>
            <w:pPr>
              <w:jc w:val="center"/>
              <w:rPr>
                <w:rFonts w:ascii="Times New Roman" w:hAnsi="Times New Roman"/>
                <w:szCs w:val="21"/>
              </w:rPr>
            </w:pPr>
            <w:r>
              <w:rPr>
                <w:rFonts w:ascii="Times New Roman" w:hAnsi="Times New Roman"/>
                <w:szCs w:val="21"/>
              </w:rPr>
              <w:t>5</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center"/>
          </w:tcPr>
          <w:p>
            <w:pPr>
              <w:jc w:val="center"/>
              <w:rPr>
                <w:rFonts w:ascii="Times New Roman" w:hAnsi="Times New Roman"/>
                <w:szCs w:val="21"/>
              </w:rPr>
            </w:pPr>
            <w:r>
              <w:rPr>
                <w:rFonts w:ascii="Times New Roman" w:hAnsi="Times New Roman"/>
                <w:szCs w:val="21"/>
              </w:rPr>
              <w:t>2</w:t>
            </w:r>
          </w:p>
        </w:tc>
        <w:tc>
          <w:tcPr>
            <w:tcW w:w="2999" w:type="pct"/>
            <w:noWrap w:val="0"/>
            <w:vAlign w:val="center"/>
          </w:tcPr>
          <w:p>
            <w:pPr>
              <w:rPr>
                <w:rFonts w:ascii="Times New Roman" w:hAnsi="Times New Roman"/>
                <w:szCs w:val="21"/>
              </w:rPr>
            </w:pPr>
            <w:r>
              <w:rPr>
                <w:rFonts w:ascii="Times New Roman" w:hAnsi="Times New Roman"/>
                <w:szCs w:val="21"/>
              </w:rPr>
              <w:t>建筑物出入口均设外墙饰面、门窗玻璃意外脱落的防护措施，并与人员通行区域的遮阳、遮风或挡雨措施结合</w:t>
            </w:r>
          </w:p>
        </w:tc>
        <w:tc>
          <w:tcPr>
            <w:tcW w:w="712" w:type="pct"/>
            <w:noWrap w:val="0"/>
            <w:vAlign w:val="center"/>
          </w:tcPr>
          <w:p>
            <w:pPr>
              <w:jc w:val="center"/>
              <w:rPr>
                <w:rFonts w:ascii="Times New Roman" w:hAnsi="Times New Roman"/>
                <w:szCs w:val="21"/>
              </w:rPr>
            </w:pPr>
            <w:r>
              <w:rPr>
                <w:rFonts w:ascii="Times New Roman" w:hAnsi="Times New Roman"/>
                <w:szCs w:val="21"/>
              </w:rPr>
              <w:t>5</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center"/>
          </w:tcPr>
          <w:p>
            <w:pPr>
              <w:jc w:val="center"/>
              <w:rPr>
                <w:rFonts w:ascii="Times New Roman" w:hAnsi="Times New Roman"/>
                <w:szCs w:val="21"/>
              </w:rPr>
            </w:pPr>
            <w:r>
              <w:rPr>
                <w:rFonts w:ascii="Times New Roman" w:hAnsi="Times New Roman"/>
                <w:szCs w:val="21"/>
              </w:rPr>
              <w:t>3</w:t>
            </w:r>
          </w:p>
        </w:tc>
        <w:tc>
          <w:tcPr>
            <w:tcW w:w="2999" w:type="pct"/>
            <w:noWrap w:val="0"/>
            <w:vAlign w:val="center"/>
          </w:tcPr>
          <w:p>
            <w:pPr>
              <w:rPr>
                <w:rFonts w:ascii="Times New Roman" w:hAnsi="Times New Roman"/>
                <w:szCs w:val="21"/>
              </w:rPr>
            </w:pPr>
            <w:r>
              <w:rPr>
                <w:rFonts w:ascii="Times New Roman" w:hAnsi="Times New Roman"/>
                <w:szCs w:val="21"/>
              </w:rPr>
              <w:t>利用场地或景观形成可降低坠物风险的缓冲区、隔离带</w:t>
            </w:r>
          </w:p>
        </w:tc>
        <w:tc>
          <w:tcPr>
            <w:tcW w:w="712" w:type="pct"/>
            <w:noWrap w:val="0"/>
            <w:vAlign w:val="center"/>
          </w:tcPr>
          <w:p>
            <w:pPr>
              <w:jc w:val="center"/>
              <w:rPr>
                <w:rFonts w:ascii="Times New Roman" w:hAnsi="Times New Roman"/>
                <w:szCs w:val="21"/>
              </w:rPr>
            </w:pPr>
            <w:r>
              <w:rPr>
                <w:rFonts w:ascii="Times New Roman" w:hAnsi="Times New Roman"/>
                <w:szCs w:val="21"/>
              </w:rPr>
              <w:t>5</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 w:hRule="atLeast"/>
          <w:jc w:val="center"/>
        </w:trPr>
        <w:tc>
          <w:tcPr>
            <w:tcW w:w="3454" w:type="pct"/>
            <w:gridSpan w:val="2"/>
            <w:noWrap w:val="0"/>
            <w:vAlign w:val="center"/>
          </w:tcPr>
          <w:p>
            <w:pPr>
              <w:jc w:val="center"/>
              <w:rPr>
                <w:rFonts w:ascii="Times New Roman" w:hAnsi="Times New Roman"/>
                <w:szCs w:val="21"/>
              </w:rPr>
            </w:pPr>
            <w:r>
              <w:rPr>
                <w:rFonts w:ascii="Times New Roman" w:hAnsi="Times New Roman"/>
                <w:szCs w:val="21"/>
              </w:rPr>
              <w:t>合计</w:t>
            </w:r>
          </w:p>
        </w:tc>
        <w:tc>
          <w:tcPr>
            <w:tcW w:w="712" w:type="pct"/>
            <w:noWrap w:val="0"/>
            <w:vAlign w:val="center"/>
          </w:tcPr>
          <w:p>
            <w:pPr>
              <w:jc w:val="center"/>
              <w:rPr>
                <w:rFonts w:ascii="Times New Roman" w:hAnsi="Times New Roman"/>
                <w:szCs w:val="21"/>
              </w:rPr>
            </w:pPr>
            <w:r>
              <w:rPr>
                <w:rFonts w:ascii="Times New Roman" w:hAnsi="Times New Roman"/>
                <w:szCs w:val="21"/>
              </w:rPr>
              <w:t>15</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jc w:val="center"/>
              <w:rPr>
                <w:rFonts w:ascii="Times New Roman" w:hAnsi="Times New Roman"/>
                <w:szCs w:val="21"/>
              </w:rPr>
            </w:pPr>
            <w:r>
              <w:rPr>
                <w:rFonts w:ascii="Times New Roman" w:hAnsi="Times New Roman"/>
                <w:szCs w:val="21"/>
              </w:rPr>
              <w:t>类型</w:t>
            </w:r>
          </w:p>
        </w:tc>
        <w:tc>
          <w:tcPr>
            <w:tcW w:w="2576" w:type="pct"/>
            <w:noWrap w:val="0"/>
            <w:vAlign w:val="top"/>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建筑</w:t>
            </w:r>
            <w:r>
              <w:rPr>
                <w:rFonts w:ascii="Times New Roman" w:hAnsi="Times New Roman"/>
                <w:szCs w:val="21"/>
              </w:rPr>
              <w:t>出入口</w:t>
            </w:r>
            <w:r>
              <w:rPr>
                <w:rFonts w:hint="eastAsia" w:ascii="Times New Roman" w:hAnsi="Times New Roman"/>
                <w:szCs w:val="21"/>
              </w:rPr>
              <w:t>的防护措施</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防护措施</w:t>
            </w:r>
            <w:r>
              <w:rPr>
                <w:rFonts w:ascii="Times New Roman" w:hAnsi="Times New Roman"/>
                <w:szCs w:val="21"/>
              </w:rPr>
              <w:t>与其他措施结合</w:t>
            </w:r>
            <w:r>
              <w:rPr>
                <w:rFonts w:hint="eastAsia" w:ascii="Times New Roman" w:hAnsi="Times New Roman"/>
                <w:szCs w:val="21"/>
              </w:rPr>
              <w:t>做法</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缓冲区</w:t>
            </w:r>
            <w:r>
              <w:rPr>
                <w:rFonts w:ascii="Times New Roman" w:hAnsi="Times New Roman"/>
                <w:szCs w:val="21"/>
              </w:rPr>
              <w:t>和隔离带的形式</w:t>
            </w:r>
          </w:p>
        </w:tc>
        <w:tc>
          <w:tcPr>
            <w:tcW w:w="2576" w:type="pct"/>
            <w:noWrap w:val="0"/>
            <w:vAlign w:val="top"/>
          </w:tcPr>
          <w:p>
            <w:pPr>
              <w:rPr>
                <w:rFonts w:ascii="Times New Roman" w:hAnsi="Times New Roman"/>
                <w:szCs w:val="21"/>
              </w:rPr>
            </w:pPr>
          </w:p>
        </w:tc>
      </w:tr>
    </w:tbl>
    <w:p>
      <w:pPr>
        <w:rPr>
          <w:rFonts w:ascii="Times New Roman" w:hAnsi="Times New Roman"/>
          <w:szCs w:val="21"/>
        </w:rPr>
      </w:pPr>
      <w:r>
        <w:rPr>
          <w:rFonts w:hint="eastAsia" w:ascii="Times New Roman" w:hAnsi="Times New Roman"/>
          <w:szCs w:val="21"/>
        </w:rPr>
        <w:t>请对采取何种</w:t>
      </w:r>
      <w:r>
        <w:rPr>
          <w:rFonts w:ascii="Times New Roman" w:hAnsi="Times New Roman"/>
          <w:szCs w:val="21"/>
        </w:rPr>
        <w:t>措施提高安全防护水平</w:t>
      </w:r>
      <w:r>
        <w:rPr>
          <w:rFonts w:hint="eastAsia" w:ascii="Times New Roman" w:hAnsi="Times New Roman"/>
          <w:szCs w:val="21"/>
        </w:rPr>
        <w:t>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93"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spacing w:line="320" w:lineRule="exact"/>
        <w:rPr>
          <w:rFonts w:ascii="Times New Roman" w:hAnsi="Times New Roman"/>
          <w:szCs w:val="21"/>
        </w:rPr>
      </w:pPr>
      <w:r>
        <w:rPr>
          <w:rFonts w:ascii="Times New Roman" w:hAnsi="Times New Roman"/>
          <w:szCs w:val="21"/>
        </w:rPr>
        <w:t>提交材料及要求：</w:t>
      </w:r>
    </w:p>
    <w:p>
      <w:pPr>
        <w:spacing w:line="320" w:lineRule="exact"/>
        <w:rPr>
          <w:rFonts w:ascii="Times New Roman" w:hAnsi="Times New Roman"/>
          <w:szCs w:val="21"/>
        </w:rPr>
      </w:pPr>
      <w:r>
        <w:rPr>
          <w:rFonts w:hint="eastAsia" w:ascii="Times New Roman" w:hAnsi="Times New Roman"/>
          <w:szCs w:val="21"/>
        </w:rPr>
        <w:t>1）阳台</w:t>
      </w:r>
      <w:r>
        <w:rPr>
          <w:rFonts w:ascii="Times New Roman" w:hAnsi="Times New Roman"/>
          <w:szCs w:val="21"/>
        </w:rPr>
        <w:t>、外窗、窗台、防护栏杆设计</w:t>
      </w:r>
      <w:r>
        <w:rPr>
          <w:rFonts w:hint="eastAsia" w:ascii="Times New Roman" w:hAnsi="Times New Roman"/>
          <w:szCs w:val="21"/>
        </w:rPr>
        <w:t>竣工图、建筑出入口</w:t>
      </w:r>
      <w:r>
        <w:rPr>
          <w:rFonts w:ascii="Times New Roman" w:hAnsi="Times New Roman"/>
          <w:szCs w:val="21"/>
        </w:rPr>
        <w:t>安全防护设计图</w:t>
      </w:r>
      <w:r>
        <w:rPr>
          <w:rFonts w:hint="eastAsia" w:ascii="Times New Roman" w:hAnsi="Times New Roman"/>
          <w:szCs w:val="21"/>
        </w:rPr>
        <w:t>；</w:t>
      </w:r>
    </w:p>
    <w:p>
      <w:pPr>
        <w:spacing w:line="320" w:lineRule="exact"/>
        <w:rPr>
          <w:rFonts w:ascii="Times New Roman" w:hAnsi="Times New Roman"/>
          <w:szCs w:val="21"/>
        </w:rPr>
      </w:pPr>
      <w:r>
        <w:rPr>
          <w:rFonts w:hint="eastAsia" w:ascii="Times New Roman" w:hAnsi="Times New Roman"/>
          <w:szCs w:val="21"/>
        </w:rPr>
        <w:t>2）防护栏杆相关检测报告；</w:t>
      </w:r>
    </w:p>
    <w:p>
      <w:pPr>
        <w:spacing w:line="320" w:lineRule="exact"/>
        <w:rPr>
          <w:rFonts w:ascii="Times New Roman" w:hAnsi="Times New Roman"/>
          <w:szCs w:val="21"/>
        </w:rPr>
      </w:pPr>
      <w:r>
        <w:rPr>
          <w:rFonts w:hint="eastAsia" w:ascii="Times New Roman" w:hAnsi="Times New Roman"/>
          <w:szCs w:val="21"/>
        </w:rPr>
        <w:t>3）根据安全防护措施，形成专项报告。</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bCs w:val="0"/>
        </w:rPr>
      </w:pPr>
      <w:r>
        <w:rPr>
          <w:sz w:val="24"/>
          <w:szCs w:val="40"/>
        </w:rPr>
        <w:t>4.2.3</w:t>
      </w:r>
      <w:r>
        <w:rPr>
          <w:rFonts w:hint="eastAsia"/>
          <w:sz w:val="24"/>
          <w:szCs w:val="40"/>
        </w:rPr>
        <w:t xml:space="preserve"> </w:t>
      </w:r>
      <w:r>
        <w:rPr>
          <w:sz w:val="24"/>
          <w:szCs w:val="40"/>
        </w:rPr>
        <w:t>采用具有安全防护功能的产品或配件。（10分）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4364"/>
        <w:gridCol w:w="157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top"/>
          </w:tcPr>
          <w:p>
            <w:pPr>
              <w:jc w:val="center"/>
              <w:rPr>
                <w:rFonts w:ascii="Times New Roman" w:hAnsi="Times New Roman"/>
                <w:szCs w:val="21"/>
              </w:rPr>
            </w:pPr>
            <w:r>
              <w:rPr>
                <w:rFonts w:ascii="Times New Roman" w:hAnsi="Times New Roman"/>
                <w:szCs w:val="21"/>
              </w:rPr>
              <w:t>序号</w:t>
            </w:r>
          </w:p>
        </w:tc>
        <w:tc>
          <w:tcPr>
            <w:tcW w:w="2726"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3"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top"/>
          </w:tcPr>
          <w:p>
            <w:pPr>
              <w:jc w:val="center"/>
              <w:rPr>
                <w:rFonts w:ascii="Times New Roman" w:hAnsi="Times New Roman"/>
                <w:szCs w:val="21"/>
              </w:rPr>
            </w:pPr>
            <w:r>
              <w:rPr>
                <w:rFonts w:ascii="Times New Roman" w:hAnsi="Times New Roman"/>
                <w:szCs w:val="21"/>
              </w:rPr>
              <w:t>1</w:t>
            </w:r>
          </w:p>
        </w:tc>
        <w:tc>
          <w:tcPr>
            <w:tcW w:w="2726" w:type="pct"/>
            <w:noWrap w:val="0"/>
            <w:vAlign w:val="top"/>
          </w:tcPr>
          <w:p>
            <w:pPr>
              <w:rPr>
                <w:rFonts w:ascii="Times New Roman" w:hAnsi="Times New Roman"/>
                <w:szCs w:val="21"/>
              </w:rPr>
            </w:pPr>
            <w:r>
              <w:rPr>
                <w:rFonts w:hint="eastAsia" w:ascii="Times New Roman" w:hAnsi="Times New Roman"/>
                <w:szCs w:val="21"/>
              </w:rPr>
              <w:t>采用具有安全防护功能</w:t>
            </w:r>
            <w:r>
              <w:rPr>
                <w:rFonts w:ascii="Times New Roman" w:hAnsi="Times New Roman"/>
                <w:szCs w:val="21"/>
              </w:rPr>
              <w:t>的玻璃</w:t>
            </w:r>
          </w:p>
        </w:tc>
        <w:tc>
          <w:tcPr>
            <w:tcW w:w="984" w:type="pct"/>
            <w:noWrap w:val="0"/>
            <w:vAlign w:val="top"/>
          </w:tcPr>
          <w:p>
            <w:pPr>
              <w:jc w:val="center"/>
              <w:rPr>
                <w:rFonts w:ascii="Times New Roman" w:hAnsi="Times New Roman"/>
                <w:szCs w:val="21"/>
              </w:rPr>
            </w:pPr>
            <w:r>
              <w:rPr>
                <w:rFonts w:ascii="Times New Roman" w:hAnsi="Times New Roman"/>
                <w:szCs w:val="21"/>
              </w:rPr>
              <w:t>5</w:t>
            </w:r>
          </w:p>
        </w:tc>
        <w:tc>
          <w:tcPr>
            <w:tcW w:w="833"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top"/>
          </w:tcPr>
          <w:p>
            <w:pPr>
              <w:jc w:val="center"/>
              <w:rPr>
                <w:rFonts w:ascii="Times New Roman" w:hAnsi="Times New Roman"/>
                <w:szCs w:val="21"/>
              </w:rPr>
            </w:pPr>
            <w:r>
              <w:rPr>
                <w:rFonts w:ascii="Times New Roman" w:hAnsi="Times New Roman"/>
                <w:szCs w:val="21"/>
              </w:rPr>
              <w:t>2</w:t>
            </w:r>
          </w:p>
        </w:tc>
        <w:tc>
          <w:tcPr>
            <w:tcW w:w="2726" w:type="pct"/>
            <w:noWrap w:val="0"/>
            <w:vAlign w:val="top"/>
          </w:tcPr>
          <w:p>
            <w:pPr>
              <w:rPr>
                <w:rFonts w:ascii="Times New Roman" w:hAnsi="Times New Roman"/>
                <w:szCs w:val="21"/>
              </w:rPr>
            </w:pPr>
            <w:r>
              <w:rPr>
                <w:rFonts w:hint="eastAsia" w:ascii="Times New Roman" w:hAnsi="Times New Roman"/>
                <w:szCs w:val="21"/>
              </w:rPr>
              <w:t>采用具备</w:t>
            </w:r>
            <w:r>
              <w:rPr>
                <w:rFonts w:ascii="Times New Roman" w:hAnsi="Times New Roman"/>
                <w:szCs w:val="21"/>
              </w:rPr>
              <w:t>防夹功能的门窗</w:t>
            </w:r>
          </w:p>
        </w:tc>
        <w:tc>
          <w:tcPr>
            <w:tcW w:w="984" w:type="pct"/>
            <w:noWrap w:val="0"/>
            <w:vAlign w:val="top"/>
          </w:tcPr>
          <w:p>
            <w:pPr>
              <w:jc w:val="center"/>
              <w:rPr>
                <w:rFonts w:ascii="Times New Roman" w:hAnsi="Times New Roman"/>
                <w:szCs w:val="21"/>
              </w:rPr>
            </w:pPr>
            <w:r>
              <w:rPr>
                <w:rFonts w:ascii="Times New Roman" w:hAnsi="Times New Roman"/>
                <w:szCs w:val="21"/>
              </w:rPr>
              <w:t>5</w:t>
            </w:r>
          </w:p>
        </w:tc>
        <w:tc>
          <w:tcPr>
            <w:tcW w:w="833"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183" w:type="pct"/>
            <w:gridSpan w:val="2"/>
            <w:noWrap w:val="0"/>
            <w:vAlign w:val="center"/>
          </w:tcPr>
          <w:p>
            <w:pPr>
              <w:jc w:val="center"/>
              <w:rPr>
                <w:rFonts w:ascii="Times New Roman" w:hAnsi="Times New Roman"/>
                <w:szCs w:val="21"/>
              </w:rPr>
            </w:pPr>
            <w:r>
              <w:rPr>
                <w:rFonts w:ascii="Times New Roman" w:hAnsi="Times New Roman"/>
                <w:szCs w:val="21"/>
              </w:rPr>
              <w:t>合计</w:t>
            </w:r>
          </w:p>
        </w:tc>
        <w:tc>
          <w:tcPr>
            <w:tcW w:w="984" w:type="pct"/>
            <w:noWrap w:val="0"/>
            <w:vAlign w:val="top"/>
          </w:tcPr>
          <w:p>
            <w:pPr>
              <w:jc w:val="center"/>
              <w:rPr>
                <w:rFonts w:ascii="Times New Roman" w:hAnsi="Times New Roman"/>
                <w:szCs w:val="21"/>
              </w:rPr>
            </w:pPr>
            <w:r>
              <w:rPr>
                <w:rFonts w:ascii="Times New Roman" w:hAnsi="Times New Roman"/>
                <w:szCs w:val="21"/>
              </w:rPr>
              <w:t>10</w:t>
            </w:r>
          </w:p>
        </w:tc>
        <w:tc>
          <w:tcPr>
            <w:tcW w:w="833"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jc w:val="center"/>
              <w:rPr>
                <w:rFonts w:ascii="Times New Roman" w:hAnsi="Times New Roman"/>
                <w:szCs w:val="21"/>
              </w:rPr>
            </w:pPr>
            <w:r>
              <w:rPr>
                <w:rFonts w:ascii="Times New Roman" w:hAnsi="Times New Roman"/>
                <w:szCs w:val="21"/>
              </w:rPr>
              <w:t>类型</w:t>
            </w:r>
          </w:p>
        </w:tc>
        <w:tc>
          <w:tcPr>
            <w:tcW w:w="2576" w:type="pct"/>
            <w:noWrap w:val="0"/>
            <w:vAlign w:val="top"/>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安全防护</w:t>
            </w:r>
            <w:r>
              <w:rPr>
                <w:rFonts w:ascii="Times New Roman" w:hAnsi="Times New Roman"/>
                <w:szCs w:val="21"/>
              </w:rPr>
              <w:t>玻璃占玻璃总用量的比例</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防夹功能门窗</w:t>
            </w:r>
            <w:r>
              <w:rPr>
                <w:rFonts w:ascii="Times New Roman" w:hAnsi="Times New Roman"/>
                <w:szCs w:val="21"/>
              </w:rPr>
              <w:t>占门窗用量的比例</w:t>
            </w:r>
          </w:p>
        </w:tc>
        <w:tc>
          <w:tcPr>
            <w:tcW w:w="2576" w:type="pct"/>
            <w:noWrap w:val="0"/>
            <w:vAlign w:val="top"/>
          </w:tcPr>
          <w:p>
            <w:pPr>
              <w:rPr>
                <w:rFonts w:ascii="Times New Roman" w:hAnsi="Times New Roman"/>
                <w:szCs w:val="21"/>
              </w:rPr>
            </w:pPr>
          </w:p>
        </w:tc>
      </w:tr>
    </w:tbl>
    <w:p>
      <w:pPr>
        <w:rPr>
          <w:rFonts w:ascii="Times New Roman" w:hAnsi="Times New Roman"/>
          <w:szCs w:val="21"/>
        </w:rPr>
      </w:pPr>
    </w:p>
    <w:p>
      <w:pPr>
        <w:rPr>
          <w:rFonts w:ascii="Times New Roman" w:hAnsi="Times New Roman"/>
          <w:szCs w:val="21"/>
        </w:rPr>
      </w:pPr>
      <w:r>
        <w:rPr>
          <w:rFonts w:hint="eastAsia" w:ascii="Times New Roman" w:hAnsi="Times New Roman"/>
          <w:szCs w:val="21"/>
        </w:rPr>
        <w:t>请对安全防护功能的产品或配件进行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1</w:t>
      </w:r>
      <w:r>
        <w:rPr>
          <w:rFonts w:hint="eastAsia" w:ascii="Times New Roman" w:hAnsi="Times New Roman"/>
          <w:szCs w:val="21"/>
        </w:rPr>
        <w:t>）建筑和</w:t>
      </w:r>
      <w:r>
        <w:rPr>
          <w:rFonts w:ascii="Times New Roman" w:hAnsi="Times New Roman"/>
          <w:szCs w:val="21"/>
        </w:rPr>
        <w:t>结构竣工图纸</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2）安全玻璃、</w:t>
      </w:r>
      <w:r>
        <w:rPr>
          <w:rFonts w:ascii="Times New Roman" w:hAnsi="Times New Roman"/>
          <w:szCs w:val="21"/>
        </w:rPr>
        <w:t>门窗</w:t>
      </w:r>
      <w:r>
        <w:rPr>
          <w:rFonts w:hint="eastAsia" w:ascii="Times New Roman" w:hAnsi="Times New Roman"/>
          <w:szCs w:val="21"/>
        </w:rPr>
        <w:t>等</w:t>
      </w:r>
      <w:r>
        <w:rPr>
          <w:rFonts w:ascii="Times New Roman" w:hAnsi="Times New Roman"/>
          <w:szCs w:val="21"/>
        </w:rPr>
        <w:t>产品或配件的型式检验报告</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3）</w:t>
      </w:r>
      <w:r>
        <w:rPr>
          <w:rFonts w:ascii="Times New Roman" w:hAnsi="Times New Roman"/>
          <w:szCs w:val="21"/>
        </w:rPr>
        <w:t>材料决算清单</w:t>
      </w:r>
      <w:r>
        <w:rPr>
          <w:rFonts w:hint="eastAsia" w:ascii="Times New Roman" w:hAnsi="Times New Roman"/>
          <w:szCs w:val="21"/>
        </w:rPr>
        <w:t>。</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4.2.4</w:t>
      </w:r>
      <w:r>
        <w:rPr>
          <w:rFonts w:hint="eastAsia"/>
          <w:sz w:val="24"/>
          <w:szCs w:val="40"/>
        </w:rPr>
        <w:t xml:space="preserve"> </w:t>
      </w:r>
      <w:r>
        <w:rPr>
          <w:sz w:val="24"/>
          <w:szCs w:val="40"/>
        </w:rPr>
        <w:t>室内外地面或路设置防滑措施。（10分）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4487"/>
        <w:gridCol w:w="145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4" w:type="pct"/>
            <w:noWrap w:val="0"/>
            <w:vAlign w:val="center"/>
          </w:tcPr>
          <w:p>
            <w:pPr>
              <w:jc w:val="center"/>
              <w:rPr>
                <w:rFonts w:ascii="Times New Roman" w:hAnsi="Times New Roman"/>
                <w:szCs w:val="21"/>
              </w:rPr>
            </w:pPr>
            <w:r>
              <w:rPr>
                <w:rFonts w:ascii="Times New Roman" w:hAnsi="Times New Roman"/>
                <w:szCs w:val="21"/>
              </w:rPr>
              <w:t>序号</w:t>
            </w:r>
          </w:p>
        </w:tc>
        <w:tc>
          <w:tcPr>
            <w:tcW w:w="2802" w:type="pct"/>
            <w:noWrap w:val="0"/>
            <w:vAlign w:val="center"/>
          </w:tcPr>
          <w:p>
            <w:pPr>
              <w:jc w:val="center"/>
              <w:rPr>
                <w:rFonts w:ascii="Times New Roman" w:hAnsi="Times New Roman"/>
                <w:szCs w:val="21"/>
              </w:rPr>
            </w:pPr>
            <w:r>
              <w:rPr>
                <w:rFonts w:ascii="Times New Roman" w:hAnsi="Times New Roman"/>
                <w:szCs w:val="21"/>
              </w:rPr>
              <w:t>评价内容</w:t>
            </w:r>
          </w:p>
        </w:tc>
        <w:tc>
          <w:tcPr>
            <w:tcW w:w="909" w:type="pct"/>
            <w:noWrap w:val="0"/>
            <w:vAlign w:val="center"/>
          </w:tcPr>
          <w:p>
            <w:pPr>
              <w:jc w:val="center"/>
              <w:rPr>
                <w:rFonts w:ascii="Times New Roman" w:hAnsi="Times New Roman"/>
                <w:szCs w:val="21"/>
              </w:rPr>
            </w:pPr>
            <w:r>
              <w:rPr>
                <w:rFonts w:ascii="Times New Roman" w:hAnsi="Times New Roman"/>
                <w:szCs w:val="21"/>
              </w:rPr>
              <w:t>评价分值</w:t>
            </w:r>
          </w:p>
        </w:tc>
        <w:tc>
          <w:tcPr>
            <w:tcW w:w="834"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4" w:type="pct"/>
            <w:noWrap w:val="0"/>
            <w:vAlign w:val="center"/>
          </w:tcPr>
          <w:p>
            <w:pPr>
              <w:jc w:val="center"/>
              <w:rPr>
                <w:rFonts w:ascii="Times New Roman" w:hAnsi="Times New Roman"/>
                <w:szCs w:val="21"/>
              </w:rPr>
            </w:pPr>
            <w:r>
              <w:rPr>
                <w:rFonts w:ascii="Times New Roman" w:hAnsi="Times New Roman"/>
                <w:szCs w:val="21"/>
              </w:rPr>
              <w:t>1</w:t>
            </w:r>
          </w:p>
        </w:tc>
        <w:tc>
          <w:tcPr>
            <w:tcW w:w="2802" w:type="pct"/>
            <w:noWrap w:val="0"/>
            <w:vAlign w:val="center"/>
          </w:tcPr>
          <w:p>
            <w:pPr>
              <w:rPr>
                <w:rFonts w:ascii="Times New Roman" w:hAnsi="Times New Roman"/>
                <w:szCs w:val="21"/>
              </w:rPr>
            </w:pPr>
            <w:r>
              <w:rPr>
                <w:rFonts w:ascii="Times New Roman" w:hAnsi="Times New Roman"/>
                <w:szCs w:val="21"/>
              </w:rPr>
              <w:t>建筑出入口及平台、公共走廊、电梯门厅、厨房、浴室、卫生间等设置防滑措施，防滑等级不低于现行行业标准《建筑地面工程防滑技术规程》规定的Bd、Bw级</w:t>
            </w:r>
          </w:p>
        </w:tc>
        <w:tc>
          <w:tcPr>
            <w:tcW w:w="909" w:type="pct"/>
            <w:noWrap w:val="0"/>
            <w:vAlign w:val="center"/>
          </w:tcPr>
          <w:p>
            <w:pPr>
              <w:jc w:val="center"/>
              <w:rPr>
                <w:rFonts w:ascii="Times New Roman" w:hAnsi="Times New Roman"/>
                <w:szCs w:val="21"/>
              </w:rPr>
            </w:pPr>
            <w:r>
              <w:rPr>
                <w:rFonts w:ascii="Times New Roman" w:hAnsi="Times New Roman"/>
                <w:szCs w:val="21"/>
              </w:rPr>
              <w:t>3</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4" w:type="pct"/>
            <w:noWrap w:val="0"/>
            <w:vAlign w:val="center"/>
          </w:tcPr>
          <w:p>
            <w:pPr>
              <w:jc w:val="center"/>
              <w:rPr>
                <w:rFonts w:ascii="Times New Roman" w:hAnsi="Times New Roman"/>
                <w:szCs w:val="21"/>
              </w:rPr>
            </w:pPr>
            <w:r>
              <w:rPr>
                <w:rFonts w:ascii="Times New Roman" w:hAnsi="Times New Roman"/>
                <w:szCs w:val="21"/>
              </w:rPr>
              <w:t>2</w:t>
            </w:r>
          </w:p>
        </w:tc>
        <w:tc>
          <w:tcPr>
            <w:tcW w:w="2802" w:type="pct"/>
            <w:noWrap w:val="0"/>
            <w:vAlign w:val="center"/>
          </w:tcPr>
          <w:p>
            <w:pPr>
              <w:rPr>
                <w:rFonts w:ascii="Times New Roman" w:hAnsi="Times New Roman"/>
                <w:szCs w:val="21"/>
              </w:rPr>
            </w:pPr>
            <w:r>
              <w:rPr>
                <w:rFonts w:ascii="Times New Roman" w:hAnsi="Times New Roman"/>
                <w:szCs w:val="21"/>
              </w:rPr>
              <w:t>建筑室内外活动场地所采用的防滑地面，防滑等级达到现行行业标准《建筑地面工程防滑技术规程》规定的Ad、Aw级</w:t>
            </w:r>
          </w:p>
        </w:tc>
        <w:tc>
          <w:tcPr>
            <w:tcW w:w="909" w:type="pct"/>
            <w:noWrap w:val="0"/>
            <w:vAlign w:val="center"/>
          </w:tcPr>
          <w:p>
            <w:pPr>
              <w:jc w:val="center"/>
              <w:rPr>
                <w:rFonts w:ascii="Times New Roman" w:hAnsi="Times New Roman"/>
                <w:szCs w:val="21"/>
              </w:rPr>
            </w:pPr>
            <w:r>
              <w:rPr>
                <w:rFonts w:ascii="Times New Roman" w:hAnsi="Times New Roman"/>
                <w:szCs w:val="21"/>
              </w:rPr>
              <w:t>4</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4" w:type="pct"/>
            <w:noWrap w:val="0"/>
            <w:vAlign w:val="center"/>
          </w:tcPr>
          <w:p>
            <w:pPr>
              <w:jc w:val="center"/>
              <w:rPr>
                <w:rFonts w:ascii="Times New Roman" w:hAnsi="Times New Roman"/>
                <w:szCs w:val="21"/>
              </w:rPr>
            </w:pPr>
            <w:r>
              <w:rPr>
                <w:rFonts w:ascii="Times New Roman" w:hAnsi="Times New Roman"/>
                <w:szCs w:val="21"/>
              </w:rPr>
              <w:t>3</w:t>
            </w:r>
          </w:p>
        </w:tc>
        <w:tc>
          <w:tcPr>
            <w:tcW w:w="2802" w:type="pct"/>
            <w:noWrap w:val="0"/>
            <w:vAlign w:val="center"/>
          </w:tcPr>
          <w:p>
            <w:pPr>
              <w:rPr>
                <w:rFonts w:ascii="Times New Roman" w:hAnsi="Times New Roman"/>
                <w:szCs w:val="21"/>
              </w:rPr>
            </w:pPr>
            <w:r>
              <w:rPr>
                <w:rFonts w:ascii="Times New Roman" w:hAnsi="Times New Roman"/>
                <w:szCs w:val="21"/>
              </w:rPr>
              <w:t>建筑坡道、楼梯踏步防滑等级达到现行行业标准《建筑地面工程防滑技术规程》规定的Ad、Aw级或按水平地面等级提高一级，并采用防滑条等防滑构造技术措施</w:t>
            </w:r>
          </w:p>
        </w:tc>
        <w:tc>
          <w:tcPr>
            <w:tcW w:w="909" w:type="pct"/>
            <w:noWrap w:val="0"/>
            <w:vAlign w:val="center"/>
          </w:tcPr>
          <w:p>
            <w:pPr>
              <w:jc w:val="center"/>
              <w:rPr>
                <w:rFonts w:ascii="Times New Roman" w:hAnsi="Times New Roman"/>
                <w:szCs w:val="21"/>
              </w:rPr>
            </w:pPr>
            <w:r>
              <w:rPr>
                <w:rFonts w:ascii="Times New Roman" w:hAnsi="Times New Roman"/>
                <w:szCs w:val="21"/>
              </w:rPr>
              <w:t>3</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57" w:type="pct"/>
            <w:gridSpan w:val="2"/>
            <w:noWrap w:val="0"/>
            <w:vAlign w:val="center"/>
          </w:tcPr>
          <w:p>
            <w:pPr>
              <w:jc w:val="center"/>
              <w:rPr>
                <w:rFonts w:ascii="Times New Roman" w:hAnsi="Times New Roman"/>
                <w:szCs w:val="21"/>
              </w:rPr>
            </w:pPr>
            <w:r>
              <w:rPr>
                <w:rFonts w:ascii="Times New Roman" w:hAnsi="Times New Roman"/>
                <w:szCs w:val="21"/>
              </w:rPr>
              <w:t>合计</w:t>
            </w:r>
          </w:p>
        </w:tc>
        <w:tc>
          <w:tcPr>
            <w:tcW w:w="909" w:type="pct"/>
            <w:noWrap w:val="0"/>
            <w:vAlign w:val="center"/>
          </w:tcPr>
          <w:p>
            <w:pPr>
              <w:jc w:val="center"/>
              <w:rPr>
                <w:rFonts w:ascii="Times New Roman" w:hAnsi="Times New Roman"/>
                <w:szCs w:val="21"/>
              </w:rPr>
            </w:pPr>
            <w:r>
              <w:rPr>
                <w:rFonts w:ascii="Times New Roman" w:hAnsi="Times New Roman"/>
                <w:szCs w:val="21"/>
              </w:rPr>
              <w:t>10</w:t>
            </w:r>
          </w:p>
        </w:tc>
        <w:tc>
          <w:tcPr>
            <w:tcW w:w="834"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jc w:val="center"/>
              <w:rPr>
                <w:rFonts w:ascii="Times New Roman" w:hAnsi="Times New Roman"/>
                <w:szCs w:val="21"/>
              </w:rPr>
            </w:pPr>
            <w:r>
              <w:rPr>
                <w:rFonts w:ascii="Times New Roman" w:hAnsi="Times New Roman"/>
                <w:szCs w:val="21"/>
              </w:rPr>
              <w:t>类型</w:t>
            </w:r>
          </w:p>
        </w:tc>
        <w:tc>
          <w:tcPr>
            <w:tcW w:w="2576" w:type="pct"/>
            <w:noWrap w:val="0"/>
            <w:vAlign w:val="top"/>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建筑出入口及平台、公共走廊、电梯门厅、厨房、浴室、卫生间等设置防滑等级</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建筑室内外活动场地所采用的防滑地面的防滑等级</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建筑坡道、楼梯踏步防滑等级</w:t>
            </w:r>
          </w:p>
        </w:tc>
        <w:tc>
          <w:tcPr>
            <w:tcW w:w="2576" w:type="pct"/>
            <w:noWrap w:val="0"/>
            <w:vAlign w:val="top"/>
          </w:tcPr>
          <w:p>
            <w:pPr>
              <w:rPr>
                <w:rFonts w:ascii="Times New Roman" w:hAnsi="Times New Roman"/>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）建筑竣工图，</w:t>
      </w:r>
      <w:r>
        <w:rPr>
          <w:rFonts w:ascii="Times New Roman" w:hAnsi="Times New Roman"/>
          <w:szCs w:val="21"/>
        </w:rPr>
        <w:t>防</w:t>
      </w:r>
      <w:r>
        <w:rPr>
          <w:rFonts w:hint="eastAsia" w:ascii="Times New Roman" w:hAnsi="Times New Roman"/>
          <w:szCs w:val="21"/>
        </w:rPr>
        <w:t>滑构造做法</w:t>
      </w:r>
      <w:r>
        <w:rPr>
          <w:rFonts w:ascii="Times New Roman" w:hAnsi="Times New Roman"/>
          <w:szCs w:val="21"/>
        </w:rPr>
        <w:t>等设计</w:t>
      </w:r>
      <w:r>
        <w:rPr>
          <w:rFonts w:hint="eastAsia" w:ascii="Times New Roman" w:hAnsi="Times New Roman"/>
          <w:szCs w:val="21"/>
        </w:rPr>
        <w:t>文</w:t>
      </w:r>
      <w:r>
        <w:rPr>
          <w:rFonts w:ascii="Times New Roman" w:hAnsi="Times New Roman"/>
          <w:szCs w:val="21"/>
        </w:rPr>
        <w:t>件</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2）防滑材料相关</w:t>
      </w:r>
      <w:r>
        <w:rPr>
          <w:rFonts w:ascii="Times New Roman" w:hAnsi="Times New Roman"/>
          <w:szCs w:val="21"/>
        </w:rPr>
        <w:t>测试报告</w:t>
      </w:r>
      <w:r>
        <w:rPr>
          <w:rFonts w:hint="eastAsia" w:ascii="Times New Roman" w:hAnsi="Times New Roman"/>
          <w:szCs w:val="21"/>
        </w:rPr>
        <w:t>。</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4.2.5</w:t>
      </w:r>
      <w:r>
        <w:rPr>
          <w:rFonts w:hint="eastAsia"/>
          <w:sz w:val="24"/>
          <w:szCs w:val="40"/>
        </w:rPr>
        <w:t xml:space="preserve"> </w:t>
      </w:r>
      <w:r>
        <w:rPr>
          <w:sz w:val="24"/>
          <w:szCs w:val="40"/>
        </w:rPr>
        <w:t>采取人车分流措施，且步行和自</w:t>
      </w:r>
      <w:r>
        <w:rPr>
          <w:rFonts w:hint="eastAsia"/>
          <w:sz w:val="24"/>
          <w:szCs w:val="40"/>
        </w:rPr>
        <w:t>行车</w:t>
      </w:r>
      <w:r>
        <w:rPr>
          <w:sz w:val="24"/>
          <w:szCs w:val="40"/>
        </w:rPr>
        <w:t>交通系统有充足照明。（8分）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21"/>
              </w:rPr>
            </w:pPr>
            <w:r>
              <w:rPr>
                <w:rFonts w:ascii="Times New Roman" w:hAnsi="Times New Roman"/>
                <w:szCs w:val="21"/>
              </w:rPr>
              <w:t>序号</w:t>
            </w:r>
          </w:p>
        </w:tc>
        <w:tc>
          <w:tcPr>
            <w:tcW w:w="2727" w:type="pct"/>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ascii="Times New Roman" w:hAnsi="Times New Roman"/>
                <w:szCs w:val="21"/>
              </w:rPr>
              <w:t>评价内容</w:t>
            </w:r>
          </w:p>
        </w:tc>
        <w:tc>
          <w:tcPr>
            <w:tcW w:w="984" w:type="pct"/>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21"/>
              </w:rPr>
            </w:pPr>
            <w:r>
              <w:rPr>
                <w:rFonts w:ascii="Times New Roman" w:hAnsi="Times New Roman"/>
                <w:szCs w:val="21"/>
              </w:rPr>
              <w:t>评价分值</w:t>
            </w:r>
          </w:p>
        </w:tc>
        <w:tc>
          <w:tcPr>
            <w:tcW w:w="834" w:type="pct"/>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1</w:t>
            </w:r>
          </w:p>
        </w:tc>
        <w:tc>
          <w:tcPr>
            <w:tcW w:w="2727" w:type="pct"/>
            <w:noWrap w:val="0"/>
            <w:vAlign w:val="top"/>
          </w:tcPr>
          <w:p>
            <w:pPr>
              <w:rPr>
                <w:rFonts w:ascii="Times New Roman" w:hAnsi="Times New Roman"/>
                <w:szCs w:val="21"/>
              </w:rPr>
            </w:pPr>
            <w:r>
              <w:rPr>
                <w:rFonts w:hint="eastAsia" w:ascii="Times New Roman" w:hAnsi="Times New Roman"/>
                <w:szCs w:val="21"/>
              </w:rPr>
              <w:t>采取人车分流措施，且步行和自交通系统有充足照明</w:t>
            </w:r>
          </w:p>
        </w:tc>
        <w:tc>
          <w:tcPr>
            <w:tcW w:w="984" w:type="pct"/>
            <w:noWrap w:val="0"/>
            <w:vAlign w:val="center"/>
          </w:tcPr>
          <w:p>
            <w:pPr>
              <w:jc w:val="center"/>
              <w:rPr>
                <w:rFonts w:ascii="Times New Roman" w:hAnsi="Times New Roman"/>
                <w:szCs w:val="21"/>
              </w:rPr>
            </w:pPr>
            <w:r>
              <w:rPr>
                <w:rFonts w:hint="eastAsia" w:ascii="Times New Roman" w:hAnsi="Times New Roman"/>
                <w:szCs w:val="21"/>
              </w:rPr>
              <w:t>8</w:t>
            </w:r>
          </w:p>
        </w:tc>
        <w:tc>
          <w:tcPr>
            <w:tcW w:w="834"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jc w:val="center"/>
              <w:rPr>
                <w:rFonts w:ascii="Times New Roman" w:hAnsi="Times New Roman"/>
                <w:szCs w:val="21"/>
              </w:rPr>
            </w:pPr>
            <w:r>
              <w:rPr>
                <w:rFonts w:ascii="Times New Roman" w:hAnsi="Times New Roman"/>
                <w:szCs w:val="21"/>
              </w:rPr>
              <w:t>类型</w:t>
            </w:r>
          </w:p>
        </w:tc>
        <w:tc>
          <w:tcPr>
            <w:tcW w:w="2576" w:type="pct"/>
            <w:noWrap w:val="0"/>
            <w:vAlign w:val="top"/>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是否</w:t>
            </w:r>
            <w:r>
              <w:rPr>
                <w:rFonts w:ascii="Times New Roman" w:hAnsi="Times New Roman"/>
                <w:szCs w:val="21"/>
              </w:rPr>
              <w:t>人车分流</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步行</w:t>
            </w:r>
            <w:r>
              <w:rPr>
                <w:rFonts w:ascii="Times New Roman" w:hAnsi="Times New Roman"/>
                <w:szCs w:val="21"/>
              </w:rPr>
              <w:t>道路是否有照明</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自行车</w:t>
            </w:r>
            <w:r>
              <w:rPr>
                <w:rFonts w:ascii="Times New Roman" w:hAnsi="Times New Roman"/>
                <w:szCs w:val="21"/>
              </w:rPr>
              <w:t>道路是否有照明</w:t>
            </w:r>
          </w:p>
        </w:tc>
        <w:tc>
          <w:tcPr>
            <w:tcW w:w="2576" w:type="pct"/>
            <w:noWrap w:val="0"/>
            <w:vAlign w:val="top"/>
          </w:tcPr>
          <w:p>
            <w:pPr>
              <w:rPr>
                <w:rFonts w:ascii="Times New Roman" w:hAnsi="Times New Roman"/>
                <w:szCs w:val="21"/>
              </w:rPr>
            </w:pPr>
          </w:p>
        </w:tc>
      </w:tr>
    </w:tbl>
    <w:p>
      <w:pPr>
        <w:rPr>
          <w:rFonts w:ascii="Times New Roman" w:hAnsi="Times New Roman"/>
          <w:szCs w:val="21"/>
        </w:rPr>
      </w:pPr>
    </w:p>
    <w:p>
      <w:pPr>
        <w:rPr>
          <w:rFonts w:ascii="Times New Roman" w:hAnsi="Times New Roman"/>
          <w:szCs w:val="21"/>
        </w:rPr>
      </w:pPr>
      <w:r>
        <w:rPr>
          <w:rFonts w:hint="eastAsia" w:ascii="Times New Roman" w:hAnsi="Times New Roman"/>
          <w:szCs w:val="21"/>
        </w:rPr>
        <w:t>请对人车分流措施、步行和自行车交通系统进行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hint="eastAsia" w:ascii="Times New Roman" w:hAnsi="Times New Roman"/>
          <w:szCs w:val="21"/>
        </w:rPr>
        <w:t>1）人车分流专项设计竣工文件</w:t>
      </w:r>
      <w:r>
        <w:rPr>
          <w:rFonts w:ascii="Times New Roman" w:hAnsi="Times New Roman"/>
          <w:szCs w:val="21"/>
        </w:rPr>
        <w:t>、道路照明设计</w:t>
      </w:r>
      <w:r>
        <w:rPr>
          <w:rFonts w:hint="eastAsia" w:ascii="Times New Roman" w:hAnsi="Times New Roman"/>
          <w:szCs w:val="21"/>
        </w:rPr>
        <w:t>竣工</w:t>
      </w:r>
      <w:r>
        <w:rPr>
          <w:rFonts w:ascii="Times New Roman" w:hAnsi="Times New Roman"/>
          <w:szCs w:val="21"/>
        </w:rPr>
        <w:t>文件</w:t>
      </w:r>
      <w:r>
        <w:rPr>
          <w:rFonts w:hint="eastAsia" w:ascii="Times New Roman" w:hAnsi="Times New Roman"/>
          <w:szCs w:val="21"/>
        </w:rPr>
        <w:t>；</w:t>
      </w:r>
      <w:r>
        <w:rPr>
          <w:rFonts w:ascii="Times New Roman" w:hAnsi="Times New Roman"/>
          <w:szCs w:val="21"/>
        </w:rPr>
        <w:t xml:space="preserve"> </w:t>
      </w:r>
    </w:p>
    <w:p>
      <w:pPr>
        <w:rPr>
          <w:rFonts w:ascii="Times New Roman" w:hAnsi="Times New Roman"/>
          <w:szCs w:val="21"/>
        </w:rPr>
      </w:pPr>
      <w:r>
        <w:rPr>
          <w:rFonts w:ascii="Times New Roman" w:hAnsi="Times New Roman"/>
          <w:szCs w:val="21"/>
        </w:rPr>
        <w:t>2</w:t>
      </w:r>
      <w:r>
        <w:rPr>
          <w:rFonts w:hint="eastAsia" w:ascii="Times New Roman" w:hAnsi="Times New Roman"/>
          <w:szCs w:val="21"/>
        </w:rPr>
        <w:t>）相关区域的照度计算书、检测报告。</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4.2.6</w:t>
      </w:r>
      <w:r>
        <w:rPr>
          <w:rFonts w:hint="eastAsia"/>
          <w:sz w:val="24"/>
          <w:szCs w:val="40"/>
        </w:rPr>
        <w:t xml:space="preserve"> </w:t>
      </w:r>
      <w:r>
        <w:rPr>
          <w:sz w:val="24"/>
          <w:szCs w:val="40"/>
        </w:rPr>
        <w:t>采取提升建筑适变性的措施。（18分）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center"/>
          </w:tcPr>
          <w:p>
            <w:pPr>
              <w:jc w:val="center"/>
              <w:rPr>
                <w:rFonts w:ascii="Times New Roman" w:hAnsi="Times New Roman"/>
                <w:szCs w:val="21"/>
              </w:rPr>
            </w:pPr>
            <w:r>
              <w:rPr>
                <w:rFonts w:ascii="Times New Roman" w:hAnsi="Times New Roman"/>
                <w:szCs w:val="21"/>
              </w:rPr>
              <w:t>序号</w:t>
            </w:r>
          </w:p>
        </w:tc>
        <w:tc>
          <w:tcPr>
            <w:tcW w:w="2727" w:type="pct"/>
            <w:noWrap w:val="0"/>
            <w:vAlign w:val="center"/>
          </w:tcPr>
          <w:p>
            <w:pPr>
              <w:jc w:val="center"/>
              <w:rPr>
                <w:rFonts w:ascii="Times New Roman" w:hAnsi="Times New Roman"/>
                <w:szCs w:val="21"/>
              </w:rPr>
            </w:pPr>
            <w:r>
              <w:rPr>
                <w:rFonts w:ascii="Times New Roman" w:hAnsi="Times New Roman"/>
                <w:szCs w:val="21"/>
              </w:rPr>
              <w:t>评价内容</w:t>
            </w:r>
          </w:p>
        </w:tc>
        <w:tc>
          <w:tcPr>
            <w:tcW w:w="984" w:type="pct"/>
            <w:noWrap w:val="0"/>
            <w:vAlign w:val="center"/>
          </w:tcPr>
          <w:p>
            <w:pPr>
              <w:jc w:val="center"/>
              <w:rPr>
                <w:rFonts w:ascii="Times New Roman" w:hAnsi="Times New Roman"/>
                <w:szCs w:val="21"/>
              </w:rPr>
            </w:pPr>
            <w:r>
              <w:rPr>
                <w:rFonts w:ascii="Times New Roman" w:hAnsi="Times New Roman"/>
                <w:szCs w:val="21"/>
              </w:rPr>
              <w:t>评价分值</w:t>
            </w:r>
          </w:p>
        </w:tc>
        <w:tc>
          <w:tcPr>
            <w:tcW w:w="834"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rPr>
                <w:rFonts w:ascii="Times New Roman" w:hAnsi="Times New Roman"/>
                <w:szCs w:val="21"/>
              </w:rPr>
            </w:pPr>
            <w:r>
              <w:rPr>
                <w:rFonts w:ascii="Times New Roman" w:hAnsi="Times New Roman"/>
                <w:szCs w:val="21"/>
              </w:rPr>
              <w:t>采取通用开放、灵活可变的使用空间设计，或采取建筑使用功能可变措施</w:t>
            </w:r>
          </w:p>
        </w:tc>
        <w:tc>
          <w:tcPr>
            <w:tcW w:w="984" w:type="pct"/>
            <w:noWrap w:val="0"/>
            <w:vAlign w:val="center"/>
          </w:tcPr>
          <w:p>
            <w:pPr>
              <w:jc w:val="center"/>
              <w:rPr>
                <w:rFonts w:ascii="Times New Roman" w:hAnsi="Times New Roman"/>
                <w:szCs w:val="21"/>
              </w:rPr>
            </w:pPr>
            <w:r>
              <w:rPr>
                <w:rFonts w:ascii="Times New Roman" w:hAnsi="Times New Roman"/>
                <w:szCs w:val="21"/>
              </w:rPr>
              <w:t>7</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center"/>
          </w:tcPr>
          <w:p>
            <w:pPr>
              <w:jc w:val="center"/>
              <w:rPr>
                <w:rFonts w:ascii="Times New Roman" w:hAnsi="Times New Roman"/>
                <w:szCs w:val="21"/>
              </w:rPr>
            </w:pPr>
            <w:r>
              <w:rPr>
                <w:rFonts w:ascii="Times New Roman" w:hAnsi="Times New Roman"/>
                <w:szCs w:val="21"/>
              </w:rPr>
              <w:t>2</w:t>
            </w:r>
          </w:p>
        </w:tc>
        <w:tc>
          <w:tcPr>
            <w:tcW w:w="2727" w:type="pct"/>
            <w:noWrap w:val="0"/>
            <w:vAlign w:val="center"/>
          </w:tcPr>
          <w:p>
            <w:pPr>
              <w:rPr>
                <w:rFonts w:ascii="Times New Roman" w:hAnsi="Times New Roman"/>
                <w:szCs w:val="21"/>
              </w:rPr>
            </w:pPr>
            <w:r>
              <w:rPr>
                <w:rFonts w:ascii="Times New Roman" w:hAnsi="Times New Roman"/>
                <w:szCs w:val="21"/>
              </w:rPr>
              <w:t>建筑结构与建筑设备管线分离</w:t>
            </w:r>
          </w:p>
        </w:tc>
        <w:tc>
          <w:tcPr>
            <w:tcW w:w="984" w:type="pct"/>
            <w:noWrap w:val="0"/>
            <w:vAlign w:val="center"/>
          </w:tcPr>
          <w:p>
            <w:pPr>
              <w:jc w:val="center"/>
              <w:rPr>
                <w:rFonts w:ascii="Times New Roman" w:hAnsi="Times New Roman"/>
                <w:szCs w:val="21"/>
              </w:rPr>
            </w:pPr>
            <w:r>
              <w:rPr>
                <w:rFonts w:ascii="Times New Roman" w:hAnsi="Times New Roman"/>
                <w:szCs w:val="21"/>
              </w:rPr>
              <w:t>7</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center"/>
          </w:tcPr>
          <w:p>
            <w:pPr>
              <w:jc w:val="center"/>
              <w:rPr>
                <w:rFonts w:ascii="Times New Roman" w:hAnsi="Times New Roman"/>
                <w:szCs w:val="21"/>
              </w:rPr>
            </w:pPr>
            <w:r>
              <w:rPr>
                <w:rFonts w:ascii="Times New Roman" w:hAnsi="Times New Roman"/>
                <w:szCs w:val="21"/>
              </w:rPr>
              <w:t>3</w:t>
            </w:r>
          </w:p>
        </w:tc>
        <w:tc>
          <w:tcPr>
            <w:tcW w:w="2727" w:type="pct"/>
            <w:noWrap w:val="0"/>
            <w:vAlign w:val="center"/>
          </w:tcPr>
          <w:p>
            <w:pPr>
              <w:rPr>
                <w:rFonts w:ascii="Times New Roman" w:hAnsi="Times New Roman"/>
                <w:szCs w:val="21"/>
              </w:rPr>
            </w:pPr>
            <w:r>
              <w:rPr>
                <w:rFonts w:ascii="Times New Roman" w:hAnsi="Times New Roman"/>
                <w:szCs w:val="21"/>
              </w:rPr>
              <w:t>采用与建筑功能和空间变化相适应的设备设施布置方式或控制方式</w:t>
            </w:r>
          </w:p>
        </w:tc>
        <w:tc>
          <w:tcPr>
            <w:tcW w:w="984" w:type="pct"/>
            <w:noWrap w:val="0"/>
            <w:vAlign w:val="center"/>
          </w:tcPr>
          <w:p>
            <w:pPr>
              <w:jc w:val="center"/>
              <w:rPr>
                <w:rFonts w:ascii="Times New Roman" w:hAnsi="Times New Roman"/>
                <w:szCs w:val="21"/>
              </w:rPr>
            </w:pPr>
            <w:r>
              <w:rPr>
                <w:rFonts w:ascii="Times New Roman" w:hAnsi="Times New Roman"/>
                <w:szCs w:val="21"/>
              </w:rPr>
              <w:t>4</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182" w:type="pct"/>
            <w:gridSpan w:val="2"/>
            <w:noWrap w:val="0"/>
            <w:vAlign w:val="center"/>
          </w:tcPr>
          <w:p>
            <w:pPr>
              <w:jc w:val="center"/>
              <w:rPr>
                <w:rFonts w:ascii="Times New Roman" w:hAnsi="Times New Roman"/>
                <w:szCs w:val="21"/>
              </w:rPr>
            </w:pPr>
            <w:r>
              <w:rPr>
                <w:rFonts w:ascii="Times New Roman" w:hAnsi="Times New Roman"/>
                <w:szCs w:val="21"/>
              </w:rPr>
              <w:t>合计</w:t>
            </w:r>
          </w:p>
        </w:tc>
        <w:tc>
          <w:tcPr>
            <w:tcW w:w="984" w:type="pct"/>
            <w:noWrap w:val="0"/>
            <w:vAlign w:val="center"/>
          </w:tcPr>
          <w:p>
            <w:pPr>
              <w:jc w:val="center"/>
              <w:rPr>
                <w:rFonts w:ascii="Times New Roman" w:hAnsi="Times New Roman"/>
                <w:szCs w:val="21"/>
              </w:rPr>
            </w:pPr>
            <w:r>
              <w:rPr>
                <w:rFonts w:ascii="Times New Roman" w:hAnsi="Times New Roman"/>
                <w:szCs w:val="21"/>
              </w:rPr>
              <w:t>18</w:t>
            </w:r>
          </w:p>
        </w:tc>
        <w:tc>
          <w:tcPr>
            <w:tcW w:w="834"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1"/>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5" w:type="pct"/>
            <w:noWrap w:val="0"/>
            <w:vAlign w:val="top"/>
          </w:tcPr>
          <w:p>
            <w:pPr>
              <w:jc w:val="center"/>
              <w:rPr>
                <w:rFonts w:ascii="Times New Roman" w:hAnsi="Times New Roman"/>
                <w:szCs w:val="21"/>
              </w:rPr>
            </w:pPr>
            <w:r>
              <w:rPr>
                <w:rFonts w:ascii="Times New Roman" w:hAnsi="Times New Roman"/>
                <w:szCs w:val="21"/>
              </w:rPr>
              <w:t>类型</w:t>
            </w:r>
          </w:p>
        </w:tc>
        <w:tc>
          <w:tcPr>
            <w:tcW w:w="2575" w:type="pct"/>
            <w:noWrap w:val="0"/>
            <w:vAlign w:val="top"/>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5" w:type="pct"/>
            <w:noWrap w:val="0"/>
            <w:vAlign w:val="top"/>
          </w:tcPr>
          <w:p>
            <w:pPr>
              <w:rPr>
                <w:rFonts w:ascii="Times New Roman" w:hAnsi="Times New Roman"/>
                <w:szCs w:val="21"/>
              </w:rPr>
            </w:pPr>
            <w:r>
              <w:rPr>
                <w:rFonts w:hint="eastAsia" w:ascii="Times New Roman" w:hAnsi="Times New Roman"/>
                <w:szCs w:val="21"/>
              </w:rPr>
              <w:t>灵活</w:t>
            </w:r>
            <w:r>
              <w:rPr>
                <w:rFonts w:ascii="Times New Roman" w:hAnsi="Times New Roman"/>
                <w:szCs w:val="21"/>
              </w:rPr>
              <w:t>可变空间占建筑面积比例</w:t>
            </w:r>
          </w:p>
        </w:tc>
        <w:tc>
          <w:tcPr>
            <w:tcW w:w="2575" w:type="pct"/>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5" w:type="pct"/>
            <w:noWrap w:val="0"/>
            <w:vAlign w:val="top"/>
          </w:tcPr>
          <w:p>
            <w:pPr>
              <w:rPr>
                <w:rFonts w:ascii="Times New Roman" w:hAnsi="Times New Roman"/>
                <w:szCs w:val="21"/>
              </w:rPr>
            </w:pPr>
            <w:r>
              <w:rPr>
                <w:rFonts w:hint="eastAsia" w:ascii="Times New Roman" w:hAnsi="Times New Roman"/>
                <w:szCs w:val="21"/>
              </w:rPr>
              <w:t>是否管线分离</w:t>
            </w:r>
          </w:p>
        </w:tc>
        <w:tc>
          <w:tcPr>
            <w:tcW w:w="2575" w:type="pct"/>
            <w:noWrap w:val="0"/>
            <w:vAlign w:val="center"/>
          </w:tcPr>
          <w:p>
            <w:pPr>
              <w:jc w:val="center"/>
              <w:rPr>
                <w:rFonts w:ascii="Times New Roman" w:hAnsi="Times New Roman"/>
                <w:szCs w:val="21"/>
              </w:rPr>
            </w:pPr>
          </w:p>
        </w:tc>
      </w:tr>
    </w:tbl>
    <w:p>
      <w:pPr>
        <w:rPr>
          <w:rFonts w:ascii="Times New Roman" w:hAnsi="Times New Roman"/>
          <w:szCs w:val="21"/>
        </w:rPr>
      </w:pPr>
    </w:p>
    <w:p>
      <w:pPr>
        <w:rPr>
          <w:rFonts w:ascii="Times New Roman" w:hAnsi="Times New Roman"/>
          <w:szCs w:val="21"/>
        </w:rPr>
      </w:pPr>
      <w:r>
        <w:rPr>
          <w:rFonts w:hint="eastAsia" w:ascii="Times New Roman" w:hAnsi="Times New Roman"/>
          <w:szCs w:val="21"/>
        </w:rPr>
        <w:t>请对采取与建筑功能和空间变化相适应的设备设施布置方式或控制方式进行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）建筑适变性提升措施的专项设计说明；</w:t>
      </w:r>
    </w:p>
    <w:p>
      <w:pPr>
        <w:rPr>
          <w:rFonts w:ascii="Times New Roman" w:hAnsi="Times New Roman"/>
          <w:szCs w:val="21"/>
        </w:rPr>
      </w:pPr>
      <w:r>
        <w:rPr>
          <w:rFonts w:hint="eastAsia" w:ascii="Times New Roman" w:hAnsi="Times New Roman"/>
          <w:szCs w:val="21"/>
        </w:rPr>
        <w:t>2）建筑、结构、设备及装修设计相关竣工图。</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4.2.7</w:t>
      </w:r>
      <w:r>
        <w:rPr>
          <w:rFonts w:hint="eastAsia"/>
          <w:sz w:val="24"/>
          <w:szCs w:val="40"/>
        </w:rPr>
        <w:t xml:space="preserve"> </w:t>
      </w:r>
      <w:r>
        <w:rPr>
          <w:sz w:val="24"/>
          <w:szCs w:val="40"/>
        </w:rPr>
        <w:t>采取提升建筑部品部件耐久性的措施。（10分）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4796"/>
        <w:gridCol w:w="114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center"/>
          </w:tcPr>
          <w:p>
            <w:pPr>
              <w:jc w:val="center"/>
              <w:rPr>
                <w:rFonts w:ascii="Times New Roman" w:hAnsi="Times New Roman"/>
                <w:szCs w:val="21"/>
              </w:rPr>
            </w:pPr>
            <w:r>
              <w:rPr>
                <w:rFonts w:ascii="Times New Roman" w:hAnsi="Times New Roman"/>
                <w:szCs w:val="21"/>
              </w:rPr>
              <w:t>序号</w:t>
            </w:r>
          </w:p>
        </w:tc>
        <w:tc>
          <w:tcPr>
            <w:tcW w:w="2995" w:type="pct"/>
            <w:noWrap w:val="0"/>
            <w:vAlign w:val="center"/>
          </w:tcPr>
          <w:p>
            <w:pPr>
              <w:jc w:val="center"/>
              <w:rPr>
                <w:rFonts w:ascii="Times New Roman" w:hAnsi="Times New Roman"/>
                <w:szCs w:val="21"/>
              </w:rPr>
            </w:pPr>
            <w:r>
              <w:rPr>
                <w:rFonts w:ascii="Times New Roman" w:hAnsi="Times New Roman"/>
                <w:szCs w:val="21"/>
              </w:rPr>
              <w:t>评价内容</w:t>
            </w:r>
          </w:p>
        </w:tc>
        <w:tc>
          <w:tcPr>
            <w:tcW w:w="714" w:type="pct"/>
            <w:noWrap w:val="0"/>
            <w:vAlign w:val="center"/>
          </w:tcPr>
          <w:p>
            <w:pPr>
              <w:jc w:val="center"/>
              <w:rPr>
                <w:rFonts w:ascii="Times New Roman" w:hAnsi="Times New Roman"/>
                <w:szCs w:val="21"/>
              </w:rPr>
            </w:pPr>
            <w:r>
              <w:rPr>
                <w:rFonts w:ascii="Times New Roman" w:hAnsi="Times New Roman"/>
                <w:szCs w:val="21"/>
              </w:rPr>
              <w:t>评价分值</w:t>
            </w:r>
          </w:p>
        </w:tc>
        <w:tc>
          <w:tcPr>
            <w:tcW w:w="832"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center"/>
          </w:tcPr>
          <w:p>
            <w:pPr>
              <w:jc w:val="center"/>
              <w:rPr>
                <w:rFonts w:ascii="Times New Roman" w:hAnsi="Times New Roman"/>
                <w:szCs w:val="21"/>
              </w:rPr>
            </w:pPr>
            <w:r>
              <w:rPr>
                <w:rFonts w:ascii="Times New Roman" w:hAnsi="Times New Roman"/>
                <w:szCs w:val="21"/>
              </w:rPr>
              <w:t>1</w:t>
            </w:r>
          </w:p>
        </w:tc>
        <w:tc>
          <w:tcPr>
            <w:tcW w:w="2995" w:type="pct"/>
            <w:noWrap w:val="0"/>
            <w:vAlign w:val="center"/>
          </w:tcPr>
          <w:p>
            <w:pPr>
              <w:rPr>
                <w:rFonts w:ascii="Times New Roman" w:hAnsi="Times New Roman"/>
                <w:szCs w:val="21"/>
              </w:rPr>
            </w:pPr>
            <w:r>
              <w:rPr>
                <w:rFonts w:ascii="Times New Roman" w:hAnsi="Times New Roman"/>
                <w:szCs w:val="21"/>
              </w:rPr>
              <w:t>使用耐腐蚀、抗老化、耐久性能好的管材、管线、管件</w:t>
            </w:r>
          </w:p>
        </w:tc>
        <w:tc>
          <w:tcPr>
            <w:tcW w:w="714" w:type="pct"/>
            <w:noWrap w:val="0"/>
            <w:vAlign w:val="center"/>
          </w:tcPr>
          <w:p>
            <w:pPr>
              <w:jc w:val="center"/>
              <w:rPr>
                <w:rFonts w:ascii="Times New Roman" w:hAnsi="Times New Roman"/>
                <w:szCs w:val="21"/>
              </w:rPr>
            </w:pPr>
            <w:r>
              <w:rPr>
                <w:rFonts w:ascii="Times New Roman" w:hAnsi="Times New Roman"/>
                <w:szCs w:val="21"/>
              </w:rPr>
              <w:t>5</w:t>
            </w:r>
          </w:p>
        </w:tc>
        <w:tc>
          <w:tcPr>
            <w:tcW w:w="832"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center"/>
          </w:tcPr>
          <w:p>
            <w:pPr>
              <w:jc w:val="center"/>
              <w:rPr>
                <w:rFonts w:ascii="Times New Roman" w:hAnsi="Times New Roman"/>
                <w:szCs w:val="21"/>
              </w:rPr>
            </w:pPr>
            <w:r>
              <w:rPr>
                <w:rFonts w:ascii="Times New Roman" w:hAnsi="Times New Roman"/>
                <w:szCs w:val="21"/>
              </w:rPr>
              <w:t>2</w:t>
            </w:r>
          </w:p>
        </w:tc>
        <w:tc>
          <w:tcPr>
            <w:tcW w:w="2995" w:type="pct"/>
            <w:noWrap w:val="0"/>
            <w:vAlign w:val="center"/>
          </w:tcPr>
          <w:p>
            <w:pPr>
              <w:rPr>
                <w:rFonts w:ascii="Times New Roman" w:hAnsi="Times New Roman"/>
                <w:szCs w:val="21"/>
              </w:rPr>
            </w:pPr>
            <w:r>
              <w:rPr>
                <w:rFonts w:ascii="Times New Roman" w:hAnsi="Times New Roman"/>
                <w:szCs w:val="21"/>
              </w:rPr>
              <w:t>活动配件选用长寿命产品，并考虑部品组合的同寿命性；不同使用寿命的部品组合时，采用便于分别拆换、更新和升级的构造</w:t>
            </w:r>
          </w:p>
        </w:tc>
        <w:tc>
          <w:tcPr>
            <w:tcW w:w="714" w:type="pct"/>
            <w:noWrap w:val="0"/>
            <w:vAlign w:val="center"/>
          </w:tcPr>
          <w:p>
            <w:pPr>
              <w:jc w:val="center"/>
              <w:rPr>
                <w:rFonts w:ascii="Times New Roman" w:hAnsi="Times New Roman"/>
                <w:szCs w:val="21"/>
              </w:rPr>
            </w:pPr>
            <w:r>
              <w:rPr>
                <w:rFonts w:ascii="Times New Roman" w:hAnsi="Times New Roman"/>
                <w:szCs w:val="21"/>
              </w:rPr>
              <w:t>5</w:t>
            </w:r>
          </w:p>
        </w:tc>
        <w:tc>
          <w:tcPr>
            <w:tcW w:w="832"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454" w:type="pct"/>
            <w:gridSpan w:val="2"/>
            <w:noWrap w:val="0"/>
            <w:vAlign w:val="center"/>
          </w:tcPr>
          <w:p>
            <w:pPr>
              <w:jc w:val="center"/>
              <w:rPr>
                <w:rFonts w:ascii="Times New Roman" w:hAnsi="Times New Roman"/>
                <w:szCs w:val="21"/>
              </w:rPr>
            </w:pPr>
            <w:r>
              <w:rPr>
                <w:rFonts w:ascii="Times New Roman" w:hAnsi="Times New Roman"/>
                <w:szCs w:val="21"/>
              </w:rPr>
              <w:t>合计</w:t>
            </w:r>
          </w:p>
        </w:tc>
        <w:tc>
          <w:tcPr>
            <w:tcW w:w="714" w:type="pct"/>
            <w:noWrap w:val="0"/>
            <w:vAlign w:val="center"/>
          </w:tcPr>
          <w:p>
            <w:pPr>
              <w:jc w:val="center"/>
              <w:rPr>
                <w:rFonts w:ascii="Times New Roman" w:hAnsi="Times New Roman"/>
                <w:szCs w:val="21"/>
              </w:rPr>
            </w:pPr>
            <w:r>
              <w:rPr>
                <w:rFonts w:ascii="Times New Roman" w:hAnsi="Times New Roman"/>
                <w:szCs w:val="21"/>
              </w:rPr>
              <w:t>10</w:t>
            </w:r>
          </w:p>
        </w:tc>
        <w:tc>
          <w:tcPr>
            <w:tcW w:w="832"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2"/>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36" w:type="dxa"/>
            <w:noWrap w:val="0"/>
            <w:vAlign w:val="center"/>
          </w:tcPr>
          <w:p>
            <w:pPr>
              <w:jc w:val="center"/>
              <w:rPr>
                <w:rFonts w:ascii="Times New Roman" w:hAnsi="Times New Roman"/>
                <w:szCs w:val="21"/>
              </w:rPr>
            </w:pPr>
            <w:r>
              <w:rPr>
                <w:rFonts w:ascii="Times New Roman" w:hAnsi="Times New Roman"/>
                <w:szCs w:val="21"/>
              </w:rPr>
              <w:t>类型</w:t>
            </w:r>
          </w:p>
        </w:tc>
        <w:tc>
          <w:tcPr>
            <w:tcW w:w="4820" w:type="dxa"/>
            <w:noWrap w:val="0"/>
            <w:vAlign w:val="center"/>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36" w:type="dxa"/>
            <w:noWrap w:val="0"/>
            <w:vAlign w:val="center"/>
          </w:tcPr>
          <w:p>
            <w:pPr>
              <w:rPr>
                <w:rFonts w:ascii="Times New Roman" w:hAnsi="Times New Roman"/>
                <w:szCs w:val="21"/>
              </w:rPr>
            </w:pPr>
            <w:r>
              <w:rPr>
                <w:rFonts w:hint="eastAsia" w:ascii="Times New Roman" w:hAnsi="Times New Roman"/>
                <w:szCs w:val="21"/>
              </w:rPr>
              <w:t>管材</w:t>
            </w:r>
          </w:p>
        </w:tc>
        <w:tc>
          <w:tcPr>
            <w:tcW w:w="4820" w:type="dxa"/>
            <w:noWrap w:val="0"/>
            <w:vAlign w:val="center"/>
          </w:tcPr>
          <w:p>
            <w:pPr>
              <w:rPr>
                <w:rFonts w:ascii="Times New Roman" w:hAnsi="Times New Roman"/>
                <w:szCs w:val="21"/>
              </w:rPr>
            </w:pPr>
            <w:r>
              <w:rPr>
                <w:rFonts w:hint="eastAsia"/>
                <w:sz w:val="28"/>
              </w:rPr>
              <w:sym w:font="Wingdings 2" w:char="F0A3"/>
            </w:r>
            <w:r>
              <w:rPr>
                <w:rFonts w:hint="eastAsia" w:ascii="Times New Roman" w:hAnsi="Times New Roman"/>
                <w:szCs w:val="21"/>
              </w:rPr>
              <w:t xml:space="preserve">耐腐蚀 </w:t>
            </w:r>
            <w:r>
              <w:rPr>
                <w:rFonts w:hint="eastAsia"/>
                <w:sz w:val="28"/>
              </w:rPr>
              <w:sym w:font="Wingdings 2" w:char="F0A3"/>
            </w:r>
            <w:r>
              <w:rPr>
                <w:rFonts w:hint="eastAsia" w:ascii="Times New Roman" w:hAnsi="Times New Roman"/>
                <w:szCs w:val="21"/>
              </w:rPr>
              <w:t xml:space="preserve">抗老化 </w:t>
            </w:r>
            <w:r>
              <w:rPr>
                <w:rFonts w:hint="eastAsia"/>
                <w:sz w:val="28"/>
              </w:rPr>
              <w:sym w:font="Wingdings 2" w:char="F0A3"/>
            </w:r>
            <w:r>
              <w:rPr>
                <w:rFonts w:hint="eastAsia" w:ascii="Times New Roman" w:hAnsi="Times New Roman"/>
                <w:szCs w:val="21"/>
              </w:rPr>
              <w:t>耐久性能好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36" w:type="dxa"/>
            <w:noWrap w:val="0"/>
            <w:vAlign w:val="center"/>
          </w:tcPr>
          <w:p>
            <w:pPr>
              <w:rPr>
                <w:rFonts w:ascii="Times New Roman" w:hAnsi="Times New Roman"/>
                <w:szCs w:val="21"/>
              </w:rPr>
            </w:pPr>
            <w:r>
              <w:rPr>
                <w:rFonts w:hint="eastAsia" w:ascii="Times New Roman" w:hAnsi="Times New Roman"/>
                <w:szCs w:val="21"/>
              </w:rPr>
              <w:t>管线</w:t>
            </w:r>
          </w:p>
        </w:tc>
        <w:tc>
          <w:tcPr>
            <w:tcW w:w="4820" w:type="dxa"/>
            <w:noWrap w:val="0"/>
            <w:vAlign w:val="center"/>
          </w:tcPr>
          <w:p>
            <w:pPr>
              <w:rPr>
                <w:rFonts w:ascii="Times New Roman" w:hAnsi="Times New Roman"/>
                <w:szCs w:val="21"/>
              </w:rPr>
            </w:pPr>
            <w:r>
              <w:rPr>
                <w:rFonts w:hint="eastAsia"/>
                <w:sz w:val="28"/>
              </w:rPr>
              <w:sym w:font="Wingdings 2" w:char="F0A3"/>
            </w:r>
            <w:r>
              <w:rPr>
                <w:rFonts w:hint="eastAsia" w:ascii="Times New Roman" w:hAnsi="Times New Roman"/>
                <w:szCs w:val="21"/>
              </w:rPr>
              <w:t xml:space="preserve">耐腐蚀 </w:t>
            </w:r>
            <w:r>
              <w:rPr>
                <w:rFonts w:hint="eastAsia"/>
                <w:sz w:val="28"/>
              </w:rPr>
              <w:sym w:font="Wingdings 2" w:char="F0A3"/>
            </w:r>
            <w:r>
              <w:rPr>
                <w:rFonts w:hint="eastAsia" w:ascii="Times New Roman" w:hAnsi="Times New Roman"/>
                <w:szCs w:val="21"/>
              </w:rPr>
              <w:t xml:space="preserve">抗老化 </w:t>
            </w:r>
            <w:r>
              <w:rPr>
                <w:rFonts w:hint="eastAsia"/>
                <w:sz w:val="28"/>
              </w:rPr>
              <w:sym w:font="Wingdings 2" w:char="F0A3"/>
            </w:r>
            <w:r>
              <w:rPr>
                <w:rFonts w:hint="eastAsia" w:ascii="Times New Roman" w:hAnsi="Times New Roman"/>
                <w:szCs w:val="21"/>
              </w:rPr>
              <w:t>耐久性能好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36" w:type="dxa"/>
            <w:noWrap w:val="0"/>
            <w:vAlign w:val="center"/>
          </w:tcPr>
          <w:p>
            <w:pPr>
              <w:rPr>
                <w:rFonts w:ascii="Times New Roman" w:hAnsi="Times New Roman"/>
                <w:szCs w:val="21"/>
              </w:rPr>
            </w:pPr>
            <w:r>
              <w:rPr>
                <w:rFonts w:hint="eastAsia" w:ascii="Times New Roman" w:hAnsi="Times New Roman"/>
                <w:szCs w:val="21"/>
              </w:rPr>
              <w:t>管件</w:t>
            </w:r>
          </w:p>
        </w:tc>
        <w:tc>
          <w:tcPr>
            <w:tcW w:w="4820" w:type="dxa"/>
            <w:noWrap w:val="0"/>
            <w:vAlign w:val="center"/>
          </w:tcPr>
          <w:p>
            <w:pPr>
              <w:rPr>
                <w:rFonts w:ascii="Times New Roman" w:hAnsi="Times New Roman"/>
                <w:szCs w:val="21"/>
              </w:rPr>
            </w:pPr>
            <w:r>
              <w:rPr>
                <w:rFonts w:hint="eastAsia"/>
                <w:sz w:val="28"/>
              </w:rPr>
              <w:sym w:font="Wingdings 2" w:char="F0A3"/>
            </w:r>
            <w:r>
              <w:rPr>
                <w:rFonts w:hint="eastAsia" w:ascii="Times New Roman" w:hAnsi="Times New Roman"/>
                <w:szCs w:val="21"/>
              </w:rPr>
              <w:t xml:space="preserve">耐腐蚀 </w:t>
            </w:r>
            <w:r>
              <w:rPr>
                <w:rFonts w:hint="eastAsia"/>
                <w:sz w:val="28"/>
              </w:rPr>
              <w:sym w:font="Wingdings 2" w:char="F0A3"/>
            </w:r>
            <w:r>
              <w:rPr>
                <w:rFonts w:hint="eastAsia" w:ascii="Times New Roman" w:hAnsi="Times New Roman"/>
                <w:szCs w:val="21"/>
              </w:rPr>
              <w:t xml:space="preserve">抗老化 </w:t>
            </w:r>
            <w:r>
              <w:rPr>
                <w:rFonts w:hint="eastAsia"/>
                <w:sz w:val="28"/>
              </w:rPr>
              <w:sym w:font="Wingdings 2" w:char="F0A3"/>
            </w:r>
            <w:r>
              <w:rPr>
                <w:rFonts w:hint="eastAsia" w:ascii="Times New Roman" w:hAnsi="Times New Roman"/>
                <w:szCs w:val="21"/>
              </w:rPr>
              <w:t>耐久性能好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36" w:type="dxa"/>
            <w:noWrap w:val="0"/>
            <w:vAlign w:val="center"/>
          </w:tcPr>
          <w:p>
            <w:pPr>
              <w:rPr>
                <w:rFonts w:ascii="Times New Roman" w:hAnsi="Times New Roman"/>
                <w:szCs w:val="21"/>
              </w:rPr>
            </w:pPr>
            <w:r>
              <w:rPr>
                <w:rFonts w:hint="eastAsia" w:ascii="Times New Roman" w:hAnsi="Times New Roman"/>
                <w:szCs w:val="21"/>
              </w:rPr>
              <w:t>活动配件部品组合</w:t>
            </w:r>
            <w:r>
              <w:rPr>
                <w:rFonts w:ascii="Times New Roman" w:hAnsi="Times New Roman"/>
                <w:szCs w:val="21"/>
              </w:rPr>
              <w:t>寿命</w:t>
            </w:r>
          </w:p>
        </w:tc>
        <w:tc>
          <w:tcPr>
            <w:tcW w:w="4820" w:type="dxa"/>
            <w:noWrap w:val="0"/>
            <w:vAlign w:val="center"/>
          </w:tcPr>
          <w:p>
            <w:pPr>
              <w:rPr>
                <w:rFonts w:ascii="Times New Roman" w:hAnsi="Times New Roman"/>
                <w:szCs w:val="21"/>
              </w:rPr>
            </w:pPr>
            <w:r>
              <w:rPr>
                <w:rFonts w:hint="eastAsia" w:ascii="Times New Roman" w:hAnsi="Times New Roman"/>
                <w:szCs w:val="21"/>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36" w:type="dxa"/>
            <w:noWrap w:val="0"/>
            <w:vAlign w:val="center"/>
          </w:tcPr>
          <w:p>
            <w:pPr>
              <w:rPr>
                <w:rFonts w:ascii="Times New Roman" w:hAnsi="Times New Roman"/>
                <w:szCs w:val="21"/>
              </w:rPr>
            </w:pPr>
            <w:r>
              <w:rPr>
                <w:rFonts w:hint="eastAsia" w:ascii="Times New Roman" w:hAnsi="Times New Roman"/>
                <w:szCs w:val="21"/>
              </w:rPr>
              <w:t>不同使用寿命的部品组合</w:t>
            </w:r>
          </w:p>
        </w:tc>
        <w:tc>
          <w:tcPr>
            <w:tcW w:w="4820" w:type="dxa"/>
            <w:noWrap w:val="0"/>
            <w:vAlign w:val="center"/>
          </w:tcPr>
          <w:p>
            <w:pPr>
              <w:rPr>
                <w:rFonts w:ascii="Times New Roman" w:hAnsi="Times New Roman"/>
                <w:szCs w:val="21"/>
              </w:rPr>
            </w:pPr>
            <w:r>
              <w:rPr>
                <w:rFonts w:hint="eastAsia"/>
                <w:sz w:val="28"/>
              </w:rPr>
              <w:sym w:font="Wingdings 2" w:char="F0A3"/>
            </w:r>
            <w:r>
              <w:rPr>
                <w:rFonts w:hint="eastAsia" w:ascii="Times New Roman" w:hAnsi="Times New Roman"/>
                <w:szCs w:val="21"/>
              </w:rPr>
              <w:t xml:space="preserve">便于分别拆换 </w:t>
            </w:r>
            <w:r>
              <w:rPr>
                <w:rFonts w:hint="eastAsia"/>
                <w:sz w:val="28"/>
              </w:rPr>
              <w:sym w:font="Wingdings 2" w:char="F0A3"/>
            </w:r>
            <w:r>
              <w:rPr>
                <w:rFonts w:hint="eastAsia" w:ascii="Times New Roman" w:hAnsi="Times New Roman"/>
                <w:szCs w:val="21"/>
              </w:rPr>
              <w:t>更新</w:t>
            </w:r>
            <w:r>
              <w:rPr>
                <w:rFonts w:hint="eastAsia"/>
                <w:sz w:val="28"/>
              </w:rPr>
              <w:t xml:space="preserve"> </w:t>
            </w:r>
            <w:r>
              <w:rPr>
                <w:rFonts w:hint="eastAsia"/>
                <w:sz w:val="28"/>
              </w:rPr>
              <w:sym w:font="Wingdings 2" w:char="F0A3"/>
            </w:r>
            <w:r>
              <w:rPr>
                <w:rFonts w:hint="eastAsia" w:ascii="Times New Roman" w:hAnsi="Times New Roman"/>
                <w:szCs w:val="21"/>
              </w:rPr>
              <w:t>升级</w:t>
            </w:r>
          </w:p>
        </w:tc>
      </w:tr>
    </w:tbl>
    <w:p>
      <w:pPr>
        <w:rPr>
          <w:rFonts w:ascii="Times New Roman" w:hAnsi="Times New Roman"/>
          <w:szCs w:val="21"/>
        </w:rPr>
      </w:pPr>
    </w:p>
    <w:p>
      <w:pPr>
        <w:rPr>
          <w:rFonts w:ascii="Times New Roman" w:hAnsi="Times New Roman"/>
          <w:szCs w:val="21"/>
        </w:rPr>
      </w:pPr>
      <w:r>
        <w:rPr>
          <w:rFonts w:hint="eastAsia" w:ascii="Times New Roman" w:hAnsi="Times New Roman"/>
          <w:szCs w:val="21"/>
        </w:rPr>
        <w:t>请</w:t>
      </w:r>
      <w:r>
        <w:rPr>
          <w:rFonts w:ascii="Times New Roman" w:hAnsi="Times New Roman"/>
          <w:szCs w:val="21"/>
        </w:rPr>
        <w:t>简要说明</w:t>
      </w:r>
      <w:r>
        <w:rPr>
          <w:rFonts w:hint="eastAsia" w:ascii="Times New Roman" w:hAnsi="Times New Roman"/>
          <w:szCs w:val="21"/>
        </w:rPr>
        <w:t>采取的提升建筑部品构件耐久性的具体措施：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8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生活及中水给水管采用优质PP-R管，热水管采用热水型管材，采用热熔连接。室内排水管(含出户管)采用UPVC塑料排水管，承插粘接。室外埋地管采用HDPE双壁波纹排水管，胶圈承插接口。承压排水管采用给水PE管，热熔连接。给水管DN&lt;50采用截止阀，DN&gt;50采用碟阀或闸阀。消防管阀门采用碟阀或闸阀，且有明显的开启标志。</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spacing w:line="280" w:lineRule="exact"/>
        <w:rPr>
          <w:rFonts w:ascii="Times New Roman" w:hAnsi="Times New Roman"/>
          <w:szCs w:val="21"/>
        </w:rPr>
      </w:pPr>
      <w:r>
        <w:rPr>
          <w:rFonts w:ascii="Times New Roman" w:hAnsi="Times New Roman"/>
          <w:szCs w:val="21"/>
        </w:rPr>
        <w:t>提交材料及要求：</w:t>
      </w:r>
    </w:p>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）相关建筑、给排水、装修竣工图纸及设计说明；</w:t>
      </w:r>
    </w:p>
    <w:p>
      <w:pPr>
        <w:spacing w:line="280" w:lineRule="exact"/>
        <w:rPr>
          <w:rFonts w:ascii="Times New Roman" w:hAnsi="Times New Roman"/>
          <w:szCs w:val="21"/>
        </w:rPr>
      </w:pPr>
      <w:r>
        <w:rPr>
          <w:rFonts w:ascii="Times New Roman" w:hAnsi="Times New Roman"/>
          <w:szCs w:val="21"/>
        </w:rPr>
        <w:t>2</w:t>
      </w:r>
      <w:r>
        <w:rPr>
          <w:rFonts w:hint="eastAsia" w:ascii="Times New Roman" w:hAnsi="Times New Roman"/>
          <w:szCs w:val="21"/>
        </w:rPr>
        <w:t>）材料决算清单</w:t>
      </w:r>
      <w:r>
        <w:rPr>
          <w:rFonts w:ascii="Times New Roman" w:hAnsi="Times New Roman"/>
          <w:szCs w:val="21"/>
        </w:rPr>
        <w:t>、</w:t>
      </w:r>
      <w:r>
        <w:rPr>
          <w:rFonts w:hint="eastAsia" w:ascii="Times New Roman" w:hAnsi="Times New Roman"/>
          <w:szCs w:val="21"/>
        </w:rPr>
        <w:t>相关产品</w:t>
      </w:r>
      <w:r>
        <w:rPr>
          <w:rFonts w:ascii="Times New Roman" w:hAnsi="Times New Roman"/>
          <w:szCs w:val="21"/>
        </w:rPr>
        <w:t>说明书或检测报告</w:t>
      </w:r>
      <w:r>
        <w:rPr>
          <w:rFonts w:hint="eastAsia" w:ascii="Times New Roman" w:hAnsi="Times New Roman"/>
          <w:szCs w:val="21"/>
        </w:rPr>
        <w:t>。</w:t>
      </w:r>
    </w:p>
    <w:p>
      <w:pPr>
        <w:spacing w:line="280" w:lineRule="exact"/>
        <w:rPr>
          <w:rFonts w:ascii="Times New Roman" w:hAnsi="Times New Roman"/>
          <w:szCs w:val="21"/>
        </w:rPr>
      </w:pPr>
    </w:p>
    <w:p>
      <w:pPr>
        <w:spacing w:line="280" w:lineRule="exac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4.2.8</w:t>
      </w:r>
      <w:r>
        <w:rPr>
          <w:rFonts w:hint="eastAsia"/>
          <w:sz w:val="24"/>
          <w:szCs w:val="40"/>
        </w:rPr>
        <w:t xml:space="preserve"> </w:t>
      </w:r>
      <w:r>
        <w:rPr>
          <w:sz w:val="24"/>
          <w:szCs w:val="40"/>
        </w:rPr>
        <w:t>提高建筑结构材料的耐久性。（10分）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4396"/>
        <w:gridCol w:w="113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4" w:type="pct"/>
            <w:noWrap w:val="0"/>
            <w:vAlign w:val="center"/>
          </w:tcPr>
          <w:p>
            <w:pPr>
              <w:jc w:val="center"/>
              <w:rPr>
                <w:rFonts w:ascii="Times New Roman" w:hAnsi="Times New Roman"/>
                <w:szCs w:val="21"/>
              </w:rPr>
            </w:pPr>
            <w:r>
              <w:rPr>
                <w:rFonts w:ascii="Times New Roman" w:hAnsi="Times New Roman"/>
                <w:szCs w:val="21"/>
              </w:rPr>
              <w:t>序号</w:t>
            </w:r>
          </w:p>
        </w:tc>
        <w:tc>
          <w:tcPr>
            <w:tcW w:w="3221" w:type="pct"/>
            <w:gridSpan w:val="2"/>
            <w:noWrap w:val="0"/>
            <w:vAlign w:val="center"/>
          </w:tcPr>
          <w:p>
            <w:pPr>
              <w:jc w:val="center"/>
              <w:rPr>
                <w:rFonts w:ascii="Times New Roman" w:hAnsi="Times New Roman"/>
                <w:szCs w:val="21"/>
              </w:rPr>
            </w:pPr>
            <w:r>
              <w:rPr>
                <w:rFonts w:ascii="Times New Roman" w:hAnsi="Times New Roman"/>
                <w:szCs w:val="21"/>
              </w:rPr>
              <w:t>评价内容</w:t>
            </w:r>
          </w:p>
        </w:tc>
        <w:tc>
          <w:tcPr>
            <w:tcW w:w="677" w:type="pct"/>
            <w:noWrap w:val="0"/>
            <w:vAlign w:val="center"/>
          </w:tcPr>
          <w:p>
            <w:pPr>
              <w:jc w:val="center"/>
              <w:rPr>
                <w:rFonts w:ascii="Times New Roman" w:hAnsi="Times New Roman"/>
                <w:szCs w:val="21"/>
              </w:rPr>
            </w:pPr>
            <w:r>
              <w:rPr>
                <w:rFonts w:ascii="Times New Roman" w:hAnsi="Times New Roman"/>
                <w:szCs w:val="21"/>
              </w:rPr>
              <w:t>评价分值</w:t>
            </w:r>
          </w:p>
        </w:tc>
        <w:tc>
          <w:tcPr>
            <w:tcW w:w="678"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4" w:type="pct"/>
            <w:noWrap w:val="0"/>
            <w:vAlign w:val="center"/>
          </w:tcPr>
          <w:p>
            <w:pPr>
              <w:jc w:val="center"/>
              <w:rPr>
                <w:rFonts w:ascii="Times New Roman" w:hAnsi="Times New Roman"/>
                <w:szCs w:val="21"/>
              </w:rPr>
            </w:pPr>
            <w:r>
              <w:rPr>
                <w:rFonts w:ascii="Times New Roman" w:hAnsi="Times New Roman"/>
                <w:szCs w:val="21"/>
              </w:rPr>
              <w:t>1</w:t>
            </w:r>
          </w:p>
        </w:tc>
        <w:tc>
          <w:tcPr>
            <w:tcW w:w="3221" w:type="pct"/>
            <w:gridSpan w:val="2"/>
            <w:noWrap w:val="0"/>
            <w:vAlign w:val="center"/>
          </w:tcPr>
          <w:p>
            <w:pPr>
              <w:rPr>
                <w:rFonts w:ascii="Times New Roman" w:hAnsi="Times New Roman"/>
                <w:szCs w:val="21"/>
              </w:rPr>
            </w:pPr>
            <w:r>
              <w:rPr>
                <w:rFonts w:hint="eastAsia" w:ascii="宋体" w:hAnsi="宋体"/>
                <w:szCs w:val="21"/>
              </w:rPr>
              <w:t>□</w:t>
            </w:r>
            <w:r>
              <w:rPr>
                <w:rFonts w:ascii="Times New Roman" w:hAnsi="Times New Roman"/>
                <w:szCs w:val="21"/>
              </w:rPr>
              <w:t>按100年进行耐久性设计</w:t>
            </w:r>
          </w:p>
        </w:tc>
        <w:tc>
          <w:tcPr>
            <w:tcW w:w="677" w:type="pct"/>
            <w:noWrap w:val="0"/>
            <w:vAlign w:val="center"/>
          </w:tcPr>
          <w:p>
            <w:pPr>
              <w:jc w:val="center"/>
              <w:rPr>
                <w:rFonts w:ascii="Times New Roman" w:hAnsi="Times New Roman"/>
                <w:szCs w:val="21"/>
              </w:rPr>
            </w:pPr>
            <w:r>
              <w:rPr>
                <w:rFonts w:ascii="Times New Roman" w:hAnsi="Times New Roman"/>
                <w:szCs w:val="21"/>
              </w:rPr>
              <w:t>10</w:t>
            </w:r>
          </w:p>
        </w:tc>
        <w:tc>
          <w:tcPr>
            <w:tcW w:w="678" w:type="pct"/>
            <w:vMerge w:val="restar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4" w:type="pct"/>
            <w:vMerge w:val="restart"/>
            <w:noWrap w:val="0"/>
            <w:vAlign w:val="center"/>
          </w:tcPr>
          <w:p>
            <w:pPr>
              <w:jc w:val="center"/>
              <w:rPr>
                <w:rFonts w:ascii="Times New Roman" w:hAnsi="Times New Roman"/>
                <w:szCs w:val="21"/>
              </w:rPr>
            </w:pPr>
            <w:r>
              <w:rPr>
                <w:rFonts w:ascii="Times New Roman" w:hAnsi="Times New Roman"/>
                <w:szCs w:val="21"/>
              </w:rPr>
              <w:t>2</w:t>
            </w:r>
          </w:p>
        </w:tc>
        <w:tc>
          <w:tcPr>
            <w:tcW w:w="593" w:type="pct"/>
            <w:vMerge w:val="restart"/>
            <w:noWrap w:val="0"/>
            <w:vAlign w:val="center"/>
          </w:tcPr>
          <w:p>
            <w:pPr>
              <w:rPr>
                <w:rFonts w:ascii="Times New Roman" w:hAnsi="Times New Roman"/>
                <w:szCs w:val="21"/>
              </w:rPr>
            </w:pPr>
            <w:r>
              <w:rPr>
                <w:rFonts w:hint="eastAsia" w:ascii="宋体" w:hAnsi="宋体"/>
                <w:szCs w:val="21"/>
              </w:rPr>
              <w:t>□</w:t>
            </w:r>
            <w:r>
              <w:rPr>
                <w:rFonts w:ascii="Times New Roman" w:hAnsi="Times New Roman"/>
                <w:szCs w:val="21"/>
              </w:rPr>
              <w:t>采用耐久性能好的建筑结构材料</w:t>
            </w:r>
          </w:p>
        </w:tc>
        <w:tc>
          <w:tcPr>
            <w:tcW w:w="2628" w:type="pct"/>
            <w:noWrap w:val="0"/>
            <w:vAlign w:val="center"/>
          </w:tcPr>
          <w:p>
            <w:pPr>
              <w:rPr>
                <w:rFonts w:ascii="Times New Roman" w:hAnsi="Times New Roman"/>
                <w:szCs w:val="21"/>
              </w:rPr>
            </w:pPr>
            <w:r>
              <w:rPr>
                <w:rFonts w:hint="eastAsia" w:ascii="宋体" w:hAnsi="宋体"/>
                <w:szCs w:val="21"/>
              </w:rPr>
              <w:t>□</w:t>
            </w:r>
            <w:r>
              <w:rPr>
                <w:rFonts w:ascii="Times New Roman" w:hAnsi="Times New Roman"/>
                <w:szCs w:val="21"/>
              </w:rPr>
              <w:t>混凝土构件，提高钢筋保护层厚度或采用高耐久性混凝土</w:t>
            </w:r>
          </w:p>
        </w:tc>
        <w:tc>
          <w:tcPr>
            <w:tcW w:w="677" w:type="pct"/>
            <w:vMerge w:val="restart"/>
            <w:noWrap w:val="0"/>
            <w:vAlign w:val="center"/>
          </w:tcPr>
          <w:p>
            <w:pPr>
              <w:jc w:val="center"/>
              <w:rPr>
                <w:rFonts w:ascii="Times New Roman" w:hAnsi="Times New Roman"/>
                <w:szCs w:val="21"/>
              </w:rPr>
            </w:pPr>
            <w:r>
              <w:rPr>
                <w:rFonts w:ascii="Times New Roman" w:hAnsi="Times New Roman"/>
                <w:szCs w:val="21"/>
              </w:rPr>
              <w:t>10</w:t>
            </w:r>
          </w:p>
        </w:tc>
        <w:tc>
          <w:tcPr>
            <w:tcW w:w="678"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4" w:type="pct"/>
            <w:vMerge w:val="continue"/>
            <w:noWrap w:val="0"/>
            <w:vAlign w:val="center"/>
          </w:tcPr>
          <w:p>
            <w:pPr>
              <w:jc w:val="center"/>
              <w:rPr>
                <w:rFonts w:ascii="Times New Roman" w:hAnsi="Times New Roman"/>
                <w:szCs w:val="21"/>
              </w:rPr>
            </w:pPr>
          </w:p>
        </w:tc>
        <w:tc>
          <w:tcPr>
            <w:tcW w:w="593" w:type="pct"/>
            <w:vMerge w:val="continue"/>
            <w:noWrap w:val="0"/>
            <w:vAlign w:val="center"/>
          </w:tcPr>
          <w:p>
            <w:pPr>
              <w:rPr>
                <w:rFonts w:ascii="Times New Roman" w:hAnsi="Times New Roman"/>
                <w:szCs w:val="21"/>
              </w:rPr>
            </w:pPr>
          </w:p>
        </w:tc>
        <w:tc>
          <w:tcPr>
            <w:tcW w:w="2628" w:type="pct"/>
            <w:noWrap w:val="0"/>
            <w:vAlign w:val="center"/>
          </w:tcPr>
          <w:p>
            <w:pPr>
              <w:rPr>
                <w:rFonts w:ascii="Times New Roman" w:hAnsi="Times New Roman"/>
                <w:szCs w:val="21"/>
              </w:rPr>
            </w:pPr>
            <w:r>
              <w:rPr>
                <w:rFonts w:hint="eastAsia" w:ascii="宋体" w:hAnsi="宋体"/>
                <w:szCs w:val="21"/>
              </w:rPr>
              <w:t>□</w:t>
            </w:r>
            <w:r>
              <w:rPr>
                <w:rFonts w:ascii="Times New Roman" w:hAnsi="Times New Roman"/>
                <w:szCs w:val="21"/>
              </w:rPr>
              <w:t>钢构件，采用耐候结构钢及耐候性防腐涂料</w:t>
            </w:r>
          </w:p>
        </w:tc>
        <w:tc>
          <w:tcPr>
            <w:tcW w:w="677" w:type="pct"/>
            <w:vMerge w:val="continue"/>
            <w:noWrap w:val="0"/>
            <w:vAlign w:val="center"/>
          </w:tcPr>
          <w:p>
            <w:pPr>
              <w:jc w:val="center"/>
              <w:rPr>
                <w:rFonts w:ascii="Times New Roman" w:hAnsi="Times New Roman"/>
                <w:szCs w:val="21"/>
              </w:rPr>
            </w:pPr>
          </w:p>
        </w:tc>
        <w:tc>
          <w:tcPr>
            <w:tcW w:w="678"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4" w:type="pct"/>
            <w:vMerge w:val="continue"/>
            <w:noWrap w:val="0"/>
            <w:vAlign w:val="center"/>
          </w:tcPr>
          <w:p>
            <w:pPr>
              <w:jc w:val="center"/>
              <w:rPr>
                <w:rFonts w:ascii="Times New Roman" w:hAnsi="Times New Roman"/>
                <w:szCs w:val="21"/>
              </w:rPr>
            </w:pPr>
          </w:p>
        </w:tc>
        <w:tc>
          <w:tcPr>
            <w:tcW w:w="593" w:type="pct"/>
            <w:vMerge w:val="continue"/>
            <w:noWrap w:val="0"/>
            <w:vAlign w:val="center"/>
          </w:tcPr>
          <w:p>
            <w:pPr>
              <w:rPr>
                <w:rFonts w:ascii="Times New Roman" w:hAnsi="Times New Roman"/>
                <w:szCs w:val="21"/>
              </w:rPr>
            </w:pPr>
          </w:p>
        </w:tc>
        <w:tc>
          <w:tcPr>
            <w:tcW w:w="2628" w:type="pct"/>
            <w:noWrap w:val="0"/>
            <w:vAlign w:val="center"/>
          </w:tcPr>
          <w:p>
            <w:pPr>
              <w:rPr>
                <w:rFonts w:ascii="Times New Roman" w:hAnsi="Times New Roman"/>
                <w:szCs w:val="21"/>
              </w:rPr>
            </w:pPr>
            <w:r>
              <w:rPr>
                <w:rFonts w:hint="eastAsia" w:ascii="宋体" w:hAnsi="宋体"/>
                <w:szCs w:val="21"/>
              </w:rPr>
              <w:t>□</w:t>
            </w:r>
            <w:r>
              <w:rPr>
                <w:rFonts w:ascii="Times New Roman" w:hAnsi="Times New Roman"/>
                <w:szCs w:val="21"/>
              </w:rPr>
              <w:t>木构件，采用防腐木材、耐久木材或耐久木制品</w:t>
            </w:r>
          </w:p>
        </w:tc>
        <w:tc>
          <w:tcPr>
            <w:tcW w:w="677" w:type="pct"/>
            <w:vMerge w:val="continue"/>
            <w:noWrap w:val="0"/>
            <w:vAlign w:val="center"/>
          </w:tcPr>
          <w:p>
            <w:pPr>
              <w:jc w:val="center"/>
              <w:rPr>
                <w:rFonts w:ascii="Times New Roman" w:hAnsi="Times New Roman"/>
                <w:szCs w:val="21"/>
              </w:rPr>
            </w:pPr>
          </w:p>
        </w:tc>
        <w:tc>
          <w:tcPr>
            <w:tcW w:w="678" w:type="pct"/>
            <w:vMerge w:val="continue"/>
            <w:noWrap w:val="0"/>
            <w:vAlign w:val="center"/>
          </w:tcPr>
          <w:p>
            <w:pPr>
              <w:jc w:val="center"/>
              <w:rPr>
                <w:rFonts w:ascii="Times New Roman" w:hAnsi="Times New Roman"/>
                <w:szCs w:val="21"/>
              </w:rPr>
            </w:pP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7"/>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2" w:type="pct"/>
            <w:noWrap w:val="0"/>
            <w:vAlign w:val="top"/>
          </w:tcPr>
          <w:p>
            <w:pPr>
              <w:jc w:val="center"/>
              <w:rPr>
                <w:rFonts w:ascii="Times New Roman" w:hAnsi="Times New Roman"/>
                <w:szCs w:val="21"/>
              </w:rPr>
            </w:pPr>
            <w:r>
              <w:rPr>
                <w:rFonts w:ascii="Times New Roman" w:hAnsi="Times New Roman"/>
                <w:szCs w:val="21"/>
              </w:rPr>
              <w:t>类型</w:t>
            </w:r>
          </w:p>
        </w:tc>
        <w:tc>
          <w:tcPr>
            <w:tcW w:w="2578" w:type="pct"/>
            <w:noWrap w:val="0"/>
            <w:vAlign w:val="top"/>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2" w:type="pct"/>
            <w:noWrap w:val="0"/>
            <w:vAlign w:val="top"/>
          </w:tcPr>
          <w:p>
            <w:pPr>
              <w:rPr>
                <w:rFonts w:ascii="Times New Roman" w:hAnsi="Times New Roman"/>
                <w:szCs w:val="21"/>
              </w:rPr>
            </w:pPr>
            <w:r>
              <w:rPr>
                <w:rFonts w:hint="eastAsia" w:ascii="Times New Roman" w:hAnsi="Times New Roman"/>
                <w:szCs w:val="21"/>
              </w:rPr>
              <w:t>建筑结构设计年限</w:t>
            </w:r>
          </w:p>
        </w:tc>
        <w:tc>
          <w:tcPr>
            <w:tcW w:w="2578"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2" w:type="pct"/>
            <w:noWrap w:val="0"/>
            <w:vAlign w:val="top"/>
          </w:tcPr>
          <w:p>
            <w:pPr>
              <w:rPr>
                <w:rFonts w:ascii="Times New Roman" w:hAnsi="Times New Roman"/>
                <w:szCs w:val="21"/>
              </w:rPr>
            </w:pPr>
            <w:r>
              <w:rPr>
                <w:rFonts w:hint="eastAsia" w:ascii="Times New Roman" w:hAnsi="Times New Roman"/>
                <w:szCs w:val="21"/>
              </w:rPr>
              <w:t>建筑结构材料</w:t>
            </w:r>
          </w:p>
        </w:tc>
        <w:tc>
          <w:tcPr>
            <w:tcW w:w="2578" w:type="pct"/>
            <w:noWrap w:val="0"/>
            <w:vAlign w:val="top"/>
          </w:tcPr>
          <w:p>
            <w:pPr>
              <w:rPr>
                <w:rFonts w:ascii="Times New Roman" w:hAnsi="Times New Roman"/>
                <w:szCs w:val="21"/>
              </w:rPr>
            </w:pPr>
            <w:r>
              <w:rPr>
                <w:rFonts w:hint="eastAsia"/>
                <w:sz w:val="28"/>
              </w:rPr>
              <w:sym w:font="Wingdings 2" w:char="F0A3"/>
            </w:r>
            <w:r>
              <w:rPr>
                <w:rFonts w:hint="eastAsia" w:ascii="Times New Roman" w:hAnsi="Times New Roman"/>
                <w:szCs w:val="21"/>
              </w:rPr>
              <w:t xml:space="preserve">混凝土 </w:t>
            </w:r>
            <w:r>
              <w:rPr>
                <w:rFonts w:hint="eastAsia"/>
                <w:sz w:val="28"/>
              </w:rPr>
              <w:sym w:font="Wingdings 2" w:char="F0A3"/>
            </w:r>
            <w:r>
              <w:rPr>
                <w:rFonts w:ascii="Times New Roman" w:hAnsi="Times New Roman"/>
                <w:szCs w:val="21"/>
              </w:rPr>
              <w:t>钢</w:t>
            </w:r>
            <w:r>
              <w:rPr>
                <w:rFonts w:hint="eastAsia" w:ascii="Times New Roman" w:hAnsi="Times New Roman"/>
                <w:szCs w:val="21"/>
              </w:rPr>
              <w:t xml:space="preserve"> </w:t>
            </w:r>
            <w:r>
              <w:rPr>
                <w:rFonts w:hint="eastAsia"/>
                <w:sz w:val="28"/>
              </w:rPr>
              <w:sym w:font="Wingdings 2" w:char="F0A3"/>
            </w:r>
            <w:r>
              <w:rPr>
                <w:rFonts w:ascii="Times New Roman" w:hAnsi="Times New Roman"/>
                <w:szCs w:val="21"/>
              </w:rPr>
              <w:t>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2" w:type="pct"/>
            <w:noWrap w:val="0"/>
            <w:vAlign w:val="top"/>
          </w:tcPr>
          <w:p>
            <w:pPr>
              <w:rPr>
                <w:rFonts w:ascii="Times New Roman" w:hAnsi="Times New Roman"/>
                <w:szCs w:val="21"/>
              </w:rPr>
            </w:pPr>
            <w:r>
              <w:rPr>
                <w:rFonts w:hint="eastAsia" w:ascii="Times New Roman" w:hAnsi="Times New Roman"/>
                <w:szCs w:val="21"/>
              </w:rPr>
              <w:t>钢筋保护层</w:t>
            </w:r>
            <w:r>
              <w:rPr>
                <w:rFonts w:ascii="Times New Roman" w:hAnsi="Times New Roman"/>
                <w:szCs w:val="21"/>
              </w:rPr>
              <w:t>厚度</w:t>
            </w:r>
          </w:p>
        </w:tc>
        <w:tc>
          <w:tcPr>
            <w:tcW w:w="2578"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2" w:type="pct"/>
            <w:noWrap w:val="0"/>
            <w:vAlign w:val="top"/>
          </w:tcPr>
          <w:p>
            <w:pPr>
              <w:rPr>
                <w:rFonts w:ascii="Times New Roman" w:hAnsi="Times New Roman"/>
                <w:szCs w:val="21"/>
              </w:rPr>
            </w:pPr>
            <w:r>
              <w:rPr>
                <w:rFonts w:hint="eastAsia" w:ascii="Times New Roman" w:hAnsi="Times New Roman"/>
                <w:szCs w:val="21"/>
              </w:rPr>
              <w:t>是否</w:t>
            </w:r>
            <w:r>
              <w:rPr>
                <w:rFonts w:ascii="Times New Roman" w:hAnsi="Times New Roman"/>
                <w:szCs w:val="21"/>
              </w:rPr>
              <w:t>采用高耐久性混凝土</w:t>
            </w:r>
          </w:p>
        </w:tc>
        <w:tc>
          <w:tcPr>
            <w:tcW w:w="2578"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2" w:type="pct"/>
            <w:noWrap w:val="0"/>
            <w:vAlign w:val="top"/>
          </w:tcPr>
          <w:p>
            <w:pPr>
              <w:rPr>
                <w:rFonts w:ascii="Times New Roman" w:hAnsi="Times New Roman"/>
                <w:szCs w:val="21"/>
              </w:rPr>
            </w:pPr>
            <w:r>
              <w:rPr>
                <w:rFonts w:hint="eastAsia" w:ascii="Times New Roman" w:hAnsi="Times New Roman"/>
                <w:szCs w:val="21"/>
              </w:rPr>
              <w:t>是否</w:t>
            </w:r>
            <w:r>
              <w:rPr>
                <w:rFonts w:ascii="Times New Roman" w:hAnsi="Times New Roman"/>
                <w:szCs w:val="21"/>
              </w:rPr>
              <w:t>采用</w:t>
            </w:r>
            <w:r>
              <w:rPr>
                <w:rFonts w:hint="eastAsia" w:ascii="Times New Roman" w:hAnsi="Times New Roman"/>
                <w:szCs w:val="21"/>
              </w:rPr>
              <w:t>耐候结构钢和耐候性防腐涂料</w:t>
            </w:r>
          </w:p>
        </w:tc>
        <w:tc>
          <w:tcPr>
            <w:tcW w:w="2578"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2" w:type="pct"/>
            <w:noWrap w:val="0"/>
            <w:vAlign w:val="top"/>
          </w:tcPr>
          <w:p>
            <w:pPr>
              <w:rPr>
                <w:rFonts w:ascii="Times New Roman" w:hAnsi="Times New Roman"/>
                <w:szCs w:val="21"/>
              </w:rPr>
            </w:pPr>
            <w:r>
              <w:rPr>
                <w:rFonts w:hint="eastAsia" w:ascii="Times New Roman" w:hAnsi="Times New Roman"/>
                <w:szCs w:val="21"/>
              </w:rPr>
              <w:t>是否</w:t>
            </w:r>
            <w:r>
              <w:rPr>
                <w:rFonts w:ascii="Times New Roman" w:hAnsi="Times New Roman"/>
                <w:szCs w:val="21"/>
              </w:rPr>
              <w:t>采用耐久木制品</w:t>
            </w:r>
          </w:p>
        </w:tc>
        <w:tc>
          <w:tcPr>
            <w:tcW w:w="2578" w:type="pct"/>
            <w:noWrap w:val="0"/>
            <w:vAlign w:val="top"/>
          </w:tcPr>
          <w:p>
            <w:pPr>
              <w:rPr>
                <w:rFonts w:ascii="Times New Roman" w:hAnsi="Times New Roman"/>
                <w:szCs w:val="21"/>
              </w:rPr>
            </w:pPr>
          </w:p>
        </w:tc>
      </w:tr>
    </w:tbl>
    <w:p>
      <w:pPr>
        <w:rPr>
          <w:rFonts w:ascii="Times New Roman" w:hAnsi="Times New Roman"/>
          <w:szCs w:val="21"/>
        </w:rPr>
      </w:pPr>
      <w:r>
        <w:rPr>
          <w:rFonts w:hint="eastAsia" w:ascii="Times New Roman" w:hAnsi="Times New Roman"/>
          <w:szCs w:val="21"/>
        </w:rPr>
        <w:t>请</w:t>
      </w:r>
      <w:r>
        <w:rPr>
          <w:rFonts w:ascii="Times New Roman" w:hAnsi="Times New Roman"/>
          <w:szCs w:val="21"/>
        </w:rPr>
        <w:t>简要说明</w:t>
      </w:r>
      <w:r>
        <w:rPr>
          <w:rFonts w:hint="eastAsia" w:ascii="Times New Roman" w:hAnsi="Times New Roman"/>
          <w:szCs w:val="21"/>
        </w:rPr>
        <w:t>提高建筑结构材料耐久性的设计内容和落实情况：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82"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结合本项目实际，通过对比本工程宜采用静压预应力管桩基础形式，以强风化及以下岩层作为持力层，以达到经济合理节材效果；教室、体育馆均需大开间布置，框架结构较剪力墙结构更适合用于楼层低、大开间建筑，功能布置灵活，且对于楼层较低的建筑，框架结构较剪力墙结构建设成本更低；根据不同板跨设置不同板厚，充分利用板底钢筋承载能力，钢筋均采用HRB400。</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spacing w:line="280" w:lineRule="exact"/>
        <w:rPr>
          <w:rFonts w:ascii="Times New Roman" w:hAnsi="Times New Roman"/>
          <w:szCs w:val="21"/>
        </w:rPr>
      </w:pPr>
      <w:r>
        <w:rPr>
          <w:rFonts w:ascii="Times New Roman" w:hAnsi="Times New Roman"/>
          <w:szCs w:val="21"/>
        </w:rPr>
        <w:t>提交材料及要求：</w:t>
      </w:r>
    </w:p>
    <w:p>
      <w:pPr>
        <w:spacing w:line="280" w:lineRule="exact"/>
        <w:rPr>
          <w:rFonts w:ascii="Times New Roman" w:hAnsi="Times New Roman"/>
          <w:szCs w:val="21"/>
        </w:rPr>
      </w:pPr>
      <w:r>
        <w:rPr>
          <w:rFonts w:hint="eastAsia" w:ascii="Times New Roman" w:hAnsi="Times New Roman"/>
          <w:szCs w:val="21"/>
        </w:rPr>
        <w:t>1）建筑</w:t>
      </w:r>
      <w:r>
        <w:rPr>
          <w:rFonts w:ascii="Times New Roman" w:hAnsi="Times New Roman"/>
          <w:szCs w:val="21"/>
        </w:rPr>
        <w:t>、结构设计</w:t>
      </w:r>
      <w:r>
        <w:rPr>
          <w:rFonts w:hint="eastAsia" w:ascii="Times New Roman" w:hAnsi="Times New Roman"/>
          <w:szCs w:val="21"/>
        </w:rPr>
        <w:t>竣工图：</w:t>
      </w:r>
      <w:r>
        <w:rPr>
          <w:rFonts w:ascii="Times New Roman" w:hAnsi="Times New Roman"/>
          <w:szCs w:val="21"/>
        </w:rPr>
        <w:t>应</w:t>
      </w:r>
      <w:r>
        <w:rPr>
          <w:rFonts w:hint="eastAsia" w:ascii="Times New Roman" w:hAnsi="Times New Roman"/>
          <w:szCs w:val="21"/>
        </w:rPr>
        <w:t>注明</w:t>
      </w:r>
      <w:r>
        <w:rPr>
          <w:rFonts w:ascii="Times New Roman" w:hAnsi="Times New Roman"/>
          <w:szCs w:val="21"/>
        </w:rPr>
        <w:t>本项目采用的高性能材料的类别及</w:t>
      </w:r>
      <w:r>
        <w:rPr>
          <w:rFonts w:hint="eastAsia" w:ascii="Times New Roman" w:hAnsi="Times New Roman"/>
          <w:szCs w:val="21"/>
        </w:rPr>
        <w:t>范围或</w:t>
      </w:r>
      <w:r>
        <w:rPr>
          <w:rFonts w:ascii="Times New Roman" w:hAnsi="Times New Roman"/>
          <w:szCs w:val="21"/>
        </w:rPr>
        <w:t>耐候结构钢、耐候型</w:t>
      </w:r>
      <w:r>
        <w:rPr>
          <w:rFonts w:hint="eastAsia" w:ascii="Times New Roman" w:hAnsi="Times New Roman"/>
          <w:szCs w:val="21"/>
        </w:rPr>
        <w:t>防腐</w:t>
      </w:r>
      <w:r>
        <w:rPr>
          <w:rFonts w:ascii="Times New Roman" w:hAnsi="Times New Roman"/>
          <w:szCs w:val="21"/>
        </w:rPr>
        <w:t>涂料的采用情况</w:t>
      </w:r>
      <w:r>
        <w:rPr>
          <w:rFonts w:hint="eastAsia" w:ascii="Times New Roman" w:hAnsi="Times New Roman"/>
          <w:szCs w:val="21"/>
        </w:rPr>
        <w:t>；</w:t>
      </w:r>
    </w:p>
    <w:p>
      <w:pPr>
        <w:spacing w:line="280" w:lineRule="exact"/>
        <w:rPr>
          <w:rFonts w:ascii="Times New Roman" w:hAnsi="Times New Roman"/>
          <w:szCs w:val="21"/>
        </w:rPr>
      </w:pPr>
      <w:r>
        <w:rPr>
          <w:rFonts w:hint="eastAsia" w:ascii="Times New Roman" w:hAnsi="Times New Roman"/>
          <w:szCs w:val="21"/>
        </w:rPr>
        <w:t>2）耐久性好的建筑结构材料使用情况统计，应提供相关产品说明、检测报告以及建筑结构材料的决算清单；</w:t>
      </w:r>
    </w:p>
    <w:p>
      <w:pPr>
        <w:spacing w:line="280" w:lineRule="exact"/>
        <w:rPr>
          <w:rFonts w:ascii="Times New Roman" w:hAnsi="Times New Roman"/>
          <w:szCs w:val="21"/>
        </w:rPr>
      </w:pPr>
      <w:r>
        <w:rPr>
          <w:rFonts w:hint="eastAsia" w:ascii="Times New Roman" w:hAnsi="Times New Roman"/>
          <w:szCs w:val="21"/>
        </w:rPr>
        <w:t>3）项目运行使用中的维护管理记录。</w:t>
      </w:r>
    </w:p>
    <w:p>
      <w:pPr>
        <w:widowControl/>
        <w:spacing w:line="280" w:lineRule="exact"/>
        <w:jc w:val="lef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42"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4.2.9</w:t>
      </w:r>
      <w:r>
        <w:rPr>
          <w:rFonts w:hint="eastAsia"/>
          <w:sz w:val="24"/>
          <w:szCs w:val="40"/>
        </w:rPr>
        <w:t xml:space="preserve"> </w:t>
      </w:r>
      <w:r>
        <w:rPr>
          <w:sz w:val="24"/>
          <w:szCs w:val="40"/>
        </w:rPr>
        <w:t>合理采用耐久性好、易维护的装饰</w:t>
      </w:r>
      <w:r>
        <w:rPr>
          <w:rFonts w:hint="eastAsia"/>
          <w:sz w:val="24"/>
          <w:szCs w:val="40"/>
        </w:rPr>
        <w:t>装</w:t>
      </w:r>
      <w:r>
        <w:rPr>
          <w:sz w:val="24"/>
          <w:szCs w:val="40"/>
        </w:rPr>
        <w:t>修建筑材料。（9分）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4364"/>
        <w:gridCol w:w="157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top"/>
          </w:tcPr>
          <w:p>
            <w:pPr>
              <w:jc w:val="center"/>
              <w:rPr>
                <w:rFonts w:ascii="Times New Roman" w:hAnsi="Times New Roman"/>
                <w:szCs w:val="21"/>
              </w:rPr>
            </w:pPr>
            <w:r>
              <w:rPr>
                <w:rFonts w:ascii="Times New Roman" w:hAnsi="Times New Roman"/>
                <w:szCs w:val="21"/>
              </w:rPr>
              <w:t>序号</w:t>
            </w:r>
          </w:p>
        </w:tc>
        <w:tc>
          <w:tcPr>
            <w:tcW w:w="2726"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3"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top"/>
          </w:tcPr>
          <w:p>
            <w:pPr>
              <w:jc w:val="center"/>
              <w:rPr>
                <w:rFonts w:ascii="Times New Roman" w:hAnsi="Times New Roman"/>
                <w:szCs w:val="21"/>
              </w:rPr>
            </w:pPr>
            <w:r>
              <w:rPr>
                <w:rFonts w:ascii="Times New Roman" w:hAnsi="Times New Roman"/>
                <w:szCs w:val="21"/>
              </w:rPr>
              <w:t>1</w:t>
            </w:r>
          </w:p>
        </w:tc>
        <w:tc>
          <w:tcPr>
            <w:tcW w:w="2726" w:type="pct"/>
            <w:noWrap w:val="0"/>
            <w:vAlign w:val="top"/>
          </w:tcPr>
          <w:p>
            <w:pPr>
              <w:rPr>
                <w:rFonts w:ascii="Times New Roman" w:hAnsi="Times New Roman"/>
                <w:szCs w:val="21"/>
              </w:rPr>
            </w:pPr>
            <w:r>
              <w:rPr>
                <w:rFonts w:hint="eastAsia" w:ascii="Times New Roman" w:hAnsi="Times New Roman"/>
                <w:szCs w:val="21"/>
              </w:rPr>
              <w:t>采用</w:t>
            </w:r>
            <w:r>
              <w:rPr>
                <w:rFonts w:ascii="Times New Roman" w:hAnsi="Times New Roman"/>
                <w:szCs w:val="21"/>
              </w:rPr>
              <w:t>耐久性好的外饰面材料</w:t>
            </w:r>
          </w:p>
        </w:tc>
        <w:tc>
          <w:tcPr>
            <w:tcW w:w="984" w:type="pct"/>
            <w:noWrap w:val="0"/>
            <w:vAlign w:val="top"/>
          </w:tcPr>
          <w:p>
            <w:pPr>
              <w:jc w:val="center"/>
              <w:rPr>
                <w:rFonts w:ascii="Times New Roman" w:hAnsi="Times New Roman"/>
                <w:szCs w:val="21"/>
              </w:rPr>
            </w:pPr>
            <w:r>
              <w:rPr>
                <w:rFonts w:ascii="Times New Roman" w:hAnsi="Times New Roman"/>
                <w:szCs w:val="21"/>
              </w:rPr>
              <w:t>3</w:t>
            </w:r>
          </w:p>
        </w:tc>
        <w:tc>
          <w:tcPr>
            <w:tcW w:w="833"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top"/>
          </w:tcPr>
          <w:p>
            <w:pPr>
              <w:jc w:val="center"/>
              <w:rPr>
                <w:rFonts w:ascii="Times New Roman" w:hAnsi="Times New Roman"/>
                <w:szCs w:val="21"/>
              </w:rPr>
            </w:pPr>
            <w:r>
              <w:rPr>
                <w:rFonts w:ascii="Times New Roman" w:hAnsi="Times New Roman"/>
                <w:szCs w:val="21"/>
              </w:rPr>
              <w:t>2</w:t>
            </w:r>
          </w:p>
        </w:tc>
        <w:tc>
          <w:tcPr>
            <w:tcW w:w="2726" w:type="pct"/>
            <w:noWrap w:val="0"/>
            <w:vAlign w:val="top"/>
          </w:tcPr>
          <w:p>
            <w:pPr>
              <w:rPr>
                <w:rFonts w:ascii="Times New Roman" w:hAnsi="Times New Roman"/>
                <w:szCs w:val="21"/>
              </w:rPr>
            </w:pPr>
            <w:r>
              <w:rPr>
                <w:rFonts w:hint="eastAsia" w:ascii="Times New Roman" w:hAnsi="Times New Roman"/>
                <w:szCs w:val="21"/>
              </w:rPr>
              <w:t>采用</w:t>
            </w:r>
            <w:r>
              <w:rPr>
                <w:rFonts w:ascii="Times New Roman" w:hAnsi="Times New Roman"/>
                <w:szCs w:val="21"/>
              </w:rPr>
              <w:t>耐久性好的防水和密封材料</w:t>
            </w:r>
          </w:p>
        </w:tc>
        <w:tc>
          <w:tcPr>
            <w:tcW w:w="984" w:type="pct"/>
            <w:noWrap w:val="0"/>
            <w:vAlign w:val="top"/>
          </w:tcPr>
          <w:p>
            <w:pPr>
              <w:jc w:val="center"/>
              <w:rPr>
                <w:rFonts w:ascii="Times New Roman" w:hAnsi="Times New Roman"/>
                <w:szCs w:val="21"/>
              </w:rPr>
            </w:pPr>
            <w:r>
              <w:rPr>
                <w:rFonts w:hint="eastAsia" w:ascii="Times New Roman" w:hAnsi="Times New Roman"/>
                <w:szCs w:val="21"/>
              </w:rPr>
              <w:t>3</w:t>
            </w:r>
          </w:p>
        </w:tc>
        <w:tc>
          <w:tcPr>
            <w:tcW w:w="833"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8" w:type="pct"/>
            <w:noWrap w:val="0"/>
            <w:vAlign w:val="top"/>
          </w:tcPr>
          <w:p>
            <w:pPr>
              <w:jc w:val="center"/>
              <w:rPr>
                <w:rFonts w:ascii="Times New Roman" w:hAnsi="Times New Roman"/>
                <w:szCs w:val="21"/>
              </w:rPr>
            </w:pPr>
            <w:r>
              <w:rPr>
                <w:rFonts w:ascii="Times New Roman" w:hAnsi="Times New Roman"/>
                <w:szCs w:val="21"/>
              </w:rPr>
              <w:t>3</w:t>
            </w:r>
          </w:p>
        </w:tc>
        <w:tc>
          <w:tcPr>
            <w:tcW w:w="2726" w:type="pct"/>
            <w:noWrap w:val="0"/>
            <w:vAlign w:val="top"/>
          </w:tcPr>
          <w:p>
            <w:pPr>
              <w:rPr>
                <w:rFonts w:ascii="Times New Roman" w:hAnsi="Times New Roman"/>
                <w:szCs w:val="21"/>
              </w:rPr>
            </w:pPr>
            <w:r>
              <w:rPr>
                <w:rFonts w:hint="eastAsia" w:ascii="Times New Roman" w:hAnsi="Times New Roman"/>
                <w:szCs w:val="21"/>
              </w:rPr>
              <w:t>采用</w:t>
            </w:r>
            <w:r>
              <w:rPr>
                <w:rFonts w:ascii="Times New Roman" w:hAnsi="Times New Roman"/>
                <w:szCs w:val="21"/>
              </w:rPr>
              <w:t>耐久性好、</w:t>
            </w:r>
            <w:r>
              <w:rPr>
                <w:rFonts w:hint="eastAsia" w:ascii="Times New Roman" w:hAnsi="Times New Roman"/>
                <w:szCs w:val="21"/>
              </w:rPr>
              <w:t>易维护</w:t>
            </w:r>
            <w:r>
              <w:rPr>
                <w:rFonts w:ascii="Times New Roman" w:hAnsi="Times New Roman"/>
                <w:szCs w:val="21"/>
              </w:rPr>
              <w:t>的室内装饰装修材料</w:t>
            </w:r>
          </w:p>
        </w:tc>
        <w:tc>
          <w:tcPr>
            <w:tcW w:w="984" w:type="pct"/>
            <w:noWrap w:val="0"/>
            <w:vAlign w:val="top"/>
          </w:tcPr>
          <w:p>
            <w:pPr>
              <w:jc w:val="center"/>
              <w:rPr>
                <w:rFonts w:ascii="Times New Roman" w:hAnsi="Times New Roman"/>
                <w:szCs w:val="21"/>
              </w:rPr>
            </w:pPr>
            <w:r>
              <w:rPr>
                <w:rFonts w:hint="eastAsia" w:ascii="Times New Roman" w:hAnsi="Times New Roman"/>
                <w:szCs w:val="21"/>
              </w:rPr>
              <w:t>3</w:t>
            </w:r>
          </w:p>
        </w:tc>
        <w:tc>
          <w:tcPr>
            <w:tcW w:w="833"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183" w:type="pct"/>
            <w:gridSpan w:val="2"/>
            <w:noWrap w:val="0"/>
            <w:vAlign w:val="center"/>
          </w:tcPr>
          <w:p>
            <w:pPr>
              <w:jc w:val="center"/>
              <w:rPr>
                <w:rFonts w:ascii="Times New Roman" w:hAnsi="Times New Roman"/>
                <w:szCs w:val="21"/>
              </w:rPr>
            </w:pPr>
            <w:r>
              <w:rPr>
                <w:rFonts w:ascii="Times New Roman" w:hAnsi="Times New Roman"/>
                <w:szCs w:val="21"/>
              </w:rPr>
              <w:t>合计</w:t>
            </w:r>
          </w:p>
        </w:tc>
        <w:tc>
          <w:tcPr>
            <w:tcW w:w="984" w:type="pct"/>
            <w:noWrap w:val="0"/>
            <w:vAlign w:val="top"/>
          </w:tcPr>
          <w:p>
            <w:pPr>
              <w:jc w:val="center"/>
              <w:rPr>
                <w:rFonts w:ascii="Times New Roman" w:hAnsi="Times New Roman"/>
                <w:szCs w:val="21"/>
              </w:rPr>
            </w:pPr>
            <w:r>
              <w:rPr>
                <w:rFonts w:hint="eastAsia" w:ascii="Times New Roman" w:hAnsi="Times New Roman"/>
                <w:szCs w:val="21"/>
              </w:rPr>
              <w:t>9</w:t>
            </w:r>
          </w:p>
        </w:tc>
        <w:tc>
          <w:tcPr>
            <w:tcW w:w="833"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2"/>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500" w:type="pct"/>
            <w:noWrap w:val="0"/>
            <w:vAlign w:val="top"/>
          </w:tcPr>
          <w:p>
            <w:pPr>
              <w:jc w:val="center"/>
              <w:rPr>
                <w:rFonts w:ascii="Times New Roman" w:hAnsi="Times New Roman"/>
                <w:szCs w:val="21"/>
              </w:rPr>
            </w:pPr>
            <w:r>
              <w:rPr>
                <w:rFonts w:ascii="Times New Roman" w:hAnsi="Times New Roman"/>
                <w:szCs w:val="21"/>
              </w:rPr>
              <w:t>类型</w:t>
            </w:r>
          </w:p>
        </w:tc>
        <w:tc>
          <w:tcPr>
            <w:tcW w:w="2500" w:type="pct"/>
            <w:noWrap w:val="0"/>
            <w:vAlign w:val="top"/>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500" w:type="pct"/>
            <w:noWrap w:val="0"/>
            <w:vAlign w:val="top"/>
          </w:tcPr>
          <w:p>
            <w:pPr>
              <w:rPr>
                <w:rFonts w:ascii="Times New Roman" w:hAnsi="Times New Roman"/>
                <w:szCs w:val="21"/>
              </w:rPr>
            </w:pPr>
            <w:r>
              <w:rPr>
                <w:rFonts w:hint="eastAsia" w:ascii="Times New Roman" w:hAnsi="Times New Roman"/>
                <w:szCs w:val="21"/>
              </w:rPr>
              <w:t>耐久性好的外饰面材料占</w:t>
            </w:r>
            <w:r>
              <w:rPr>
                <w:rFonts w:ascii="Times New Roman" w:hAnsi="Times New Roman"/>
                <w:szCs w:val="21"/>
              </w:rPr>
              <w:t>总外饰面材料</w:t>
            </w:r>
            <w:r>
              <w:rPr>
                <w:rFonts w:hint="eastAsia" w:ascii="Times New Roman" w:hAnsi="Times New Roman"/>
                <w:szCs w:val="21"/>
              </w:rPr>
              <w:t>质量</w:t>
            </w:r>
            <w:r>
              <w:rPr>
                <w:rFonts w:ascii="Times New Roman" w:hAnsi="Times New Roman"/>
                <w:szCs w:val="21"/>
              </w:rPr>
              <w:t>比例</w:t>
            </w:r>
          </w:p>
        </w:tc>
        <w:tc>
          <w:tcPr>
            <w:tcW w:w="2500"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500" w:type="pct"/>
            <w:noWrap w:val="0"/>
            <w:vAlign w:val="top"/>
          </w:tcPr>
          <w:p>
            <w:pPr>
              <w:rPr>
                <w:rFonts w:ascii="Times New Roman" w:hAnsi="Times New Roman"/>
                <w:szCs w:val="21"/>
              </w:rPr>
            </w:pPr>
            <w:r>
              <w:rPr>
                <w:rFonts w:hint="eastAsia" w:ascii="Times New Roman" w:hAnsi="Times New Roman"/>
                <w:szCs w:val="21"/>
              </w:rPr>
              <w:t>耐久性好的防水和密封材料占</w:t>
            </w:r>
            <w:r>
              <w:rPr>
                <w:rFonts w:ascii="Times New Roman" w:hAnsi="Times New Roman"/>
                <w:szCs w:val="21"/>
              </w:rPr>
              <w:t>总</w:t>
            </w:r>
            <w:r>
              <w:rPr>
                <w:rFonts w:hint="eastAsia" w:ascii="Times New Roman" w:hAnsi="Times New Roman"/>
                <w:szCs w:val="21"/>
              </w:rPr>
              <w:t>防水和密封材料质量比例</w:t>
            </w:r>
          </w:p>
        </w:tc>
        <w:tc>
          <w:tcPr>
            <w:tcW w:w="2500"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2500" w:type="pct"/>
            <w:noWrap w:val="0"/>
            <w:vAlign w:val="top"/>
          </w:tcPr>
          <w:p>
            <w:pPr>
              <w:rPr>
                <w:rFonts w:ascii="Times New Roman" w:hAnsi="Times New Roman"/>
                <w:szCs w:val="21"/>
              </w:rPr>
            </w:pPr>
            <w:r>
              <w:rPr>
                <w:rFonts w:hint="eastAsia" w:ascii="Times New Roman" w:hAnsi="Times New Roman"/>
                <w:szCs w:val="21"/>
              </w:rPr>
              <w:t>耐久性好、易维护的室内装饰装修材料占室内装饰装修材料质量</w:t>
            </w:r>
            <w:r>
              <w:rPr>
                <w:rFonts w:ascii="Times New Roman" w:hAnsi="Times New Roman"/>
                <w:szCs w:val="21"/>
              </w:rPr>
              <w:t>比例</w:t>
            </w:r>
          </w:p>
        </w:tc>
        <w:tc>
          <w:tcPr>
            <w:tcW w:w="2500" w:type="pct"/>
            <w:noWrap w:val="0"/>
            <w:vAlign w:val="top"/>
          </w:tcPr>
          <w:p>
            <w:pPr>
              <w:rPr>
                <w:rFonts w:ascii="Times New Roman" w:hAnsi="Times New Roman"/>
                <w:szCs w:val="21"/>
              </w:rPr>
            </w:pPr>
          </w:p>
        </w:tc>
      </w:tr>
    </w:tbl>
    <w:p>
      <w:pPr>
        <w:rPr>
          <w:rFonts w:ascii="Times New Roman" w:hAnsi="Times New Roman"/>
          <w:szCs w:val="21"/>
        </w:rPr>
      </w:pPr>
    </w:p>
    <w:p>
      <w:pPr>
        <w:rPr>
          <w:rFonts w:ascii="Times New Roman" w:hAnsi="Times New Roman"/>
          <w:szCs w:val="21"/>
        </w:rPr>
      </w:pPr>
      <w:r>
        <w:rPr>
          <w:rFonts w:hint="eastAsia" w:ascii="Times New Roman" w:hAnsi="Times New Roman"/>
          <w:szCs w:val="21"/>
        </w:rPr>
        <w:t>请</w:t>
      </w:r>
      <w:r>
        <w:rPr>
          <w:rFonts w:ascii="Times New Roman" w:hAnsi="Times New Roman"/>
          <w:szCs w:val="21"/>
        </w:rPr>
        <w:t>简要说明</w:t>
      </w:r>
      <w:r>
        <w:rPr>
          <w:rFonts w:hint="eastAsia" w:ascii="Times New Roman" w:hAnsi="Times New Roman"/>
          <w:szCs w:val="21"/>
        </w:rPr>
        <w:t>装饰装修建筑材料采用耐久性好、易维护材料的情况：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19"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hint="eastAsia" w:ascii="Times New Roman" w:hAnsi="Times New Roman"/>
          <w:szCs w:val="21"/>
        </w:rPr>
        <w:t>1）装修竣工图、材料决算清单；</w:t>
      </w:r>
    </w:p>
    <w:p>
      <w:pPr>
        <w:rPr>
          <w:rFonts w:ascii="Times New Roman" w:hAnsi="Times New Roman"/>
          <w:szCs w:val="21"/>
        </w:rPr>
      </w:pPr>
      <w:r>
        <w:rPr>
          <w:rFonts w:hint="eastAsia" w:ascii="Times New Roman" w:hAnsi="Times New Roman"/>
          <w:szCs w:val="21"/>
        </w:rPr>
        <w:t>2）材料性能检测报告、采购文件；</w:t>
      </w:r>
    </w:p>
    <w:p>
      <w:pPr>
        <w:rPr>
          <w:rFonts w:ascii="Times New Roman" w:hAnsi="Times New Roman"/>
          <w:szCs w:val="21"/>
        </w:rPr>
      </w:pPr>
      <w:r>
        <w:rPr>
          <w:rFonts w:hint="eastAsia" w:ascii="Times New Roman" w:hAnsi="Times New Roman"/>
          <w:szCs w:val="21"/>
        </w:rPr>
        <w:t>3）</w:t>
      </w:r>
      <w:r>
        <w:rPr>
          <w:rFonts w:ascii="Times New Roman" w:hAnsi="Times New Roman"/>
          <w:szCs w:val="21"/>
        </w:rPr>
        <w:t>材料性能检测报告</w:t>
      </w:r>
      <w:r>
        <w:rPr>
          <w:rFonts w:hint="eastAsia" w:ascii="Times New Roman" w:hAnsi="Times New Roman"/>
          <w:szCs w:val="21"/>
        </w:rPr>
        <w:t>。</w:t>
      </w:r>
    </w:p>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73" w:hRule="atLeast"/>
          <w:jc w:val="center"/>
        </w:trPr>
        <w:tc>
          <w:tcPr>
            <w:tcW w:w="9356" w:type="dxa"/>
            <w:shd w:val="clear" w:color="auto" w:fill="auto"/>
            <w:noWrap w:val="0"/>
            <w:vAlign w:val="top"/>
          </w:tcPr>
          <w:p>
            <w:pPr>
              <w:rPr>
                <w:rFonts w:ascii="Times New Roman" w:hAnsi="Times New Roman"/>
                <w:kern w:val="0"/>
                <w:sz w:val="20"/>
                <w:szCs w:val="21"/>
              </w:rPr>
            </w:pPr>
          </w:p>
        </w:tc>
      </w:tr>
    </w:tbl>
    <w:p/>
    <w:p>
      <w:pPr>
        <w:jc w:val="center"/>
      </w:pPr>
      <w:r>
        <w:rPr>
          <w:rFonts w:ascii="宋体" w:hAnsi="宋体"/>
          <w:b/>
          <w:bCs/>
          <w:color w:val="000000"/>
          <w:sz w:val="24"/>
          <w:szCs w:val="24"/>
        </w:rPr>
        <w:br w:type="page"/>
      </w:r>
      <w:r>
        <w:rPr>
          <w:rFonts w:hint="eastAsia" w:ascii="宋体" w:hAnsi="宋体"/>
          <w:b/>
          <w:bCs/>
          <w:color w:val="000000"/>
          <w:sz w:val="24"/>
          <w:szCs w:val="24"/>
        </w:rPr>
        <w:t>5 健康舒适</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0"/>
        <w:gridCol w:w="876"/>
        <w:gridCol w:w="5000"/>
        <w:gridCol w:w="80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shd w:val="clear" w:color="auto" w:fill="DCDCDC"/>
            <w:noWrap w:val="0"/>
            <w:vAlign w:val="center"/>
          </w:tcPr>
          <w:p>
            <w:pPr>
              <w:jc w:val="center"/>
            </w:pPr>
            <w:r>
              <w:rPr>
                <w:rFonts w:hint="eastAsia" w:ascii="宋体" w:hAnsi="宋体"/>
                <w:b/>
                <w:bCs/>
                <w:color w:val="000000"/>
                <w:sz w:val="20"/>
                <w:szCs w:val="20"/>
              </w:rPr>
              <w:t>子项</w:t>
            </w:r>
          </w:p>
        </w:tc>
        <w:tc>
          <w:tcPr>
            <w:tcW w:w="800" w:type="dxa"/>
            <w:shd w:val="clear" w:color="auto" w:fill="DCDCDC"/>
            <w:noWrap w:val="0"/>
            <w:vAlign w:val="center"/>
          </w:tcPr>
          <w:p>
            <w:pPr>
              <w:jc w:val="center"/>
            </w:pPr>
            <w:r>
              <w:rPr>
                <w:rFonts w:hint="eastAsia" w:ascii="宋体" w:hAnsi="宋体"/>
                <w:b/>
                <w:bCs/>
                <w:color w:val="000000"/>
                <w:sz w:val="22"/>
              </w:rPr>
              <w:t>条文编号</w:t>
            </w:r>
          </w:p>
        </w:tc>
        <w:tc>
          <w:tcPr>
            <w:tcW w:w="5000" w:type="dxa"/>
            <w:shd w:val="clear" w:color="auto" w:fill="DCDCDC"/>
            <w:noWrap w:val="0"/>
            <w:vAlign w:val="center"/>
          </w:tcPr>
          <w:p>
            <w:pPr>
              <w:jc w:val="center"/>
            </w:pPr>
            <w:r>
              <w:rPr>
                <w:rFonts w:hint="eastAsia" w:ascii="宋体" w:hAnsi="宋体"/>
                <w:b/>
                <w:bCs/>
                <w:color w:val="000000"/>
                <w:sz w:val="20"/>
                <w:szCs w:val="20"/>
              </w:rPr>
              <w:t>条文</w:t>
            </w:r>
          </w:p>
        </w:tc>
        <w:tc>
          <w:tcPr>
            <w:tcW w:w="800" w:type="dxa"/>
            <w:shd w:val="clear" w:color="auto" w:fill="DCDCDC"/>
            <w:noWrap w:val="0"/>
            <w:vAlign w:val="center"/>
          </w:tcPr>
          <w:p>
            <w:pPr>
              <w:jc w:val="center"/>
            </w:pPr>
            <w:r>
              <w:rPr>
                <w:rFonts w:hint="eastAsia" w:ascii="宋体" w:hAnsi="宋体"/>
                <w:b/>
                <w:bCs/>
                <w:color w:val="000000"/>
                <w:sz w:val="20"/>
                <w:szCs w:val="20"/>
              </w:rPr>
              <w:t>满分</w:t>
            </w:r>
          </w:p>
        </w:tc>
        <w:tc>
          <w:tcPr>
            <w:tcW w:w="800" w:type="dxa"/>
            <w:shd w:val="clear" w:color="auto" w:fill="DCDCDC"/>
            <w:noWrap w:val="0"/>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控制项</w:t>
            </w:r>
          </w:p>
        </w:tc>
        <w:tc>
          <w:tcPr>
            <w:tcW w:w="800" w:type="dxa"/>
            <w:noWrap w:val="0"/>
            <w:vAlign w:val="center"/>
          </w:tcPr>
          <w:p>
            <w:r>
              <w:rPr>
                <w:rFonts w:hint="eastAsia" w:ascii="宋体" w:hAnsi="宋体"/>
                <w:bCs/>
                <w:color w:val="000000"/>
                <w:sz w:val="22"/>
              </w:rPr>
              <w:t>5.1.1</w:t>
            </w:r>
          </w:p>
        </w:tc>
        <w:tc>
          <w:tcPr>
            <w:tcW w:w="5000" w:type="dxa"/>
            <w:noWrap w:val="0"/>
            <w:vAlign w:val="center"/>
          </w:tcPr>
          <w:p>
            <w:r>
              <w:rPr>
                <w:rFonts w:hint="eastAsia" w:ascii="宋体" w:hAnsi="宋体"/>
                <w:bCs/>
                <w:color w:val="000000"/>
                <w:sz w:val="22"/>
              </w:rPr>
              <w:t>空气污染物</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5.1.2</w:t>
            </w:r>
          </w:p>
        </w:tc>
        <w:tc>
          <w:tcPr>
            <w:tcW w:w="5000" w:type="dxa"/>
            <w:noWrap w:val="0"/>
            <w:vAlign w:val="center"/>
          </w:tcPr>
          <w:p>
            <w:r>
              <w:rPr>
                <w:rFonts w:hint="eastAsia" w:ascii="宋体" w:hAnsi="宋体"/>
                <w:bCs/>
                <w:color w:val="000000"/>
                <w:sz w:val="22"/>
              </w:rPr>
              <w:t>避免室内空气污染</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5.1.3</w:t>
            </w:r>
          </w:p>
        </w:tc>
        <w:tc>
          <w:tcPr>
            <w:tcW w:w="5000" w:type="dxa"/>
            <w:noWrap w:val="0"/>
            <w:vAlign w:val="center"/>
          </w:tcPr>
          <w:p>
            <w:r>
              <w:rPr>
                <w:rFonts w:hint="eastAsia" w:ascii="宋体" w:hAnsi="宋体"/>
                <w:bCs/>
                <w:color w:val="000000"/>
                <w:sz w:val="22"/>
              </w:rPr>
              <w:t>给排水系统合规</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5.1.4</w:t>
            </w:r>
          </w:p>
        </w:tc>
        <w:tc>
          <w:tcPr>
            <w:tcW w:w="5000" w:type="dxa"/>
            <w:noWrap w:val="0"/>
            <w:vAlign w:val="center"/>
          </w:tcPr>
          <w:p>
            <w:r>
              <w:rPr>
                <w:rFonts w:hint="eastAsia" w:ascii="宋体" w:hAnsi="宋体"/>
                <w:bCs/>
                <w:color w:val="000000"/>
                <w:sz w:val="22"/>
              </w:rPr>
              <w:t>室内声环境</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5.1.5</w:t>
            </w:r>
          </w:p>
        </w:tc>
        <w:tc>
          <w:tcPr>
            <w:tcW w:w="5000" w:type="dxa"/>
            <w:noWrap w:val="0"/>
            <w:vAlign w:val="center"/>
          </w:tcPr>
          <w:p>
            <w:r>
              <w:rPr>
                <w:rFonts w:hint="eastAsia" w:ascii="宋体" w:hAnsi="宋体"/>
                <w:bCs/>
                <w:color w:val="000000"/>
                <w:sz w:val="22"/>
              </w:rPr>
              <w:t>建筑照明</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5.1.6</w:t>
            </w:r>
          </w:p>
        </w:tc>
        <w:tc>
          <w:tcPr>
            <w:tcW w:w="5000" w:type="dxa"/>
            <w:noWrap w:val="0"/>
            <w:vAlign w:val="center"/>
          </w:tcPr>
          <w:p>
            <w:r>
              <w:rPr>
                <w:rFonts w:hint="eastAsia" w:ascii="宋体" w:hAnsi="宋体"/>
                <w:bCs/>
                <w:color w:val="000000"/>
                <w:sz w:val="22"/>
              </w:rPr>
              <w:t>暖通设计参数</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5.1.7</w:t>
            </w:r>
          </w:p>
        </w:tc>
        <w:tc>
          <w:tcPr>
            <w:tcW w:w="5000" w:type="dxa"/>
            <w:noWrap w:val="0"/>
            <w:vAlign w:val="center"/>
          </w:tcPr>
          <w:p>
            <w:r>
              <w:rPr>
                <w:rFonts w:hint="eastAsia" w:ascii="宋体" w:hAnsi="宋体"/>
                <w:bCs/>
                <w:color w:val="000000"/>
                <w:sz w:val="22"/>
              </w:rPr>
              <w:t>围护结构热工性能</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5.1.8</w:t>
            </w:r>
          </w:p>
        </w:tc>
        <w:tc>
          <w:tcPr>
            <w:tcW w:w="5000" w:type="dxa"/>
            <w:noWrap w:val="0"/>
            <w:vAlign w:val="center"/>
          </w:tcPr>
          <w:p>
            <w:r>
              <w:rPr>
                <w:rFonts w:hint="eastAsia" w:ascii="宋体" w:hAnsi="宋体"/>
                <w:bCs/>
                <w:color w:val="000000"/>
                <w:sz w:val="22"/>
              </w:rPr>
              <w:t>室内热环境调节</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5.1.9</w:t>
            </w:r>
          </w:p>
        </w:tc>
        <w:tc>
          <w:tcPr>
            <w:tcW w:w="5000" w:type="dxa"/>
            <w:noWrap w:val="0"/>
            <w:vAlign w:val="center"/>
          </w:tcPr>
          <w:p>
            <w:r>
              <w:rPr>
                <w:rFonts w:hint="eastAsia" w:ascii="宋体" w:hAnsi="宋体"/>
                <w:bCs/>
                <w:color w:val="000000"/>
                <w:sz w:val="22"/>
              </w:rPr>
              <w:t>地下车库CO监测</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评分项</w:t>
            </w:r>
          </w:p>
        </w:tc>
        <w:tc>
          <w:tcPr>
            <w:tcW w:w="800" w:type="dxa"/>
            <w:noWrap w:val="0"/>
            <w:vAlign w:val="center"/>
          </w:tcPr>
          <w:p>
            <w:r>
              <w:rPr>
                <w:rFonts w:hint="eastAsia" w:ascii="宋体" w:hAnsi="宋体"/>
                <w:bCs/>
                <w:color w:val="000000"/>
                <w:sz w:val="22"/>
              </w:rPr>
              <w:t>5.2.1</w:t>
            </w:r>
          </w:p>
        </w:tc>
        <w:tc>
          <w:tcPr>
            <w:tcW w:w="5000" w:type="dxa"/>
            <w:noWrap w:val="0"/>
            <w:vAlign w:val="center"/>
          </w:tcPr>
          <w:p>
            <w:r>
              <w:rPr>
                <w:rFonts w:hint="eastAsia" w:ascii="宋体" w:hAnsi="宋体"/>
                <w:bCs/>
                <w:color w:val="000000"/>
                <w:sz w:val="22"/>
              </w:rPr>
              <w:t>空气污染物浓度</w:t>
            </w:r>
          </w:p>
        </w:tc>
        <w:tc>
          <w:tcPr>
            <w:tcW w:w="800" w:type="dxa"/>
            <w:noWrap w:val="0"/>
            <w:vAlign w:val="center"/>
          </w:tcPr>
          <w:p>
            <w:pPr>
              <w:jc w:val="center"/>
            </w:pPr>
            <w:r>
              <w:rPr>
                <w:rFonts w:hint="eastAsia" w:ascii="宋体" w:hAnsi="宋体"/>
                <w:bCs/>
                <w:color w:val="000000"/>
                <w:sz w:val="22"/>
              </w:rPr>
              <w:t>12</w:t>
            </w:r>
          </w:p>
        </w:tc>
        <w:tc>
          <w:tcPr>
            <w:tcW w:w="800" w:type="dxa"/>
            <w:noWrap w:val="0"/>
            <w:vAlign w:val="center"/>
          </w:tcPr>
          <w:p>
            <w:pPr>
              <w:jc w:val="center"/>
            </w:pPr>
            <w:r>
              <w:rPr>
                <w:rFonts w:hint="eastAsia" w:ascii="宋体" w:hAnsi="宋体"/>
                <w:bCs/>
                <w:color w:val="000000"/>
                <w:sz w:val="22"/>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5.2.2</w:t>
            </w:r>
          </w:p>
        </w:tc>
        <w:tc>
          <w:tcPr>
            <w:tcW w:w="5000" w:type="dxa"/>
            <w:noWrap w:val="0"/>
            <w:vAlign w:val="center"/>
          </w:tcPr>
          <w:p>
            <w:r>
              <w:rPr>
                <w:rFonts w:hint="eastAsia" w:ascii="宋体" w:hAnsi="宋体"/>
                <w:bCs/>
                <w:color w:val="000000"/>
                <w:sz w:val="22"/>
              </w:rPr>
              <w:t>装修材料安全</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5.2.3</w:t>
            </w:r>
          </w:p>
        </w:tc>
        <w:tc>
          <w:tcPr>
            <w:tcW w:w="5000" w:type="dxa"/>
            <w:noWrap w:val="0"/>
            <w:vAlign w:val="center"/>
          </w:tcPr>
          <w:p>
            <w:r>
              <w:rPr>
                <w:rFonts w:hint="eastAsia" w:ascii="宋体" w:hAnsi="宋体"/>
                <w:bCs/>
                <w:color w:val="000000"/>
                <w:sz w:val="22"/>
              </w:rPr>
              <w:t>水质安全</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5.2.4</w:t>
            </w:r>
          </w:p>
        </w:tc>
        <w:tc>
          <w:tcPr>
            <w:tcW w:w="5000" w:type="dxa"/>
            <w:noWrap w:val="0"/>
            <w:vAlign w:val="center"/>
          </w:tcPr>
          <w:p>
            <w:r>
              <w:rPr>
                <w:rFonts w:hint="eastAsia" w:ascii="宋体" w:hAnsi="宋体"/>
                <w:bCs/>
                <w:color w:val="000000"/>
                <w:sz w:val="22"/>
              </w:rPr>
              <w:t>饮用水储水卫生</w:t>
            </w:r>
          </w:p>
        </w:tc>
        <w:tc>
          <w:tcPr>
            <w:tcW w:w="800" w:type="dxa"/>
            <w:noWrap w:val="0"/>
            <w:vAlign w:val="center"/>
          </w:tcPr>
          <w:p>
            <w:pPr>
              <w:jc w:val="center"/>
            </w:pPr>
            <w:r>
              <w:rPr>
                <w:rFonts w:hint="eastAsia" w:ascii="宋体" w:hAnsi="宋体"/>
                <w:bCs/>
                <w:color w:val="000000"/>
                <w:sz w:val="22"/>
              </w:rPr>
              <w:t>9</w:t>
            </w:r>
          </w:p>
        </w:tc>
        <w:tc>
          <w:tcPr>
            <w:tcW w:w="800" w:type="dxa"/>
            <w:noWrap w:val="0"/>
            <w:vAlign w:val="center"/>
          </w:tcPr>
          <w:p>
            <w:pPr>
              <w:jc w:val="center"/>
            </w:pPr>
            <w:r>
              <w:rPr>
                <w:rFonts w:hint="eastAsia" w:ascii="宋体" w:hAnsi="宋体"/>
                <w:bCs/>
                <w:color w:val="000000"/>
                <w:sz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5.2.5</w:t>
            </w:r>
          </w:p>
        </w:tc>
        <w:tc>
          <w:tcPr>
            <w:tcW w:w="5000" w:type="dxa"/>
            <w:noWrap w:val="0"/>
            <w:vAlign w:val="center"/>
          </w:tcPr>
          <w:p>
            <w:r>
              <w:rPr>
                <w:rFonts w:hint="eastAsia" w:ascii="宋体" w:hAnsi="宋体"/>
                <w:bCs/>
                <w:color w:val="000000"/>
                <w:sz w:val="22"/>
              </w:rPr>
              <w:t>给排水管线标识</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5.2.6</w:t>
            </w:r>
          </w:p>
        </w:tc>
        <w:tc>
          <w:tcPr>
            <w:tcW w:w="5000" w:type="dxa"/>
            <w:noWrap w:val="0"/>
            <w:vAlign w:val="center"/>
          </w:tcPr>
          <w:p>
            <w:r>
              <w:rPr>
                <w:rFonts w:hint="eastAsia" w:ascii="宋体" w:hAnsi="宋体"/>
                <w:bCs/>
                <w:color w:val="000000"/>
                <w:sz w:val="22"/>
              </w:rPr>
              <w:t>室内噪声级</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5.2.7</w:t>
            </w:r>
          </w:p>
        </w:tc>
        <w:tc>
          <w:tcPr>
            <w:tcW w:w="5000" w:type="dxa"/>
            <w:noWrap w:val="0"/>
            <w:vAlign w:val="center"/>
          </w:tcPr>
          <w:p>
            <w:r>
              <w:rPr>
                <w:rFonts w:hint="eastAsia" w:ascii="宋体" w:hAnsi="宋体"/>
                <w:bCs/>
                <w:color w:val="000000"/>
                <w:sz w:val="22"/>
              </w:rPr>
              <w:t>构件隔声性能</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5.2.8</w:t>
            </w:r>
          </w:p>
        </w:tc>
        <w:tc>
          <w:tcPr>
            <w:tcW w:w="5000" w:type="dxa"/>
            <w:noWrap w:val="0"/>
            <w:vAlign w:val="center"/>
          </w:tcPr>
          <w:p>
            <w:r>
              <w:rPr>
                <w:rFonts w:hint="eastAsia" w:ascii="宋体" w:hAnsi="宋体"/>
                <w:bCs/>
                <w:color w:val="000000"/>
                <w:sz w:val="22"/>
              </w:rPr>
              <w:t>天然采光</w:t>
            </w:r>
          </w:p>
        </w:tc>
        <w:tc>
          <w:tcPr>
            <w:tcW w:w="800" w:type="dxa"/>
            <w:noWrap w:val="0"/>
            <w:vAlign w:val="center"/>
          </w:tcPr>
          <w:p>
            <w:pPr>
              <w:jc w:val="center"/>
            </w:pPr>
            <w:r>
              <w:rPr>
                <w:rFonts w:hint="eastAsia" w:ascii="宋体" w:hAnsi="宋体"/>
                <w:bCs/>
                <w:color w:val="000000"/>
                <w:sz w:val="22"/>
              </w:rPr>
              <w:t>12</w:t>
            </w:r>
          </w:p>
        </w:tc>
        <w:tc>
          <w:tcPr>
            <w:tcW w:w="800" w:type="dxa"/>
            <w:noWrap w:val="0"/>
            <w:vAlign w:val="center"/>
          </w:tcPr>
          <w:p>
            <w:pPr>
              <w:jc w:val="center"/>
            </w:pPr>
            <w:r>
              <w:rPr>
                <w:rFonts w:hint="eastAsia" w:ascii="宋体" w:hAnsi="宋体"/>
                <w:bCs/>
                <w:color w:val="000000"/>
                <w:sz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5.2.9</w:t>
            </w:r>
          </w:p>
        </w:tc>
        <w:tc>
          <w:tcPr>
            <w:tcW w:w="5000" w:type="dxa"/>
            <w:noWrap w:val="0"/>
            <w:vAlign w:val="center"/>
          </w:tcPr>
          <w:p>
            <w:r>
              <w:rPr>
                <w:rFonts w:hint="eastAsia" w:ascii="宋体" w:hAnsi="宋体"/>
                <w:bCs/>
                <w:color w:val="000000"/>
                <w:sz w:val="22"/>
              </w:rPr>
              <w:t>室内热湿环境</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5.2.10</w:t>
            </w:r>
          </w:p>
        </w:tc>
        <w:tc>
          <w:tcPr>
            <w:tcW w:w="5000" w:type="dxa"/>
            <w:noWrap w:val="0"/>
            <w:vAlign w:val="center"/>
          </w:tcPr>
          <w:p>
            <w:r>
              <w:rPr>
                <w:rFonts w:hint="eastAsia" w:ascii="宋体" w:hAnsi="宋体"/>
                <w:bCs/>
                <w:color w:val="000000"/>
                <w:sz w:val="22"/>
              </w:rPr>
              <w:t>自然通风优化</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5.2.11</w:t>
            </w:r>
          </w:p>
        </w:tc>
        <w:tc>
          <w:tcPr>
            <w:tcW w:w="5000" w:type="dxa"/>
            <w:noWrap w:val="0"/>
            <w:vAlign w:val="center"/>
          </w:tcPr>
          <w:p>
            <w:r>
              <w:rPr>
                <w:rFonts w:hint="eastAsia" w:ascii="宋体" w:hAnsi="宋体"/>
                <w:bCs/>
                <w:color w:val="000000"/>
                <w:sz w:val="22"/>
              </w:rPr>
              <w:t>可调节遮阳设施</w:t>
            </w:r>
          </w:p>
        </w:tc>
        <w:tc>
          <w:tcPr>
            <w:tcW w:w="800" w:type="dxa"/>
            <w:noWrap w:val="0"/>
            <w:vAlign w:val="center"/>
          </w:tcPr>
          <w:p>
            <w:pPr>
              <w:jc w:val="center"/>
            </w:pPr>
            <w:r>
              <w:rPr>
                <w:rFonts w:hint="eastAsia" w:ascii="宋体" w:hAnsi="宋体"/>
                <w:bCs/>
                <w:color w:val="000000"/>
                <w:sz w:val="22"/>
              </w:rPr>
              <w:t>9</w:t>
            </w:r>
          </w:p>
        </w:tc>
        <w:tc>
          <w:tcPr>
            <w:tcW w:w="800" w:type="dxa"/>
            <w:noWrap w:val="0"/>
            <w:vAlign w:val="center"/>
          </w:tcPr>
          <w:p>
            <w:pPr>
              <w:jc w:val="center"/>
            </w:pPr>
            <w:r>
              <w:rPr>
                <w:rFonts w:hint="eastAsia" w:ascii="宋体" w:hAnsi="宋体"/>
                <w:bCs/>
                <w:color w:val="000000"/>
                <w:sz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gridSpan w:val="3"/>
            <w:shd w:val="clear" w:color="auto" w:fill="DCDCDC"/>
            <w:noWrap w:val="0"/>
            <w:vAlign w:val="center"/>
          </w:tcPr>
          <w:p>
            <w:pPr>
              <w:jc w:val="center"/>
            </w:pPr>
            <w:r>
              <w:rPr>
                <w:rFonts w:hint="eastAsia" w:ascii="宋体" w:hAnsi="宋体"/>
                <w:b/>
                <w:bCs/>
                <w:color w:val="000000"/>
                <w:sz w:val="20"/>
                <w:szCs w:val="20"/>
              </w:rPr>
              <w:t>合计</w:t>
            </w:r>
          </w:p>
        </w:tc>
        <w:tc>
          <w:tcPr>
            <w:tcW w:w="800" w:type="dxa"/>
            <w:noWrap w:val="0"/>
            <w:vAlign w:val="center"/>
          </w:tcPr>
          <w:p>
            <w:pPr>
              <w:jc w:val="center"/>
            </w:pPr>
            <w:r>
              <w:rPr>
                <w:rFonts w:hint="eastAsia" w:ascii="宋体" w:hAnsi="宋体"/>
                <w:bCs/>
                <w:color w:val="000000"/>
                <w:sz w:val="22"/>
              </w:rPr>
              <w:t>100.0</w:t>
            </w:r>
          </w:p>
        </w:tc>
        <w:tc>
          <w:tcPr>
            <w:tcW w:w="800" w:type="dxa"/>
            <w:noWrap w:val="0"/>
            <w:vAlign w:val="center"/>
          </w:tcPr>
          <w:p>
            <w:pPr>
              <w:jc w:val="center"/>
            </w:pPr>
            <w:r>
              <w:rPr>
                <w:rFonts w:hint="eastAsia" w:ascii="宋体" w:hAnsi="宋体"/>
                <w:bCs/>
                <w:color w:val="000000"/>
                <w:sz w:val="22"/>
              </w:rPr>
              <w:t>88.0</w:t>
            </w: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5.1.1</w:t>
      </w:r>
      <w:r>
        <w:rPr>
          <w:rFonts w:hint="eastAsia"/>
          <w:sz w:val="24"/>
          <w:szCs w:val="40"/>
        </w:rPr>
        <w:t xml:space="preserve"> </w:t>
      </w:r>
      <w:r>
        <w:rPr>
          <w:sz w:val="24"/>
          <w:szCs w:val="40"/>
        </w:rPr>
        <w:t>室内空气中的氨、甲醛、苯、总挥发性有机物、氡等污染物浓度应符合现行国家标准《室内空气质量标准》GB/T 18883的有关规定。建筑室内和建筑主出入口处应禁止吸烟，并应在醒目位置设置禁烟标志。</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请对室内空气质量</w:t>
      </w:r>
      <w:r>
        <w:rPr>
          <w:rFonts w:hint="eastAsia" w:ascii="Times New Roman" w:hAnsi="Times New Roman"/>
          <w:szCs w:val="21"/>
        </w:rPr>
        <w:t>达标情况进行</w:t>
      </w:r>
      <w:r>
        <w:rPr>
          <w:rFonts w:ascii="Times New Roman" w:hAnsi="Times New Roman"/>
          <w:szCs w:val="21"/>
        </w:rPr>
        <w:t>简要说明</w:t>
      </w:r>
      <w:r>
        <w:rPr>
          <w:rFonts w:hint="eastAsia" w:ascii="Times New Roman" w:hAnsi="Times New Roman"/>
          <w:szCs w:val="21"/>
        </w:rPr>
        <w:t>：</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21" w:hRule="atLeast"/>
        </w:trPr>
        <w:tc>
          <w:tcPr>
            <w:tcW w:w="9356" w:type="dxa"/>
            <w:shd w:val="clear" w:color="auto" w:fill="auto"/>
            <w:noWrap w:val="0"/>
            <w:vAlign w:val="top"/>
          </w:tcPr>
          <w:p>
            <w:pPr>
              <w:ind w:firstLine="400" w:firstLineChars="200"/>
              <w:rPr>
                <w:rFonts w:ascii="宋体" w:hAnsi="宋体"/>
                <w:kern w:val="0"/>
                <w:sz w:val="20"/>
                <w:szCs w:val="21"/>
              </w:rPr>
            </w:pPr>
            <w:r>
              <w:rPr>
                <w:rFonts w:hint="eastAsia" w:ascii="宋体" w:hAnsi="宋体"/>
                <w:kern w:val="0"/>
                <w:sz w:val="20"/>
                <w:szCs w:val="21"/>
              </w:rPr>
              <w:t>室内新风除霾空调一体机上有空气参数显示面板，当空气参数超标时进行预警，并联动新风机进行空气处理。</w:t>
            </w:r>
          </w:p>
          <w:p>
            <w:pPr>
              <w:ind w:firstLine="400" w:firstLineChars="200"/>
              <w:rPr>
                <w:rFonts w:ascii="宋体" w:hAnsi="宋体"/>
                <w:kern w:val="0"/>
                <w:sz w:val="20"/>
                <w:szCs w:val="21"/>
              </w:rPr>
            </w:pPr>
            <w:r>
              <w:rPr>
                <w:rFonts w:hint="eastAsia" w:ascii="宋体" w:hAnsi="宋体"/>
                <w:kern w:val="0"/>
                <w:sz w:val="20"/>
                <w:szCs w:val="21"/>
              </w:rPr>
              <w:t>主要功能建筑均采用新风换气机送新风，卫生间排风的方式（排风量为送风量的80~90%）保证室内空气质量。其他房间合理布置送回风口位置，使气流组织合理，房间无死角。</w:t>
            </w:r>
          </w:p>
        </w:tc>
      </w:tr>
    </w:tbl>
    <w:p>
      <w:pPr>
        <w:rPr>
          <w:rFonts w:ascii="Times New Roman" w:hAnsi="Times New Roman"/>
          <w:szCs w:val="21"/>
        </w:rPr>
      </w:pPr>
    </w:p>
    <w:p>
      <w:pPr>
        <w:rPr>
          <w:rFonts w:ascii="Times New Roman" w:hAnsi="Times New Roman"/>
          <w:szCs w:val="21"/>
        </w:rPr>
      </w:pPr>
      <w:r>
        <w:rPr>
          <w:rFonts w:ascii="Times New Roman" w:hAnsi="Times New Roman"/>
          <w:szCs w:val="21"/>
        </w:rPr>
        <w:t>请对室内禁烟标志</w:t>
      </w:r>
      <w:r>
        <w:rPr>
          <w:rFonts w:hint="eastAsia" w:ascii="Times New Roman" w:hAnsi="Times New Roman"/>
          <w:szCs w:val="21"/>
        </w:rPr>
        <w:t>设置情况进行</w:t>
      </w:r>
      <w:r>
        <w:rPr>
          <w:rFonts w:ascii="Times New Roman" w:hAnsi="Times New Roman"/>
          <w:szCs w:val="21"/>
        </w:rPr>
        <w:t>简要说明：</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11" w:hRule="atLeast"/>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）相关专业</w:t>
      </w:r>
      <w:r>
        <w:rPr>
          <w:rFonts w:ascii="Times New Roman" w:hAnsi="Times New Roman"/>
          <w:szCs w:val="21"/>
        </w:rPr>
        <w:t>竣工图</w:t>
      </w:r>
      <w:r>
        <w:rPr>
          <w:rFonts w:hint="eastAsia" w:ascii="Times New Roman" w:hAnsi="Times New Roman"/>
          <w:szCs w:val="21"/>
        </w:rPr>
        <w:t>及说明文件；</w:t>
      </w:r>
    </w:p>
    <w:p>
      <w:pPr>
        <w:rPr>
          <w:rFonts w:ascii="Times New Roman" w:hAnsi="Times New Roman"/>
          <w:szCs w:val="21"/>
        </w:rPr>
      </w:pPr>
      <w:r>
        <w:rPr>
          <w:rFonts w:ascii="Times New Roman" w:hAnsi="Times New Roman"/>
          <w:szCs w:val="21"/>
        </w:rPr>
        <w:t>2</w:t>
      </w:r>
      <w:r>
        <w:rPr>
          <w:rFonts w:hint="eastAsia" w:ascii="Times New Roman" w:hAnsi="Times New Roman"/>
          <w:szCs w:val="21"/>
        </w:rPr>
        <w:t>）选用</w:t>
      </w:r>
      <w:r>
        <w:rPr>
          <w:rFonts w:ascii="Times New Roman" w:hAnsi="Times New Roman"/>
          <w:szCs w:val="21"/>
        </w:rPr>
        <w:t>装修材料</w:t>
      </w:r>
      <w:r>
        <w:rPr>
          <w:rFonts w:hint="eastAsia" w:ascii="Times New Roman" w:hAnsi="Times New Roman"/>
          <w:szCs w:val="21"/>
        </w:rPr>
        <w:t>的</w:t>
      </w:r>
      <w:r>
        <w:rPr>
          <w:rFonts w:ascii="Times New Roman" w:hAnsi="Times New Roman"/>
          <w:szCs w:val="21"/>
        </w:rPr>
        <w:t>种类、用量</w:t>
      </w:r>
      <w:r>
        <w:rPr>
          <w:rFonts w:hint="eastAsia" w:ascii="Times New Roman" w:hAnsi="Times New Roman"/>
          <w:szCs w:val="21"/>
        </w:rPr>
        <w:t>及相关检测报告；</w:t>
      </w:r>
    </w:p>
    <w:p>
      <w:pPr>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室内空气质量</w:t>
      </w:r>
      <w:r>
        <w:rPr>
          <w:rFonts w:hint="eastAsia" w:ascii="Times New Roman" w:hAnsi="Times New Roman"/>
          <w:szCs w:val="21"/>
        </w:rPr>
        <w:t>检测</w:t>
      </w:r>
      <w:r>
        <w:rPr>
          <w:rFonts w:ascii="Times New Roman" w:hAnsi="Times New Roman"/>
          <w:szCs w:val="21"/>
        </w:rPr>
        <w:t>报告</w:t>
      </w:r>
      <w:r>
        <w:rPr>
          <w:rFonts w:hint="eastAsia" w:ascii="Times New Roman" w:hAnsi="Times New Roman"/>
          <w:szCs w:val="21"/>
        </w:rPr>
        <w:t>；</w:t>
      </w:r>
    </w:p>
    <w:p>
      <w:pPr>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禁烟标志</w:t>
      </w:r>
      <w:r>
        <w:rPr>
          <w:rFonts w:hint="eastAsia" w:ascii="Times New Roman" w:hAnsi="Times New Roman"/>
          <w:szCs w:val="21"/>
        </w:rPr>
        <w:t>设置情况。</w:t>
      </w:r>
    </w:p>
    <w:p>
      <w:pPr>
        <w:rPr>
          <w:rFonts w:ascii="Times New Roman" w:hAnsi="Times New Roman"/>
          <w:szCs w:val="21"/>
        </w:rPr>
      </w:pPr>
      <w:r>
        <w:rPr>
          <w:rFonts w:ascii="Times New Roman" w:hAnsi="Times New Roman"/>
          <w:szCs w:val="21"/>
        </w:rPr>
        <w:t>实际提交材料：</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63" w:hRule="atLeast"/>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5.1.2</w:t>
      </w:r>
      <w:r>
        <w:rPr>
          <w:rFonts w:hint="eastAsia"/>
          <w:sz w:val="24"/>
          <w:szCs w:val="40"/>
        </w:rPr>
        <w:t xml:space="preserve"> </w:t>
      </w:r>
      <w:r>
        <w:rPr>
          <w:sz w:val="24"/>
          <w:szCs w:val="40"/>
        </w:rPr>
        <w:t>应采取措施避免厨房、餐厅、打印复印室、卫生间、地下车库等区域的空气和污染物串通到其他空间；应防止厨房、卫生间的排气倒灌。</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请对避免厨房、餐厅、打印复印室、卫生间、地下车库等区域的空气和污染物串通到其他空间的措施</w:t>
      </w:r>
      <w:r>
        <w:rPr>
          <w:rFonts w:hint="eastAsia" w:ascii="Times New Roman" w:hAnsi="Times New Roman"/>
          <w:szCs w:val="21"/>
        </w:rPr>
        <w:t>进行</w:t>
      </w:r>
      <w:r>
        <w:rPr>
          <w:rFonts w:ascii="Times New Roman" w:hAnsi="Times New Roman"/>
          <w:szCs w:val="21"/>
        </w:rPr>
        <w:t>简要说明（不超过300字）</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宋体" w:hAnsi="宋体"/>
                <w:color w:val="000000"/>
                <w:kern w:val="0"/>
                <w:sz w:val="20"/>
                <w:szCs w:val="21"/>
              </w:rPr>
            </w:pPr>
            <w:r>
              <w:rPr>
                <w:rFonts w:hint="eastAsia" w:ascii="宋体" w:hAnsi="宋体"/>
                <w:color w:val="000000"/>
                <w:kern w:val="0"/>
                <w:sz w:val="20"/>
                <w:szCs w:val="21"/>
              </w:rPr>
              <w:t>食堂屋顶上设置油烟净化器。</w:t>
            </w:r>
          </w:p>
          <w:p>
            <w:pPr>
              <w:ind w:firstLine="400" w:firstLineChars="200"/>
              <w:rPr>
                <w:rFonts w:ascii="Times New Roman" w:hAnsi="Times New Roman"/>
                <w:kern w:val="0"/>
                <w:sz w:val="20"/>
                <w:szCs w:val="21"/>
              </w:rPr>
            </w:pPr>
            <w:r>
              <w:rPr>
                <w:rFonts w:hint="eastAsia" w:ascii="Times New Roman" w:hAnsi="Times New Roman"/>
                <w:kern w:val="0"/>
                <w:sz w:val="20"/>
                <w:szCs w:val="21"/>
              </w:rPr>
              <w:t>卫生间、餐厅设排风口，避免串味。</w:t>
            </w:r>
          </w:p>
          <w:p>
            <w:pPr>
              <w:ind w:firstLine="400" w:firstLineChars="200"/>
              <w:rPr>
                <w:rFonts w:ascii="Times New Roman" w:hAnsi="Times New Roman"/>
                <w:kern w:val="0"/>
                <w:sz w:val="20"/>
                <w:szCs w:val="21"/>
              </w:rPr>
            </w:pPr>
            <w:r>
              <w:rPr>
                <w:rFonts w:hint="eastAsia" w:ascii="Times New Roman" w:hAnsi="Times New Roman"/>
                <w:kern w:val="0"/>
                <w:sz w:val="20"/>
                <w:szCs w:val="21"/>
              </w:rPr>
              <w:t>建筑中厨房，卫生间等易产生污染气体的房间设立排风设施，排出污染气体以保持其他房间空气清洁。</w:t>
            </w:r>
          </w:p>
          <w:p>
            <w:pPr>
              <w:ind w:firstLine="400" w:firstLineChars="200"/>
              <w:rPr>
                <w:rFonts w:ascii="Times New Roman" w:hAnsi="Times New Roman"/>
                <w:kern w:val="0"/>
                <w:sz w:val="20"/>
                <w:szCs w:val="21"/>
              </w:rPr>
            </w:pPr>
          </w:p>
        </w:tc>
      </w:tr>
    </w:tbl>
    <w:p>
      <w:pPr>
        <w:rPr>
          <w:rFonts w:ascii="Times New Roman" w:hAnsi="Times New Roman"/>
          <w:szCs w:val="21"/>
        </w:rPr>
      </w:pPr>
      <w:r>
        <w:rPr>
          <w:rFonts w:ascii="Times New Roman" w:hAnsi="Times New Roman"/>
          <w:szCs w:val="21"/>
        </w:rPr>
        <w:t>请对防止厨房、卫生间的排气倒灌措施</w:t>
      </w:r>
      <w:r>
        <w:rPr>
          <w:rFonts w:hint="eastAsia" w:ascii="Times New Roman" w:hAnsi="Times New Roman"/>
          <w:szCs w:val="21"/>
        </w:rPr>
        <w:t>进行</w:t>
      </w:r>
      <w:r>
        <w:rPr>
          <w:rFonts w:ascii="Times New Roman" w:hAnsi="Times New Roman"/>
          <w:szCs w:val="21"/>
        </w:rPr>
        <w:t>简要说明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17"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卫生间设防回流通风道，防止气味因主导风反灌进入室内；厨房设屋顶油烟净化器，烟气经净化符合排放标准后，排入大气。</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）与污染源空间相关的</w:t>
      </w:r>
      <w:r>
        <w:rPr>
          <w:rFonts w:ascii="Times New Roman" w:hAnsi="Times New Roman"/>
          <w:szCs w:val="21"/>
        </w:rPr>
        <w:t>建筑</w:t>
      </w:r>
      <w:r>
        <w:rPr>
          <w:rFonts w:hint="eastAsia" w:ascii="Times New Roman" w:hAnsi="Times New Roman"/>
          <w:szCs w:val="21"/>
        </w:rPr>
        <w:t>、</w:t>
      </w:r>
      <w:r>
        <w:rPr>
          <w:rFonts w:ascii="Times New Roman" w:hAnsi="Times New Roman"/>
          <w:szCs w:val="21"/>
        </w:rPr>
        <w:t>暖通</w:t>
      </w:r>
      <w:r>
        <w:rPr>
          <w:rFonts w:hint="eastAsia" w:ascii="Times New Roman" w:hAnsi="Times New Roman"/>
          <w:szCs w:val="21"/>
        </w:rPr>
        <w:t>专业</w:t>
      </w:r>
      <w:r>
        <w:rPr>
          <w:rFonts w:ascii="Times New Roman" w:hAnsi="Times New Roman"/>
          <w:szCs w:val="21"/>
        </w:rPr>
        <w:t>竣工图</w:t>
      </w:r>
      <w:r>
        <w:rPr>
          <w:rFonts w:hint="eastAsia" w:ascii="Times New Roman" w:hAnsi="Times New Roman"/>
          <w:szCs w:val="21"/>
        </w:rPr>
        <w:t>及说明，</w:t>
      </w:r>
      <w:r>
        <w:rPr>
          <w:rFonts w:ascii="Times New Roman" w:hAnsi="Times New Roman"/>
          <w:szCs w:val="21"/>
        </w:rPr>
        <w:t>关键</w:t>
      </w:r>
      <w:r>
        <w:rPr>
          <w:rFonts w:hint="eastAsia" w:ascii="Times New Roman" w:hAnsi="Times New Roman"/>
          <w:szCs w:val="21"/>
        </w:rPr>
        <w:t>设备参数表；</w:t>
      </w:r>
    </w:p>
    <w:p>
      <w:pP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室内气流组织模拟分析报告</w:t>
      </w:r>
      <w:r>
        <w:rPr>
          <w:rFonts w:hint="eastAsia" w:ascii="Times New Roman" w:hAnsi="Times New Roman"/>
          <w:szCs w:val="21"/>
        </w:rPr>
        <w:t>；</w:t>
      </w:r>
    </w:p>
    <w:p>
      <w:pPr>
        <w:rPr>
          <w:rFonts w:ascii="Times New Roman" w:hAnsi="Times New Roman"/>
          <w:szCs w:val="21"/>
        </w:rPr>
      </w:pPr>
      <w:r>
        <w:rPr>
          <w:rFonts w:ascii="Times New Roman" w:hAnsi="Times New Roman"/>
          <w:szCs w:val="21"/>
        </w:rPr>
        <w:t>3</w:t>
      </w:r>
      <w:r>
        <w:rPr>
          <w:rFonts w:hint="eastAsia" w:ascii="Times New Roman" w:hAnsi="Times New Roman"/>
          <w:szCs w:val="21"/>
        </w:rPr>
        <w:t>）防排气倒灌措施</w:t>
      </w:r>
      <w:r>
        <w:rPr>
          <w:rFonts w:ascii="Times New Roman" w:hAnsi="Times New Roman"/>
          <w:szCs w:val="21"/>
        </w:rPr>
        <w:t>相关</w:t>
      </w:r>
      <w:r>
        <w:rPr>
          <w:rFonts w:hint="eastAsia" w:ascii="Times New Roman" w:hAnsi="Times New Roman"/>
          <w:szCs w:val="21"/>
        </w:rPr>
        <w:t>的</w:t>
      </w:r>
      <w:r>
        <w:rPr>
          <w:rFonts w:ascii="Times New Roman" w:hAnsi="Times New Roman"/>
          <w:szCs w:val="21"/>
        </w:rPr>
        <w:t>产品性能检测报告</w:t>
      </w:r>
      <w:r>
        <w:rPr>
          <w:rFonts w:hint="eastAsia" w:ascii="Times New Roman" w:hAnsi="Times New Roman"/>
          <w:szCs w:val="21"/>
        </w:rPr>
        <w:t>。</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sz w:val="24"/>
          <w:szCs w:val="40"/>
        </w:rPr>
      </w:pPr>
      <w:r>
        <w:rPr>
          <w:sz w:val="24"/>
          <w:szCs w:val="40"/>
        </w:rPr>
        <w:t>5.1.3</w:t>
      </w:r>
      <w:r>
        <w:rPr>
          <w:rFonts w:hint="eastAsia"/>
          <w:sz w:val="24"/>
          <w:szCs w:val="40"/>
        </w:rPr>
        <w:t xml:space="preserve"> </w:t>
      </w:r>
      <w:r>
        <w:rPr>
          <w:sz w:val="24"/>
          <w:szCs w:val="40"/>
        </w:rPr>
        <w:t>给排水系统的设置应符合下列规定：1生活饮用水水质应满足现行国家标准《生活饮用水卫生标准》GB5749的要求；2应制定水池、水箱等储水设施定期清洗消毒计划并实施，且生活饮用水储水设施每半年清洗消毒应不少于1次；3应使用构造内自带水封的便器，且其水封深度应不小于50mm；4非传统水源管道和设备应设置明确、清晰的永久性标识。</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是否设置储水设施：</w:t>
      </w:r>
      <w:r>
        <w:rPr>
          <w:rFonts w:hint="eastAsia"/>
          <w:sz w:val="28"/>
        </w:rPr>
        <w:sym w:font="Wingdings 2" w:char="F0A3"/>
      </w:r>
      <w:r>
        <w:rPr>
          <w:rFonts w:ascii="Times New Roman" w:hAnsi="Times New Roman"/>
          <w:szCs w:val="21"/>
        </w:rPr>
        <w:t>是，</w:t>
      </w:r>
      <w:r>
        <w:rPr>
          <w:rFonts w:hint="eastAsia"/>
          <w:sz w:val="28"/>
        </w:rPr>
        <w:sym w:font="Wingdings 2" w:char="F0A3"/>
      </w:r>
      <w:r>
        <w:rPr>
          <w:rFonts w:ascii="Times New Roman" w:hAnsi="Times New Roman"/>
          <w:szCs w:val="21"/>
        </w:rPr>
        <w:t>否；</w:t>
      </w:r>
    </w:p>
    <w:p>
      <w:pPr>
        <w:rPr>
          <w:rFonts w:ascii="Times New Roman" w:hAnsi="Times New Roman"/>
          <w:szCs w:val="21"/>
        </w:rPr>
      </w:pPr>
      <w:r>
        <w:rPr>
          <w:rFonts w:ascii="Times New Roman" w:hAnsi="Times New Roman"/>
          <w:szCs w:val="21"/>
        </w:rPr>
        <w:t>饮用水储水设施每半年清洗</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次；</w:t>
      </w:r>
    </w:p>
    <w:p>
      <w:pPr>
        <w:rPr>
          <w:rFonts w:ascii="Times New Roman" w:hAnsi="Times New Roman"/>
          <w:szCs w:val="21"/>
        </w:rPr>
      </w:pPr>
      <w:r>
        <w:rPr>
          <w:rFonts w:ascii="Times New Roman" w:hAnsi="Times New Roman"/>
          <w:szCs w:val="21"/>
        </w:rPr>
        <w:t>请对水池、水箱等储水设施定期清洗消毒计划、水封</w:t>
      </w:r>
      <w:r>
        <w:rPr>
          <w:rFonts w:hint="eastAsia" w:ascii="Times New Roman" w:hAnsi="Times New Roman"/>
          <w:szCs w:val="21"/>
        </w:rPr>
        <w:t>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rPr>
          <w:rFonts w:ascii="Times New Roman" w:hAnsi="Times New Roman"/>
          <w:szCs w:val="21"/>
        </w:rPr>
      </w:pPr>
      <w:r>
        <w:rPr>
          <w:rFonts w:ascii="Times New Roman" w:hAnsi="Times New Roman"/>
          <w:szCs w:val="21"/>
        </w:rPr>
        <w:t>非传统水源管道和设备是否设置明确、清晰的永久性标识：</w:t>
      </w:r>
      <w:r>
        <w:rPr>
          <w:rFonts w:hint="eastAsia" w:ascii="宋体" w:hAnsi="宋体"/>
          <w:szCs w:val="21"/>
        </w:rPr>
        <w:t>□</w:t>
      </w:r>
      <w:r>
        <w:rPr>
          <w:rFonts w:ascii="Times New Roman" w:hAnsi="Times New Roman"/>
          <w:szCs w:val="21"/>
        </w:rPr>
        <w:t>是，</w:t>
      </w:r>
      <w:r>
        <w:rPr>
          <w:rFonts w:hint="eastAsia" w:ascii="宋体" w:hAnsi="宋体"/>
          <w:szCs w:val="21"/>
        </w:rPr>
        <w:t>□</w:t>
      </w:r>
      <w:r>
        <w:rPr>
          <w:rFonts w:ascii="Times New Roman" w:hAnsi="Times New Roman"/>
          <w:szCs w:val="21"/>
        </w:rPr>
        <w:t>否。</w:t>
      </w: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给排水竣工图纸</w:t>
      </w:r>
      <w:r>
        <w:rPr>
          <w:rFonts w:hint="eastAsia" w:ascii="Times New Roman" w:hAnsi="Times New Roman"/>
          <w:szCs w:val="21"/>
        </w:rPr>
        <w:t>；</w:t>
      </w:r>
    </w:p>
    <w:p>
      <w:pPr>
        <w:rPr>
          <w:rFonts w:ascii="Times New Roman" w:hAnsi="Times New Roman"/>
          <w:szCs w:val="21"/>
        </w:rPr>
      </w:pPr>
      <w:r>
        <w:rPr>
          <w:rFonts w:ascii="Times New Roman" w:hAnsi="Times New Roman"/>
          <w:szCs w:val="21"/>
        </w:rPr>
        <w:t>2</w:t>
      </w:r>
      <w:r>
        <w:rPr>
          <w:rFonts w:hint="eastAsia" w:ascii="Times New Roman" w:hAnsi="Times New Roman"/>
          <w:szCs w:val="21"/>
        </w:rPr>
        <w:t>）地漏、自带水封便器、水箱</w:t>
      </w:r>
      <w:r>
        <w:rPr>
          <w:rFonts w:ascii="Times New Roman" w:hAnsi="Times New Roman"/>
          <w:szCs w:val="21"/>
        </w:rPr>
        <w:t>、消毒用品、消毒器具</w:t>
      </w:r>
      <w:r>
        <w:rPr>
          <w:rFonts w:hint="eastAsia" w:ascii="Times New Roman" w:hAnsi="Times New Roman"/>
          <w:szCs w:val="21"/>
        </w:rPr>
        <w:t>的</w:t>
      </w:r>
      <w:r>
        <w:rPr>
          <w:rFonts w:ascii="Times New Roman" w:hAnsi="Times New Roman"/>
          <w:szCs w:val="21"/>
        </w:rPr>
        <w:t>产品说明</w:t>
      </w:r>
      <w:r>
        <w:rPr>
          <w:rFonts w:hint="eastAsia" w:ascii="Times New Roman" w:hAnsi="Times New Roman"/>
          <w:szCs w:val="21"/>
        </w:rPr>
        <w:t>书；</w:t>
      </w:r>
    </w:p>
    <w:p>
      <w:pPr>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各用水部门</w:t>
      </w:r>
      <w:r>
        <w:rPr>
          <w:rFonts w:hint="eastAsia" w:ascii="Times New Roman" w:hAnsi="Times New Roman"/>
          <w:szCs w:val="21"/>
        </w:rPr>
        <w:t>的</w:t>
      </w:r>
      <w:r>
        <w:rPr>
          <w:rFonts w:ascii="Times New Roman" w:hAnsi="Times New Roman"/>
          <w:szCs w:val="21"/>
        </w:rPr>
        <w:t>水质检测报告</w:t>
      </w:r>
      <w:r>
        <w:rPr>
          <w:rFonts w:hint="eastAsia" w:ascii="Times New Roman" w:hAnsi="Times New Roman"/>
          <w:szCs w:val="21"/>
        </w:rPr>
        <w:t>；</w:t>
      </w:r>
    </w:p>
    <w:p>
      <w:pPr>
        <w:rPr>
          <w:rFonts w:ascii="Times New Roman" w:hAnsi="Times New Roman"/>
          <w:szCs w:val="21"/>
        </w:rPr>
      </w:pPr>
      <w:r>
        <w:rPr>
          <w:rFonts w:ascii="Times New Roman" w:hAnsi="Times New Roman"/>
          <w:szCs w:val="21"/>
        </w:rPr>
        <w:t>4</w:t>
      </w:r>
      <w:r>
        <w:rPr>
          <w:rFonts w:hint="eastAsia" w:ascii="Times New Roman" w:hAnsi="Times New Roman"/>
          <w:szCs w:val="21"/>
        </w:rPr>
        <w:t>）清洗</w:t>
      </w:r>
      <w:r>
        <w:rPr>
          <w:rFonts w:ascii="Times New Roman" w:hAnsi="Times New Roman"/>
          <w:szCs w:val="21"/>
        </w:rPr>
        <w:t>消毒管理制度和</w:t>
      </w:r>
      <w:r>
        <w:rPr>
          <w:rFonts w:hint="eastAsia" w:ascii="Times New Roman" w:hAnsi="Times New Roman"/>
          <w:szCs w:val="21"/>
        </w:rPr>
        <w:t>储水</w:t>
      </w:r>
      <w:r>
        <w:rPr>
          <w:rFonts w:ascii="Times New Roman" w:hAnsi="Times New Roman"/>
          <w:szCs w:val="21"/>
        </w:rPr>
        <w:t>设施清洗消毒工作记录</w:t>
      </w:r>
      <w:r>
        <w:rPr>
          <w:rFonts w:hint="eastAsia" w:ascii="Times New Roman" w:hAnsi="Times New Roman"/>
          <w:szCs w:val="21"/>
        </w:rPr>
        <w:t>。</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5.1.4</w:t>
      </w:r>
      <w:r>
        <w:rPr>
          <w:rFonts w:hint="eastAsia"/>
          <w:sz w:val="24"/>
          <w:szCs w:val="40"/>
        </w:rPr>
        <w:t xml:space="preserve"> </w:t>
      </w:r>
      <w:r>
        <w:rPr>
          <w:sz w:val="24"/>
          <w:szCs w:val="40"/>
        </w:rPr>
        <w:t>主要功能房间的室内噪声级和隔声性能应符合下列规定：1室内噪声级应满足现行国家标准《民用建筑隔声设计规范》GB50118中的低限要求；2外墙、隔墙、楼板和门窗的隔声性能应满足现行国家标准《民用建筑隔声设计规范》GB50118中的低限要求。</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主要功能房间室内噪声值列表：</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2667"/>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 w:hRule="atLeast"/>
          <w:jc w:val="center"/>
        </w:trPr>
        <w:tc>
          <w:tcPr>
            <w:tcW w:w="1364" w:type="pct"/>
            <w:noWrap w:val="0"/>
            <w:vAlign w:val="center"/>
          </w:tcPr>
          <w:p>
            <w:pPr>
              <w:jc w:val="center"/>
              <w:rPr>
                <w:rFonts w:ascii="Times New Roman" w:hAnsi="Times New Roman"/>
                <w:szCs w:val="21"/>
              </w:rPr>
            </w:pPr>
            <w:r>
              <w:rPr>
                <w:rFonts w:ascii="Times New Roman" w:hAnsi="Times New Roman"/>
                <w:szCs w:val="21"/>
              </w:rPr>
              <w:t>主要功能房间名称</w:t>
            </w:r>
          </w:p>
        </w:tc>
        <w:tc>
          <w:tcPr>
            <w:tcW w:w="1666" w:type="pct"/>
            <w:noWrap w:val="0"/>
            <w:vAlign w:val="center"/>
          </w:tcPr>
          <w:p>
            <w:pPr>
              <w:jc w:val="center"/>
              <w:rPr>
                <w:rFonts w:ascii="Times New Roman" w:hAnsi="Times New Roman"/>
                <w:szCs w:val="21"/>
              </w:rPr>
            </w:pPr>
            <w:r>
              <w:rPr>
                <w:rFonts w:ascii="Times New Roman" w:hAnsi="Times New Roman"/>
                <w:szCs w:val="21"/>
              </w:rPr>
              <w:t>室内噪声值（dB）</w:t>
            </w:r>
          </w:p>
        </w:tc>
        <w:tc>
          <w:tcPr>
            <w:tcW w:w="1970" w:type="pct"/>
            <w:noWrap w:val="0"/>
            <w:vAlign w:val="center"/>
          </w:tcPr>
          <w:p>
            <w:pPr>
              <w:jc w:val="center"/>
              <w:rPr>
                <w:rFonts w:ascii="Times New Roman" w:hAnsi="Times New Roman"/>
                <w:szCs w:val="21"/>
              </w:rPr>
            </w:pPr>
            <w:r>
              <w:rPr>
                <w:rFonts w:ascii="Times New Roman" w:hAnsi="Times New Roman"/>
                <w:szCs w:val="21"/>
              </w:rPr>
              <w:t>允许噪声级低限标准（A声级，dB）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64" w:type="pct"/>
            <w:noWrap w:val="0"/>
            <w:vAlign w:val="top"/>
          </w:tcPr>
          <w:p>
            <w:pPr>
              <w:jc w:val="center"/>
              <w:rPr>
                <w:rFonts w:ascii="宋体" w:hAnsi="宋体"/>
                <w:szCs w:val="21"/>
              </w:rPr>
            </w:pPr>
          </w:p>
        </w:tc>
        <w:tc>
          <w:tcPr>
            <w:tcW w:w="1666" w:type="pct"/>
            <w:noWrap w:val="0"/>
            <w:vAlign w:val="top"/>
          </w:tcPr>
          <w:p>
            <w:pPr>
              <w:jc w:val="center"/>
              <w:rPr>
                <w:rFonts w:ascii="Times New Roman" w:hAnsi="Times New Roman"/>
                <w:szCs w:val="21"/>
              </w:rPr>
            </w:pPr>
          </w:p>
        </w:tc>
        <w:tc>
          <w:tcPr>
            <w:tcW w:w="1970" w:type="pct"/>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64" w:type="pct"/>
            <w:noWrap w:val="0"/>
            <w:vAlign w:val="top"/>
          </w:tcPr>
          <w:p>
            <w:pPr>
              <w:jc w:val="center"/>
              <w:rPr>
                <w:rFonts w:ascii="宋体" w:hAnsi="宋体"/>
                <w:szCs w:val="21"/>
              </w:rPr>
            </w:pPr>
          </w:p>
        </w:tc>
        <w:tc>
          <w:tcPr>
            <w:tcW w:w="1666" w:type="pct"/>
            <w:noWrap w:val="0"/>
            <w:vAlign w:val="top"/>
          </w:tcPr>
          <w:p>
            <w:pPr>
              <w:jc w:val="center"/>
              <w:rPr>
                <w:rFonts w:ascii="Times New Roman" w:hAnsi="Times New Roman"/>
                <w:color w:val="FF0000"/>
                <w:sz w:val="18"/>
                <w:szCs w:val="18"/>
              </w:rPr>
            </w:pPr>
          </w:p>
        </w:tc>
        <w:tc>
          <w:tcPr>
            <w:tcW w:w="1970" w:type="pct"/>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64" w:type="pct"/>
            <w:noWrap w:val="0"/>
            <w:vAlign w:val="top"/>
          </w:tcPr>
          <w:p>
            <w:pPr>
              <w:jc w:val="center"/>
              <w:rPr>
                <w:rFonts w:ascii="宋体" w:hAnsi="宋体"/>
                <w:szCs w:val="21"/>
              </w:rPr>
            </w:pPr>
          </w:p>
        </w:tc>
        <w:tc>
          <w:tcPr>
            <w:tcW w:w="1666" w:type="pct"/>
            <w:noWrap w:val="0"/>
            <w:vAlign w:val="top"/>
          </w:tcPr>
          <w:p>
            <w:pPr>
              <w:jc w:val="center"/>
              <w:rPr>
                <w:rFonts w:ascii="Times New Roman" w:hAnsi="Times New Roman"/>
                <w:color w:val="FF0000"/>
                <w:sz w:val="18"/>
                <w:szCs w:val="18"/>
              </w:rPr>
            </w:pPr>
          </w:p>
        </w:tc>
        <w:tc>
          <w:tcPr>
            <w:tcW w:w="1970" w:type="pct"/>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64" w:type="pct"/>
            <w:noWrap w:val="0"/>
            <w:vAlign w:val="top"/>
          </w:tcPr>
          <w:p>
            <w:pPr>
              <w:jc w:val="center"/>
              <w:rPr>
                <w:rFonts w:ascii="宋体" w:hAnsi="宋体"/>
                <w:szCs w:val="21"/>
              </w:rPr>
            </w:pPr>
          </w:p>
        </w:tc>
        <w:tc>
          <w:tcPr>
            <w:tcW w:w="1666" w:type="pct"/>
            <w:noWrap w:val="0"/>
            <w:vAlign w:val="top"/>
          </w:tcPr>
          <w:p>
            <w:pPr>
              <w:jc w:val="center"/>
              <w:rPr>
                <w:rFonts w:ascii="Times New Roman" w:hAnsi="Times New Roman"/>
                <w:color w:val="FF0000"/>
                <w:sz w:val="18"/>
                <w:szCs w:val="18"/>
              </w:rPr>
            </w:pPr>
          </w:p>
        </w:tc>
        <w:tc>
          <w:tcPr>
            <w:tcW w:w="1970" w:type="pct"/>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64" w:type="pct"/>
            <w:noWrap w:val="0"/>
            <w:vAlign w:val="top"/>
          </w:tcPr>
          <w:p>
            <w:pPr>
              <w:jc w:val="center"/>
              <w:rPr>
                <w:rFonts w:ascii="宋体" w:hAnsi="宋体"/>
                <w:szCs w:val="21"/>
              </w:rPr>
            </w:pPr>
          </w:p>
        </w:tc>
        <w:tc>
          <w:tcPr>
            <w:tcW w:w="1666" w:type="pct"/>
            <w:noWrap w:val="0"/>
            <w:vAlign w:val="top"/>
          </w:tcPr>
          <w:p>
            <w:pPr>
              <w:jc w:val="center"/>
              <w:rPr>
                <w:rFonts w:ascii="Times New Roman" w:hAnsi="Times New Roman"/>
                <w:color w:val="FF0000"/>
                <w:sz w:val="18"/>
                <w:szCs w:val="18"/>
              </w:rPr>
            </w:pPr>
          </w:p>
        </w:tc>
        <w:tc>
          <w:tcPr>
            <w:tcW w:w="1970" w:type="pct"/>
            <w:noWrap w:val="0"/>
            <w:vAlign w:val="top"/>
          </w:tcPr>
          <w:p>
            <w:pPr>
              <w:jc w:val="center"/>
              <w:rPr>
                <w:rFonts w:ascii="Times New Roman" w:hAnsi="Times New Roman"/>
                <w:szCs w:val="21"/>
              </w:rPr>
            </w:pPr>
          </w:p>
        </w:tc>
      </w:tr>
    </w:tbl>
    <w:p>
      <w:pPr>
        <w:rPr>
          <w:rFonts w:ascii="Times New Roman" w:hAnsi="Times New Roman"/>
          <w:szCs w:val="21"/>
        </w:rPr>
      </w:pPr>
    </w:p>
    <w:tbl>
      <w:tblPr>
        <w:tblStyle w:val="7"/>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942"/>
        <w:gridCol w:w="1818"/>
        <w:gridCol w:w="181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restart"/>
            <w:noWrap w:val="0"/>
            <w:vAlign w:val="center"/>
          </w:tcPr>
          <w:p>
            <w:pPr>
              <w:adjustRightInd w:val="0"/>
              <w:snapToGrid w:val="0"/>
              <w:jc w:val="center"/>
              <w:rPr>
                <w:rFonts w:ascii="Times New Roman" w:hAnsi="Times New Roman"/>
                <w:kern w:val="0"/>
              </w:rPr>
            </w:pPr>
            <w:r>
              <w:rPr>
                <w:rFonts w:ascii="Times New Roman" w:hAnsi="Times New Roman"/>
                <w:kern w:val="0"/>
              </w:rPr>
              <w:t>空气声隔声性能</w:t>
            </w:r>
          </w:p>
        </w:tc>
        <w:tc>
          <w:tcPr>
            <w:tcW w:w="1197" w:type="pct"/>
            <w:noWrap w:val="0"/>
            <w:vAlign w:val="center"/>
          </w:tcPr>
          <w:p>
            <w:pPr>
              <w:jc w:val="center"/>
              <w:rPr>
                <w:rFonts w:ascii="Times New Roman" w:hAnsi="Times New Roman"/>
                <w:kern w:val="0"/>
              </w:rPr>
            </w:pPr>
            <w:r>
              <w:rPr>
                <w:rFonts w:ascii="Times New Roman" w:hAnsi="Times New Roman"/>
                <w:kern w:val="0"/>
              </w:rPr>
              <w:t>主要功能房间</w:t>
            </w:r>
          </w:p>
        </w:tc>
        <w:tc>
          <w:tcPr>
            <w:tcW w:w="1121" w:type="pct"/>
            <w:noWrap w:val="0"/>
            <w:vAlign w:val="center"/>
          </w:tcPr>
          <w:p>
            <w:pPr>
              <w:jc w:val="center"/>
              <w:rPr>
                <w:rFonts w:ascii="Times New Roman" w:hAnsi="Times New Roman"/>
                <w:kern w:val="0"/>
              </w:rPr>
            </w:pPr>
            <w:r>
              <w:rPr>
                <w:rFonts w:ascii="Times New Roman" w:hAnsi="Times New Roman"/>
                <w:kern w:val="0"/>
              </w:rPr>
              <w:t>构件类型</w:t>
            </w:r>
          </w:p>
        </w:tc>
        <w:tc>
          <w:tcPr>
            <w:tcW w:w="1121" w:type="pct"/>
            <w:noWrap w:val="0"/>
            <w:vAlign w:val="center"/>
          </w:tcPr>
          <w:p>
            <w:pPr>
              <w:jc w:val="center"/>
              <w:rPr>
                <w:rFonts w:ascii="Times New Roman" w:hAnsi="Times New Roman"/>
                <w:kern w:val="0"/>
              </w:rPr>
            </w:pPr>
            <w:r>
              <w:rPr>
                <w:rFonts w:ascii="Times New Roman" w:hAnsi="Times New Roman"/>
                <w:kern w:val="0"/>
              </w:rPr>
              <w:t>隔声值</w:t>
            </w:r>
            <w:r>
              <w:rPr>
                <w:rFonts w:ascii="Times New Roman" w:hAnsi="Times New Roman"/>
              </w:rPr>
              <w:t>[dB(A)]</w:t>
            </w:r>
          </w:p>
        </w:tc>
        <w:tc>
          <w:tcPr>
            <w:tcW w:w="1106" w:type="pct"/>
            <w:noWrap w:val="0"/>
            <w:vAlign w:val="center"/>
          </w:tcPr>
          <w:p>
            <w:pPr>
              <w:jc w:val="center"/>
              <w:rPr>
                <w:rFonts w:ascii="Times New Roman" w:hAnsi="Times New Roman"/>
                <w:kern w:val="0"/>
              </w:rPr>
            </w:pPr>
            <w:r>
              <w:rPr>
                <w:rFonts w:ascii="Times New Roman" w:hAnsi="Times New Roman"/>
                <w:kern w:val="0"/>
              </w:rPr>
              <w:t>低限标准限值</w:t>
            </w:r>
            <w:r>
              <w:rPr>
                <w:rFonts w:ascii="Times New Roman" w:hAnsi="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continue"/>
            <w:noWrap w:val="0"/>
            <w:vAlign w:val="center"/>
          </w:tcPr>
          <w:p>
            <w:pPr>
              <w:adjustRightInd w:val="0"/>
              <w:snapToGrid w:val="0"/>
              <w:jc w:val="center"/>
              <w:rPr>
                <w:rFonts w:ascii="Times New Roman" w:hAnsi="Times New Roman"/>
                <w:kern w:val="0"/>
              </w:rPr>
            </w:pPr>
          </w:p>
        </w:tc>
        <w:tc>
          <w:tcPr>
            <w:tcW w:w="1197"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c>
          <w:tcPr>
            <w:tcW w:w="1106"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continue"/>
            <w:noWrap w:val="0"/>
            <w:vAlign w:val="center"/>
          </w:tcPr>
          <w:p>
            <w:pPr>
              <w:adjustRightInd w:val="0"/>
              <w:snapToGrid w:val="0"/>
              <w:jc w:val="center"/>
              <w:rPr>
                <w:rFonts w:ascii="Times New Roman" w:hAnsi="Times New Roman"/>
                <w:kern w:val="0"/>
              </w:rPr>
            </w:pPr>
          </w:p>
        </w:tc>
        <w:tc>
          <w:tcPr>
            <w:tcW w:w="1197"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c>
          <w:tcPr>
            <w:tcW w:w="1106"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continue"/>
            <w:noWrap w:val="0"/>
            <w:vAlign w:val="center"/>
          </w:tcPr>
          <w:p>
            <w:pPr>
              <w:adjustRightInd w:val="0"/>
              <w:snapToGrid w:val="0"/>
              <w:jc w:val="center"/>
              <w:rPr>
                <w:rFonts w:ascii="Times New Roman" w:hAnsi="Times New Roman"/>
                <w:kern w:val="0"/>
              </w:rPr>
            </w:pPr>
          </w:p>
        </w:tc>
        <w:tc>
          <w:tcPr>
            <w:tcW w:w="1197"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c>
          <w:tcPr>
            <w:tcW w:w="1106"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continue"/>
            <w:noWrap w:val="0"/>
            <w:vAlign w:val="center"/>
          </w:tcPr>
          <w:p>
            <w:pPr>
              <w:adjustRightInd w:val="0"/>
              <w:snapToGrid w:val="0"/>
              <w:jc w:val="center"/>
              <w:rPr>
                <w:rFonts w:ascii="Times New Roman" w:hAnsi="Times New Roman"/>
                <w:kern w:val="0"/>
              </w:rPr>
            </w:pPr>
          </w:p>
        </w:tc>
        <w:tc>
          <w:tcPr>
            <w:tcW w:w="1197"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c>
          <w:tcPr>
            <w:tcW w:w="1106"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restart"/>
            <w:noWrap w:val="0"/>
            <w:vAlign w:val="center"/>
          </w:tcPr>
          <w:p>
            <w:pPr>
              <w:adjustRightInd w:val="0"/>
              <w:snapToGrid w:val="0"/>
              <w:jc w:val="center"/>
              <w:rPr>
                <w:rFonts w:ascii="Times New Roman" w:hAnsi="Times New Roman"/>
                <w:kern w:val="0"/>
              </w:rPr>
            </w:pPr>
            <w:r>
              <w:rPr>
                <w:rFonts w:ascii="Times New Roman" w:hAnsi="Times New Roman"/>
              </w:rPr>
              <w:t>楼板撞击声性能</w:t>
            </w:r>
          </w:p>
        </w:tc>
        <w:tc>
          <w:tcPr>
            <w:tcW w:w="1197" w:type="pct"/>
            <w:noWrap w:val="0"/>
            <w:vAlign w:val="center"/>
          </w:tcPr>
          <w:p>
            <w:pPr>
              <w:jc w:val="center"/>
              <w:rPr>
                <w:rFonts w:ascii="Times New Roman" w:hAnsi="Times New Roman"/>
                <w:kern w:val="0"/>
              </w:rPr>
            </w:pPr>
            <w:r>
              <w:rPr>
                <w:rFonts w:ascii="Times New Roman" w:hAnsi="Times New Roman"/>
                <w:kern w:val="0"/>
              </w:rPr>
              <w:t>主要功能房间</w:t>
            </w:r>
          </w:p>
        </w:tc>
        <w:tc>
          <w:tcPr>
            <w:tcW w:w="1121" w:type="pct"/>
            <w:noWrap w:val="0"/>
            <w:vAlign w:val="center"/>
          </w:tcPr>
          <w:p>
            <w:pPr>
              <w:jc w:val="center"/>
              <w:rPr>
                <w:rFonts w:ascii="Times New Roman" w:hAnsi="Times New Roman"/>
                <w:kern w:val="0"/>
              </w:rPr>
            </w:pPr>
            <w:r>
              <w:rPr>
                <w:rFonts w:ascii="Times New Roman" w:hAnsi="Times New Roman"/>
                <w:kern w:val="0"/>
              </w:rPr>
              <w:t>楼板部位</w:t>
            </w:r>
          </w:p>
        </w:tc>
        <w:tc>
          <w:tcPr>
            <w:tcW w:w="1121" w:type="pct"/>
            <w:noWrap w:val="0"/>
            <w:vAlign w:val="center"/>
          </w:tcPr>
          <w:p>
            <w:pPr>
              <w:jc w:val="center"/>
              <w:rPr>
                <w:rFonts w:ascii="Times New Roman" w:hAnsi="Times New Roman"/>
                <w:kern w:val="0"/>
              </w:rPr>
            </w:pPr>
            <w:r>
              <w:rPr>
                <w:rFonts w:ascii="Times New Roman" w:hAnsi="Times New Roman"/>
                <w:kern w:val="0"/>
              </w:rPr>
              <w:t>撞击声隔声值</w:t>
            </w:r>
            <w:r>
              <w:rPr>
                <w:rFonts w:ascii="Times New Roman" w:hAnsi="Times New Roman"/>
              </w:rPr>
              <w:t>[dB(A)]</w:t>
            </w:r>
          </w:p>
        </w:tc>
        <w:tc>
          <w:tcPr>
            <w:tcW w:w="1106" w:type="pct"/>
            <w:noWrap w:val="0"/>
            <w:vAlign w:val="center"/>
          </w:tcPr>
          <w:p>
            <w:pPr>
              <w:jc w:val="center"/>
              <w:rPr>
                <w:rFonts w:ascii="Times New Roman" w:hAnsi="Times New Roman"/>
                <w:kern w:val="0"/>
              </w:rPr>
            </w:pPr>
            <w:r>
              <w:rPr>
                <w:rFonts w:ascii="Times New Roman" w:hAnsi="Times New Roman"/>
                <w:kern w:val="0"/>
              </w:rPr>
              <w:t>低限标准限值</w:t>
            </w:r>
            <w:r>
              <w:rPr>
                <w:rFonts w:ascii="Times New Roman" w:hAnsi="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continue"/>
            <w:noWrap w:val="0"/>
            <w:vAlign w:val="center"/>
          </w:tcPr>
          <w:p>
            <w:pPr>
              <w:adjustRightInd w:val="0"/>
              <w:snapToGrid w:val="0"/>
              <w:jc w:val="center"/>
              <w:rPr>
                <w:rFonts w:ascii="Times New Roman" w:hAnsi="Times New Roman"/>
                <w:kern w:val="0"/>
              </w:rPr>
            </w:pPr>
          </w:p>
        </w:tc>
        <w:tc>
          <w:tcPr>
            <w:tcW w:w="1197"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c>
          <w:tcPr>
            <w:tcW w:w="1106"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continue"/>
            <w:noWrap w:val="0"/>
            <w:vAlign w:val="center"/>
          </w:tcPr>
          <w:p>
            <w:pPr>
              <w:adjustRightInd w:val="0"/>
              <w:snapToGrid w:val="0"/>
              <w:jc w:val="center"/>
              <w:rPr>
                <w:rFonts w:ascii="Times New Roman" w:hAnsi="Times New Roman"/>
                <w:kern w:val="0"/>
              </w:rPr>
            </w:pPr>
          </w:p>
        </w:tc>
        <w:tc>
          <w:tcPr>
            <w:tcW w:w="1197"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c>
          <w:tcPr>
            <w:tcW w:w="1106"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continue"/>
            <w:noWrap w:val="0"/>
            <w:vAlign w:val="center"/>
          </w:tcPr>
          <w:p>
            <w:pPr>
              <w:adjustRightInd w:val="0"/>
              <w:snapToGrid w:val="0"/>
              <w:jc w:val="center"/>
              <w:rPr>
                <w:rFonts w:ascii="Times New Roman" w:hAnsi="Times New Roman"/>
                <w:kern w:val="0"/>
              </w:rPr>
            </w:pPr>
          </w:p>
        </w:tc>
        <w:tc>
          <w:tcPr>
            <w:tcW w:w="1197"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c>
          <w:tcPr>
            <w:tcW w:w="1106"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55" w:type="pct"/>
            <w:vMerge w:val="continue"/>
            <w:noWrap w:val="0"/>
            <w:vAlign w:val="top"/>
          </w:tcPr>
          <w:p>
            <w:pPr>
              <w:adjustRightInd w:val="0"/>
              <w:snapToGrid w:val="0"/>
              <w:rPr>
                <w:rFonts w:ascii="Times New Roman" w:hAnsi="Times New Roman"/>
                <w:kern w:val="0"/>
              </w:rPr>
            </w:pPr>
          </w:p>
        </w:tc>
        <w:tc>
          <w:tcPr>
            <w:tcW w:w="1197"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宋体" w:hAnsi="宋体"/>
                <w:kern w:val="0"/>
              </w:rPr>
            </w:pPr>
            <w:r>
              <w:rPr>
                <w:rStyle w:val="17"/>
                <w:rFonts w:hint="eastAsia" w:ascii="宋体" w:hAnsi="宋体"/>
              </w:rPr>
              <w:t xml:space="preserve">  </w:t>
            </w:r>
          </w:p>
        </w:tc>
        <w:tc>
          <w:tcPr>
            <w:tcW w:w="1121"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c>
          <w:tcPr>
            <w:tcW w:w="1106" w:type="pct"/>
            <w:noWrap w:val="0"/>
            <w:vAlign w:val="top"/>
          </w:tcPr>
          <w:p>
            <w:pPr>
              <w:adjustRightInd w:val="0"/>
              <w:snapToGrid w:val="0"/>
              <w:jc w:val="center"/>
              <w:rPr>
                <w:rFonts w:ascii="Times New Roman" w:hAnsi="Times New Roman"/>
                <w:kern w:val="0"/>
              </w:rPr>
            </w:pPr>
            <w:r>
              <w:rPr>
                <w:rStyle w:val="17"/>
                <w:rFonts w:ascii="Times New Roman" w:hAnsi="Times New Roman"/>
              </w:rPr>
              <w:t xml:space="preserve">  </w:t>
            </w:r>
          </w:p>
        </w:tc>
      </w:tr>
    </w:tbl>
    <w:p>
      <w:pPr>
        <w:rPr>
          <w:rFonts w:ascii="Times New Roman" w:hAnsi="Times New Roman"/>
          <w:szCs w:val="21"/>
        </w:rPr>
      </w:pPr>
      <w:r>
        <w:rPr>
          <w:rFonts w:ascii="Times New Roman" w:hAnsi="Times New Roman"/>
        </w:rPr>
        <w:t>请简要说明建筑围护结构</w:t>
      </w:r>
      <w:r>
        <w:rPr>
          <w:rFonts w:hint="eastAsia" w:ascii="Times New Roman" w:hAnsi="Times New Roman"/>
        </w:rPr>
        <w:t>的</w:t>
      </w:r>
      <w:r>
        <w:rPr>
          <w:rFonts w:ascii="Times New Roman" w:hAnsi="Times New Roman"/>
        </w:rPr>
        <w:t>隔声措施</w:t>
      </w:r>
      <w:r>
        <w:rPr>
          <w:rFonts w:hint="eastAsia" w:ascii="Times New Roman" w:hAnsi="Times New Roma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宋体" w:hAnsi="宋体"/>
                <w:kern w:val="0"/>
                <w:sz w:val="20"/>
                <w:szCs w:val="21"/>
              </w:rPr>
            </w:pPr>
            <w:r>
              <w:rPr>
                <w:rFonts w:hint="eastAsia" w:ascii="宋体" w:hAnsi="宋体"/>
                <w:kern w:val="0"/>
                <w:sz w:val="20"/>
                <w:szCs w:val="21"/>
              </w:rPr>
              <w:t>围护结构降噪措施：内墙为200厚钢筋混凝土墙。楼板为100厚钢筋混凝土板、豆石混凝土、面层。室外噪声的降噪措施主要依靠外墙和外门窗的隔断。外墙采用200厚钢筋混凝土墙，外门窗为断桥铝框，玻璃采用5+12A+5 +12A+5，很好的阻断室外噪声的传播。车辆进出禁止鸣笛、减速慢行。为提高楼板撞击声隔声性能楼板增加挤塑聚苯板。</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建筑竣工图</w:t>
      </w:r>
      <w:r>
        <w:rPr>
          <w:rFonts w:hint="eastAsia" w:ascii="Times New Roman" w:hAnsi="Times New Roman"/>
          <w:szCs w:val="21"/>
        </w:rPr>
        <w:t>，应包含建筑围护结构的构造说明、施工大样；</w:t>
      </w:r>
    </w:p>
    <w:p>
      <w:pP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噪声分析报告、室内噪声级检测报告</w:t>
      </w:r>
      <w:r>
        <w:rPr>
          <w:rFonts w:hint="eastAsia" w:ascii="Times New Roman" w:hAnsi="Times New Roman"/>
          <w:szCs w:val="21"/>
        </w:rPr>
        <w:t>（典型时间、主要功能房间）</w:t>
      </w:r>
    </w:p>
    <w:p>
      <w:pPr>
        <w:rPr>
          <w:rFonts w:ascii="Times New Roman" w:hAnsi="Times New Roman"/>
          <w:szCs w:val="21"/>
        </w:rPr>
      </w:pPr>
      <w:r>
        <w:rPr>
          <w:rFonts w:ascii="Times New Roman" w:hAnsi="Times New Roman"/>
          <w:szCs w:val="21"/>
        </w:rPr>
        <w:t>3</w:t>
      </w:r>
      <w:r>
        <w:rPr>
          <w:rFonts w:hint="eastAsia" w:ascii="Times New Roman" w:hAnsi="Times New Roman"/>
          <w:szCs w:val="21"/>
        </w:rPr>
        <w:t>）主要</w:t>
      </w:r>
      <w:r>
        <w:rPr>
          <w:rFonts w:ascii="Times New Roman" w:hAnsi="Times New Roman"/>
          <w:szCs w:val="21"/>
        </w:rPr>
        <w:t>构件隔声性能</w:t>
      </w:r>
      <w:r>
        <w:rPr>
          <w:rFonts w:hint="eastAsia" w:ascii="Times New Roman" w:hAnsi="Times New Roman"/>
          <w:szCs w:val="21"/>
        </w:rPr>
        <w:t>检测</w:t>
      </w:r>
      <w:r>
        <w:rPr>
          <w:rFonts w:ascii="Times New Roman" w:hAnsi="Times New Roman"/>
          <w:szCs w:val="21"/>
        </w:rPr>
        <w:t>报告</w:t>
      </w:r>
      <w:r>
        <w:rPr>
          <w:rFonts w:hint="eastAsia" w:ascii="Times New Roman" w:hAnsi="Times New Roman"/>
          <w:szCs w:val="21"/>
        </w:rPr>
        <w:t>或</w:t>
      </w:r>
      <w:r>
        <w:rPr>
          <w:rFonts w:ascii="Times New Roman" w:hAnsi="Times New Roman"/>
          <w:szCs w:val="21"/>
        </w:rPr>
        <w:t>主要构件隔声性能的实验室检测报告</w:t>
      </w:r>
      <w:r>
        <w:rPr>
          <w:rFonts w:hint="eastAsia" w:ascii="Times New Roman" w:hAnsi="Times New Roman"/>
          <w:szCs w:val="21"/>
        </w:rPr>
        <w:t>。</w:t>
      </w:r>
    </w:p>
    <w:p>
      <w:pPr>
        <w:rPr>
          <w:rFonts w:ascii="Times New Roman" w:hAnsi="Times New Roman"/>
          <w:szCs w:val="21"/>
        </w:rPr>
      </w:pPr>
    </w:p>
    <w:p>
      <w:pPr>
        <w:widowControl/>
        <w:jc w:val="lef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5.1.5</w:t>
      </w:r>
      <w:r>
        <w:rPr>
          <w:rFonts w:hint="eastAsia"/>
          <w:sz w:val="24"/>
          <w:szCs w:val="40"/>
        </w:rPr>
        <w:t xml:space="preserve"> </w:t>
      </w:r>
      <w:r>
        <w:rPr>
          <w:sz w:val="24"/>
          <w:szCs w:val="40"/>
        </w:rPr>
        <w:t>建筑照明应符合下列规定：1照明数量和质量应符合现行国家标准《建筑照明设计标准》GB50034的规定；2人员长期停留的场所应采用符合现行国家标准《灯和灯系统的光生物安全性》GBT20145规定的无危险类照明产品；3选用LED照明产品的光输出波形的波动深度应满足现行国家标准《LED室内照明应用技术要求》GBT31831的规定。</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871"/>
        <w:gridCol w:w="871"/>
        <w:gridCol w:w="1277"/>
        <w:gridCol w:w="1277"/>
        <w:gridCol w:w="982"/>
        <w:gridCol w:w="982"/>
        <w:gridCol w:w="912"/>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vMerge w:val="restart"/>
            <w:noWrap w:val="0"/>
            <w:vAlign w:val="center"/>
          </w:tcPr>
          <w:p>
            <w:pPr>
              <w:jc w:val="center"/>
              <w:rPr>
                <w:rFonts w:ascii="Times New Roman" w:hAnsi="Times New Roman"/>
                <w:szCs w:val="21"/>
              </w:rPr>
            </w:pPr>
            <w:r>
              <w:rPr>
                <w:rFonts w:ascii="Times New Roman" w:hAnsi="Times New Roman"/>
                <w:szCs w:val="21"/>
              </w:rPr>
              <w:t>房间</w:t>
            </w:r>
          </w:p>
          <w:p>
            <w:pPr>
              <w:jc w:val="center"/>
              <w:rPr>
                <w:rFonts w:ascii="Times New Roman" w:hAnsi="Times New Roman"/>
                <w:szCs w:val="21"/>
              </w:rPr>
            </w:pPr>
            <w:r>
              <w:rPr>
                <w:rFonts w:ascii="Times New Roman" w:hAnsi="Times New Roman"/>
                <w:szCs w:val="21"/>
              </w:rPr>
              <w:t>类型</w:t>
            </w:r>
          </w:p>
        </w:tc>
        <w:tc>
          <w:tcPr>
            <w:tcW w:w="0" w:type="auto"/>
            <w:gridSpan w:val="2"/>
            <w:noWrap w:val="0"/>
            <w:vAlign w:val="center"/>
          </w:tcPr>
          <w:p>
            <w:pPr>
              <w:jc w:val="center"/>
              <w:rPr>
                <w:rFonts w:ascii="Times New Roman" w:hAnsi="Times New Roman"/>
                <w:szCs w:val="21"/>
              </w:rPr>
            </w:pPr>
            <w:r>
              <w:rPr>
                <w:rFonts w:ascii="Times New Roman" w:hAnsi="Times New Roman"/>
                <w:szCs w:val="21"/>
              </w:rPr>
              <w:t>照度（lx）</w:t>
            </w:r>
          </w:p>
        </w:tc>
        <w:tc>
          <w:tcPr>
            <w:tcW w:w="0" w:type="auto"/>
            <w:gridSpan w:val="2"/>
            <w:noWrap w:val="0"/>
            <w:vAlign w:val="center"/>
          </w:tcPr>
          <w:p>
            <w:pPr>
              <w:jc w:val="center"/>
              <w:rPr>
                <w:rFonts w:ascii="Times New Roman" w:hAnsi="Times New Roman"/>
                <w:szCs w:val="21"/>
              </w:rPr>
            </w:pPr>
            <w:r>
              <w:rPr>
                <w:rFonts w:ascii="Times New Roman" w:hAnsi="Times New Roman"/>
                <w:szCs w:val="21"/>
              </w:rPr>
              <w:t>不舒适眩光（UGR/GR）</w:t>
            </w:r>
          </w:p>
        </w:tc>
        <w:tc>
          <w:tcPr>
            <w:tcW w:w="0" w:type="auto"/>
            <w:gridSpan w:val="2"/>
            <w:noWrap w:val="0"/>
            <w:vAlign w:val="top"/>
          </w:tcPr>
          <w:p>
            <w:pPr>
              <w:jc w:val="center"/>
              <w:rPr>
                <w:rFonts w:ascii="Times New Roman" w:hAnsi="Times New Roman"/>
                <w:szCs w:val="21"/>
              </w:rPr>
            </w:pPr>
            <w:r>
              <w:rPr>
                <w:rFonts w:ascii="Times New Roman" w:hAnsi="Times New Roman"/>
                <w:szCs w:val="21"/>
              </w:rPr>
              <w:t>照度均匀度（</w:t>
            </w:r>
            <w:r>
              <w:rPr>
                <w:rFonts w:ascii="Times New Roman" w:hAnsi="Times New Roman"/>
                <w:i/>
                <w:iCs/>
                <w:szCs w:val="21"/>
              </w:rPr>
              <w:t>U</w:t>
            </w:r>
            <w:r>
              <w:rPr>
                <w:rFonts w:ascii="Times New Roman" w:hAnsi="Times New Roman"/>
                <w:szCs w:val="21"/>
                <w:vertAlign w:val="subscript"/>
              </w:rPr>
              <w:t>0</w:t>
            </w:r>
            <w:r>
              <w:rPr>
                <w:rFonts w:ascii="Times New Roman" w:hAnsi="Times New Roman"/>
                <w:szCs w:val="21"/>
              </w:rPr>
              <w:t>）</w:t>
            </w:r>
          </w:p>
        </w:tc>
        <w:tc>
          <w:tcPr>
            <w:tcW w:w="2134" w:type="dxa"/>
            <w:gridSpan w:val="2"/>
            <w:noWrap w:val="0"/>
            <w:vAlign w:val="center"/>
          </w:tcPr>
          <w:p>
            <w:pPr>
              <w:jc w:val="center"/>
              <w:rPr>
                <w:rFonts w:ascii="Times New Roman" w:hAnsi="Times New Roman"/>
                <w:szCs w:val="21"/>
              </w:rPr>
            </w:pPr>
            <w:r>
              <w:rPr>
                <w:rFonts w:ascii="Times New Roman" w:hAnsi="Times New Roman"/>
                <w:szCs w:val="21"/>
              </w:rPr>
              <w:t>一般显色指数（</w:t>
            </w:r>
            <w:r>
              <w:rPr>
                <w:rFonts w:ascii="Times New Roman" w:hAnsi="Times New Roman"/>
                <w:i/>
                <w:iCs/>
                <w:szCs w:val="21"/>
              </w:rPr>
              <w:t>R</w:t>
            </w:r>
            <w:r>
              <w:rPr>
                <w:rFonts w:ascii="Times New Roman" w:hAnsi="Times New Roman"/>
                <w:szCs w:val="21"/>
                <w:vertAlign w:val="subscript"/>
              </w:rPr>
              <w:t>a</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vMerge w:val="continue"/>
            <w:noWrap w:val="0"/>
            <w:vAlign w:val="center"/>
          </w:tcPr>
          <w:p>
            <w:pPr>
              <w:jc w:val="center"/>
              <w:rPr>
                <w:rFonts w:ascii="Times New Roman" w:hAnsi="Times New Roman"/>
                <w:szCs w:val="21"/>
              </w:rPr>
            </w:pPr>
          </w:p>
        </w:tc>
        <w:tc>
          <w:tcPr>
            <w:tcW w:w="0" w:type="auto"/>
            <w:noWrap w:val="0"/>
            <w:vAlign w:val="center"/>
          </w:tcPr>
          <w:p>
            <w:pPr>
              <w:jc w:val="center"/>
              <w:rPr>
                <w:rFonts w:ascii="Times New Roman" w:hAnsi="Times New Roman"/>
                <w:szCs w:val="21"/>
              </w:rPr>
            </w:pPr>
            <w:r>
              <w:rPr>
                <w:rFonts w:ascii="Times New Roman" w:hAnsi="Times New Roman"/>
                <w:szCs w:val="21"/>
              </w:rPr>
              <w:t>设计值</w:t>
            </w:r>
          </w:p>
        </w:tc>
        <w:tc>
          <w:tcPr>
            <w:tcW w:w="0" w:type="auto"/>
            <w:noWrap w:val="0"/>
            <w:vAlign w:val="center"/>
          </w:tcPr>
          <w:p>
            <w:pPr>
              <w:jc w:val="center"/>
              <w:rPr>
                <w:rFonts w:ascii="Times New Roman" w:hAnsi="Times New Roman"/>
                <w:szCs w:val="21"/>
              </w:rPr>
            </w:pPr>
            <w:r>
              <w:rPr>
                <w:rFonts w:ascii="Times New Roman" w:hAnsi="Times New Roman"/>
                <w:szCs w:val="21"/>
              </w:rPr>
              <w:t>标准值</w:t>
            </w:r>
          </w:p>
        </w:tc>
        <w:tc>
          <w:tcPr>
            <w:tcW w:w="0" w:type="auto"/>
            <w:noWrap w:val="0"/>
            <w:vAlign w:val="center"/>
          </w:tcPr>
          <w:p>
            <w:pPr>
              <w:jc w:val="center"/>
              <w:rPr>
                <w:rFonts w:ascii="Times New Roman" w:hAnsi="Times New Roman"/>
                <w:szCs w:val="21"/>
              </w:rPr>
            </w:pPr>
            <w:r>
              <w:rPr>
                <w:rFonts w:ascii="Times New Roman" w:hAnsi="Times New Roman"/>
                <w:szCs w:val="21"/>
              </w:rPr>
              <w:t>设计值</w:t>
            </w:r>
          </w:p>
        </w:tc>
        <w:tc>
          <w:tcPr>
            <w:tcW w:w="0" w:type="auto"/>
            <w:noWrap w:val="0"/>
            <w:vAlign w:val="center"/>
          </w:tcPr>
          <w:p>
            <w:pPr>
              <w:jc w:val="center"/>
              <w:rPr>
                <w:rFonts w:ascii="Times New Roman" w:hAnsi="Times New Roman"/>
                <w:szCs w:val="21"/>
              </w:rPr>
            </w:pPr>
            <w:r>
              <w:rPr>
                <w:rFonts w:ascii="Times New Roman" w:hAnsi="Times New Roman"/>
                <w:szCs w:val="21"/>
              </w:rPr>
              <w:t>标准值</w:t>
            </w:r>
          </w:p>
        </w:tc>
        <w:tc>
          <w:tcPr>
            <w:tcW w:w="0" w:type="auto"/>
            <w:noWrap w:val="0"/>
            <w:vAlign w:val="center"/>
          </w:tcPr>
          <w:p>
            <w:pPr>
              <w:jc w:val="center"/>
              <w:rPr>
                <w:rFonts w:ascii="Times New Roman" w:hAnsi="Times New Roman"/>
                <w:szCs w:val="21"/>
              </w:rPr>
            </w:pPr>
            <w:r>
              <w:rPr>
                <w:rFonts w:ascii="Times New Roman" w:hAnsi="Times New Roman"/>
                <w:szCs w:val="21"/>
              </w:rPr>
              <w:t>设计值</w:t>
            </w:r>
          </w:p>
        </w:tc>
        <w:tc>
          <w:tcPr>
            <w:tcW w:w="0" w:type="auto"/>
            <w:noWrap w:val="0"/>
            <w:vAlign w:val="center"/>
          </w:tcPr>
          <w:p>
            <w:pPr>
              <w:jc w:val="center"/>
              <w:rPr>
                <w:rFonts w:ascii="Times New Roman" w:hAnsi="Times New Roman"/>
                <w:szCs w:val="21"/>
              </w:rPr>
            </w:pPr>
            <w:r>
              <w:rPr>
                <w:rFonts w:ascii="Times New Roman" w:hAnsi="Times New Roman"/>
                <w:szCs w:val="21"/>
              </w:rPr>
              <w:t>标准值</w:t>
            </w:r>
          </w:p>
        </w:tc>
        <w:tc>
          <w:tcPr>
            <w:tcW w:w="0" w:type="auto"/>
            <w:noWrap w:val="0"/>
            <w:vAlign w:val="center"/>
          </w:tcPr>
          <w:p>
            <w:pPr>
              <w:jc w:val="center"/>
              <w:rPr>
                <w:rFonts w:ascii="Times New Roman" w:hAnsi="Times New Roman"/>
                <w:szCs w:val="21"/>
              </w:rPr>
            </w:pPr>
            <w:r>
              <w:rPr>
                <w:rFonts w:ascii="Times New Roman" w:hAnsi="Times New Roman"/>
                <w:szCs w:val="21"/>
              </w:rPr>
              <w:t>设计值</w:t>
            </w:r>
          </w:p>
        </w:tc>
        <w:tc>
          <w:tcPr>
            <w:tcW w:w="1192" w:type="dxa"/>
            <w:noWrap w:val="0"/>
            <w:vAlign w:val="center"/>
          </w:tcPr>
          <w:p>
            <w:pPr>
              <w:jc w:val="center"/>
              <w:rPr>
                <w:rFonts w:ascii="Times New Roman" w:hAnsi="Times New Roman"/>
                <w:szCs w:val="21"/>
              </w:rPr>
            </w:pPr>
            <w:r>
              <w:rPr>
                <w:rFonts w:ascii="Times New Roman" w:hAnsi="Times New Roman"/>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noWrap w:val="0"/>
            <w:vAlign w:val="top"/>
          </w:tcPr>
          <w:p>
            <w:pPr>
              <w:jc w:val="center"/>
              <w:rPr>
                <w:rFonts w:ascii="宋体" w:hAnsi="宋体"/>
                <w:szCs w:val="21"/>
              </w:rPr>
            </w:pPr>
            <w:r>
              <w:rPr>
                <w:rFonts w:hint="eastAsia" w:ascii="宋体" w:hAnsi="宋体"/>
                <w:szCs w:val="21"/>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noWrap w:val="0"/>
            <w:vAlign w:val="top"/>
          </w:tcPr>
          <w:p>
            <w:pPr>
              <w:jc w:val="center"/>
              <w:rPr>
                <w:rFonts w:ascii="宋体" w:hAnsi="宋体"/>
                <w:szCs w:val="21"/>
              </w:rPr>
            </w:pPr>
            <w:r>
              <w:rPr>
                <w:rFonts w:hint="eastAsia" w:ascii="宋体" w:hAnsi="宋体"/>
                <w:szCs w:val="21"/>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noWrap w:val="0"/>
            <w:vAlign w:val="top"/>
          </w:tcPr>
          <w:p>
            <w:pPr>
              <w:jc w:val="center"/>
              <w:rPr>
                <w:rFonts w:ascii="宋体" w:hAnsi="宋体"/>
                <w:szCs w:val="21"/>
              </w:rPr>
            </w:pPr>
            <w:r>
              <w:rPr>
                <w:rFonts w:hint="eastAsia" w:ascii="宋体" w:hAnsi="宋体"/>
                <w:szCs w:val="21"/>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noWrap w:val="0"/>
            <w:vAlign w:val="top"/>
          </w:tcPr>
          <w:p>
            <w:pPr>
              <w:jc w:val="center"/>
              <w:rPr>
                <w:rFonts w:ascii="宋体" w:hAnsi="宋体"/>
                <w:szCs w:val="21"/>
              </w:rPr>
            </w:pPr>
            <w:r>
              <w:rPr>
                <w:rFonts w:hint="eastAsia" w:ascii="宋体" w:hAnsi="宋体"/>
                <w:szCs w:val="21"/>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noWrap w:val="0"/>
            <w:vAlign w:val="top"/>
          </w:tcPr>
          <w:p>
            <w:pPr>
              <w:jc w:val="center"/>
              <w:rPr>
                <w:rFonts w:ascii="宋体" w:hAnsi="宋体"/>
                <w:szCs w:val="21"/>
              </w:rPr>
            </w:pPr>
            <w:r>
              <w:rPr>
                <w:rFonts w:hint="eastAsia" w:ascii="宋体" w:hAnsi="宋体"/>
                <w:szCs w:val="21"/>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noWrap w:val="0"/>
            <w:vAlign w:val="top"/>
          </w:tcPr>
          <w:p>
            <w:pPr>
              <w:jc w:val="center"/>
              <w:rPr>
                <w:rFonts w:ascii="宋体" w:hAnsi="宋体"/>
                <w:szCs w:val="21"/>
              </w:rPr>
            </w:pPr>
            <w:r>
              <w:rPr>
                <w:rFonts w:hint="eastAsia" w:ascii="宋体" w:hAnsi="宋体"/>
                <w:szCs w:val="21"/>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noWrap w:val="0"/>
            <w:vAlign w:val="top"/>
          </w:tcPr>
          <w:p>
            <w:pPr>
              <w:jc w:val="center"/>
              <w:rPr>
                <w:rFonts w:ascii="宋体" w:hAnsi="宋体"/>
                <w:szCs w:val="21"/>
              </w:rPr>
            </w:pPr>
            <w:r>
              <w:rPr>
                <w:rFonts w:hint="eastAsia" w:ascii="宋体" w:hAnsi="宋体"/>
                <w:szCs w:val="21"/>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015" w:type="dxa"/>
            <w:noWrap w:val="0"/>
            <w:vAlign w:val="top"/>
          </w:tcPr>
          <w:p>
            <w:pPr>
              <w:jc w:val="center"/>
              <w:rPr>
                <w:rFonts w:ascii="宋体" w:hAnsi="宋体"/>
                <w:szCs w:val="21"/>
              </w:rPr>
            </w:pPr>
            <w:r>
              <w:rPr>
                <w:rFonts w:hint="eastAsia" w:ascii="宋体" w:hAnsi="宋体"/>
                <w:szCs w:val="21"/>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0" w:type="auto"/>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noWrap w:val="0"/>
            <w:vAlign w:val="top"/>
          </w:tcPr>
          <w:p>
            <w:pPr>
              <w:jc w:val="center"/>
              <w:rPr>
                <w:rFonts w:ascii="Times New Roman" w:hAnsi="Times New Roman"/>
                <w:sz w:val="18"/>
                <w:szCs w:val="18"/>
                <w:lang w:val="zh-CN"/>
              </w:rPr>
            </w:pPr>
            <w:r>
              <w:rPr>
                <w:rFonts w:ascii="Times New Roman" w:hAnsi="Times New Roman"/>
                <w:sz w:val="18"/>
                <w:szCs w:val="18"/>
              </w:rPr>
              <w:t xml:space="preserve">  </w:t>
            </w:r>
          </w:p>
        </w:tc>
      </w:tr>
    </w:tbl>
    <w:p>
      <w:pPr>
        <w:rPr>
          <w:rFonts w:ascii="Times New Roman" w:hAnsi="Times New Roman"/>
          <w:szCs w:val="21"/>
        </w:rPr>
      </w:pPr>
      <w:r>
        <w:rPr>
          <w:rFonts w:ascii="Times New Roman" w:hAnsi="Times New Roman"/>
          <w:szCs w:val="21"/>
        </w:rPr>
        <w:t>请简要说明照明系统灯具</w:t>
      </w:r>
      <w:r>
        <w:rPr>
          <w:rFonts w:hint="eastAsia" w:ascii="Times New Roman" w:hAnsi="Times New Roman"/>
          <w:szCs w:val="21"/>
        </w:rPr>
        <w:t>的</w:t>
      </w:r>
      <w:r>
        <w:rPr>
          <w:rFonts w:ascii="Times New Roman" w:hAnsi="Times New Roman"/>
          <w:szCs w:val="21"/>
        </w:rPr>
        <w:t>选型原则、主要灯具型号和参数以及照明控制措施</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10"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支架灯、灯盘采用T5管LED灯。LED的光效值不低于90Lm/W。显色指数Ra≥80；吸顶灯采用T5环形LED灯管。首层大堂、电梯厅等公共场所的照明采用自熄式节能开关控制，节能开关选用声光控延时开关。每个房间的灯的开关数不宜少于二个（只设置一个光源的除外），房间或场所装设有两列或多列灯具时，所控灯列宜与侧窗平行，以充分利用自然光。</w:t>
            </w:r>
          </w:p>
        </w:tc>
      </w:tr>
    </w:tbl>
    <w:p>
      <w:pPr>
        <w:spacing w:line="280" w:lineRule="exact"/>
        <w:rPr>
          <w:rFonts w:ascii="Times New Roman" w:hAnsi="Times New Roman"/>
          <w:szCs w:val="21"/>
        </w:rPr>
      </w:pPr>
      <w:r>
        <w:rPr>
          <w:rFonts w:ascii="Times New Roman" w:hAnsi="Times New Roman"/>
          <w:szCs w:val="21"/>
        </w:rPr>
        <w:t>人员长期停留的场所采用符合规定的无危险类照明产品：</w:t>
      </w:r>
      <w:r>
        <w:rPr>
          <w:rFonts w:hint="eastAsia"/>
          <w:sz w:val="28"/>
        </w:rPr>
        <w:sym w:font="Wingdings 2" w:char="F0A3"/>
      </w:r>
      <w:r>
        <w:rPr>
          <w:rFonts w:ascii="Times New Roman" w:hAnsi="Times New Roman"/>
          <w:szCs w:val="21"/>
        </w:rPr>
        <w:t>是，</w:t>
      </w:r>
      <w:r>
        <w:rPr>
          <w:rFonts w:hint="eastAsia"/>
          <w:sz w:val="28"/>
        </w:rPr>
        <w:sym w:font="Wingdings 2" w:char="F0A3"/>
      </w:r>
      <w:r>
        <w:rPr>
          <w:rFonts w:ascii="Times New Roman" w:hAnsi="Times New Roman"/>
          <w:szCs w:val="21"/>
        </w:rPr>
        <w:t>否</w:t>
      </w:r>
      <w:r>
        <w:rPr>
          <w:rFonts w:hint="eastAsia" w:ascii="Times New Roman" w:hAnsi="Times New Roman"/>
          <w:szCs w:val="21"/>
        </w:rPr>
        <w:t>；</w:t>
      </w:r>
    </w:p>
    <w:p>
      <w:pPr>
        <w:spacing w:line="280" w:lineRule="exact"/>
        <w:rPr>
          <w:rFonts w:ascii="Times New Roman" w:hAnsi="Times New Roman"/>
          <w:szCs w:val="21"/>
        </w:rPr>
      </w:pPr>
      <w:r>
        <w:rPr>
          <w:rFonts w:ascii="Times New Roman" w:hAnsi="Times New Roman"/>
          <w:szCs w:val="21"/>
        </w:rPr>
        <w:t>LED照明产品的光输出波形的波动深度满足标准的规定：</w:t>
      </w:r>
      <w:r>
        <w:rPr>
          <w:rFonts w:hint="eastAsia"/>
          <w:sz w:val="28"/>
        </w:rPr>
        <w:sym w:font="Wingdings 2" w:char="F0A3"/>
      </w:r>
      <w:r>
        <w:rPr>
          <w:rFonts w:ascii="Times New Roman" w:hAnsi="Times New Roman"/>
          <w:szCs w:val="21"/>
        </w:rPr>
        <w:t>是，</w:t>
      </w:r>
      <w:r>
        <w:rPr>
          <w:rFonts w:hint="eastAsia"/>
          <w:sz w:val="28"/>
        </w:rPr>
        <w:sym w:font="Wingdings 2" w:char="F0A3"/>
      </w:r>
      <w:r>
        <w:rPr>
          <w:rFonts w:ascii="Times New Roman" w:hAnsi="Times New Roman"/>
          <w:szCs w:val="21"/>
        </w:rPr>
        <w:t>否。</w:t>
      </w:r>
    </w:p>
    <w:p>
      <w:pPr>
        <w:spacing w:before="156" w:beforeLines="50" w:after="156" w:afterLines="50"/>
        <w:rPr>
          <w:rFonts w:ascii="Times New Roman" w:hAnsi="Times New Roman"/>
          <w:b/>
          <w:szCs w:val="21"/>
        </w:rPr>
      </w:pPr>
      <w:r>
        <w:rPr>
          <w:rFonts w:ascii="Times New Roman" w:hAnsi="Times New Roman"/>
          <w:b/>
          <w:szCs w:val="21"/>
        </w:rPr>
        <w:t>3 证明材料</w:t>
      </w:r>
    </w:p>
    <w:p>
      <w:pPr>
        <w:spacing w:line="280" w:lineRule="exact"/>
        <w:rPr>
          <w:rFonts w:ascii="Times New Roman" w:hAnsi="Times New Roman"/>
          <w:szCs w:val="21"/>
        </w:rPr>
      </w:pPr>
      <w:r>
        <w:rPr>
          <w:rFonts w:ascii="Times New Roman" w:hAnsi="Times New Roman"/>
          <w:szCs w:val="21"/>
        </w:rPr>
        <w:t>提交材料及要求：</w:t>
      </w:r>
    </w:p>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）与建筑照明相关的</w:t>
      </w:r>
      <w:r>
        <w:rPr>
          <w:rFonts w:ascii="Times New Roman" w:hAnsi="Times New Roman"/>
          <w:szCs w:val="21"/>
        </w:rPr>
        <w:t>电气竣工图</w:t>
      </w:r>
      <w:r>
        <w:rPr>
          <w:rFonts w:hint="eastAsia" w:ascii="Times New Roman" w:hAnsi="Times New Roman"/>
          <w:szCs w:val="21"/>
        </w:rPr>
        <w:t>及说明；</w:t>
      </w:r>
    </w:p>
    <w:p>
      <w:pPr>
        <w:spacing w:line="28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照明计算书</w:t>
      </w:r>
      <w:r>
        <w:rPr>
          <w:rFonts w:hint="eastAsia" w:ascii="Times New Roman" w:hAnsi="Times New Roman"/>
          <w:szCs w:val="21"/>
        </w:rPr>
        <w:t>；</w:t>
      </w:r>
    </w:p>
    <w:p>
      <w:pPr>
        <w:spacing w:line="28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产品说明书和产品型式检验报告</w:t>
      </w:r>
      <w:r>
        <w:rPr>
          <w:rFonts w:hint="eastAsia" w:ascii="Times New Roman" w:hAnsi="Times New Roman"/>
          <w:szCs w:val="21"/>
        </w:rPr>
        <w:t>；</w:t>
      </w:r>
    </w:p>
    <w:p>
      <w:pPr>
        <w:spacing w:line="280" w:lineRule="exact"/>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现场检测报告</w:t>
      </w:r>
      <w:r>
        <w:rPr>
          <w:rFonts w:hint="eastAsia" w:ascii="Times New Roman" w:hAnsi="Times New Roman"/>
          <w:szCs w:val="21"/>
        </w:rPr>
        <w:t>。</w:t>
      </w:r>
    </w:p>
    <w:p>
      <w:pPr>
        <w:spacing w:line="280" w:lineRule="exac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1"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sz w:val="24"/>
          <w:szCs w:val="40"/>
        </w:rPr>
      </w:pPr>
      <w:r>
        <w:rPr>
          <w:sz w:val="24"/>
          <w:szCs w:val="40"/>
        </w:rPr>
        <w:t>5.1.6</w:t>
      </w:r>
      <w:r>
        <w:rPr>
          <w:rFonts w:hint="eastAsia"/>
          <w:sz w:val="24"/>
          <w:szCs w:val="40"/>
        </w:rPr>
        <w:t xml:space="preserve"> </w:t>
      </w:r>
      <w:r>
        <w:rPr>
          <w:sz w:val="24"/>
          <w:szCs w:val="40"/>
        </w:rPr>
        <w:t>应采取措施保障室内热环境。采用集中供暖空调系统的建筑，房间内的温度、湿度、新风量等设计参数应符合现行国家标准《民用建筑供暖通风与空气调节设计规范》GB50736的有关规定；采用非集中供暖空调系统的建筑，应具有保障室内热的措施或预留条件。</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adjustRightInd w:val="0"/>
        <w:snapToGrid w:val="0"/>
        <w:rPr>
          <w:rFonts w:ascii="Times New Roman" w:hAnsi="Times New Roman"/>
          <w:szCs w:val="21"/>
        </w:rPr>
      </w:pPr>
      <w:r>
        <w:rPr>
          <w:rFonts w:ascii="Times New Roman" w:hAnsi="Times New Roman"/>
          <w:szCs w:val="21"/>
        </w:rPr>
        <w:t>主要功能房间室内设计参数：</w:t>
      </w:r>
    </w:p>
    <w:tbl>
      <w:tblPr>
        <w:tblStyle w:val="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134"/>
        <w:gridCol w:w="1276"/>
        <w:gridCol w:w="1382"/>
        <w:gridCol w:w="992"/>
        <w:gridCol w:w="993"/>
        <w:gridCol w:w="125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3" w:hRule="atLeast"/>
          <w:jc w:val="center"/>
        </w:trPr>
        <w:tc>
          <w:tcPr>
            <w:tcW w:w="1262" w:type="dxa"/>
            <w:vMerge w:val="restart"/>
            <w:noWrap w:val="0"/>
            <w:vAlign w:val="center"/>
          </w:tcPr>
          <w:p>
            <w:pPr>
              <w:jc w:val="center"/>
              <w:rPr>
                <w:rFonts w:ascii="Times New Roman" w:hAnsi="Times New Roman"/>
              </w:rPr>
            </w:pPr>
            <w:r>
              <w:rPr>
                <w:rFonts w:ascii="Times New Roman" w:hAnsi="Times New Roman"/>
              </w:rPr>
              <w:t>房间</w:t>
            </w:r>
          </w:p>
          <w:p>
            <w:pPr>
              <w:jc w:val="center"/>
              <w:rPr>
                <w:rFonts w:ascii="Times New Roman" w:hAnsi="Times New Roman"/>
              </w:rPr>
            </w:pPr>
            <w:r>
              <w:rPr>
                <w:rFonts w:ascii="Times New Roman" w:hAnsi="Times New Roman"/>
              </w:rPr>
              <w:t>类型</w:t>
            </w:r>
          </w:p>
        </w:tc>
        <w:tc>
          <w:tcPr>
            <w:tcW w:w="1134" w:type="dxa"/>
            <w:vMerge w:val="restart"/>
            <w:noWrap w:val="0"/>
            <w:vAlign w:val="center"/>
          </w:tcPr>
          <w:p>
            <w:pPr>
              <w:rPr>
                <w:rFonts w:ascii="Times New Roman" w:hAnsi="Times New Roman"/>
              </w:rPr>
            </w:pPr>
            <w:r>
              <w:rPr>
                <w:rFonts w:ascii="Times New Roman" w:hAnsi="Times New Roman"/>
              </w:rPr>
              <w:t>人员密度</w:t>
            </w:r>
          </w:p>
          <w:p>
            <w:pPr>
              <w:rPr>
                <w:rFonts w:ascii="Times New Roman" w:hAnsi="Times New Roman"/>
              </w:rPr>
            </w:pPr>
            <w:r>
              <w:rPr>
                <w:rFonts w:ascii="Times New Roman" w:hAnsi="Times New Roman"/>
              </w:rPr>
              <w:t>（人/m</w:t>
            </w:r>
            <w:r>
              <w:rPr>
                <w:rFonts w:ascii="Times New Roman" w:hAnsi="Times New Roman"/>
                <w:vertAlign w:val="superscript"/>
              </w:rPr>
              <w:t>2</w:t>
            </w:r>
            <w:r>
              <w:rPr>
                <w:rFonts w:ascii="Times New Roman" w:hAnsi="Times New Roman"/>
              </w:rPr>
              <w:t>）</w:t>
            </w:r>
          </w:p>
        </w:tc>
        <w:tc>
          <w:tcPr>
            <w:tcW w:w="2658" w:type="dxa"/>
            <w:gridSpan w:val="2"/>
            <w:noWrap w:val="0"/>
            <w:vAlign w:val="center"/>
          </w:tcPr>
          <w:p>
            <w:pPr>
              <w:jc w:val="center"/>
              <w:rPr>
                <w:rFonts w:ascii="Times New Roman" w:hAnsi="Times New Roman"/>
              </w:rPr>
            </w:pPr>
            <w:r>
              <w:rPr>
                <w:rFonts w:ascii="Times New Roman" w:hAnsi="Times New Roman"/>
              </w:rPr>
              <w:t>温度（</w:t>
            </w:r>
            <w:r>
              <w:rPr>
                <w:rFonts w:hint="eastAsia" w:ascii="宋体" w:hAnsi="宋体" w:cs="宋体"/>
              </w:rPr>
              <w:t>℃</w:t>
            </w:r>
            <w:r>
              <w:rPr>
                <w:rFonts w:ascii="Times New Roman" w:hAnsi="Times New Roman"/>
              </w:rPr>
              <w:t>）</w:t>
            </w:r>
          </w:p>
        </w:tc>
        <w:tc>
          <w:tcPr>
            <w:tcW w:w="1985" w:type="dxa"/>
            <w:gridSpan w:val="2"/>
            <w:noWrap w:val="0"/>
            <w:vAlign w:val="center"/>
          </w:tcPr>
          <w:p>
            <w:pPr>
              <w:jc w:val="center"/>
              <w:rPr>
                <w:rFonts w:ascii="Times New Roman" w:hAnsi="Times New Roman"/>
              </w:rPr>
            </w:pPr>
            <w:r>
              <w:rPr>
                <w:rFonts w:ascii="Times New Roman" w:hAnsi="Times New Roman"/>
              </w:rPr>
              <w:t>相对湿度（％）</w:t>
            </w:r>
          </w:p>
        </w:tc>
        <w:tc>
          <w:tcPr>
            <w:tcW w:w="2394" w:type="dxa"/>
            <w:gridSpan w:val="2"/>
            <w:noWrap w:val="0"/>
            <w:vAlign w:val="center"/>
          </w:tcPr>
          <w:p>
            <w:pPr>
              <w:jc w:val="center"/>
              <w:rPr>
                <w:rFonts w:ascii="Times New Roman" w:hAnsi="Times New Roman"/>
              </w:rPr>
            </w:pPr>
            <w:r>
              <w:rPr>
                <w:rFonts w:ascii="Times New Roman" w:hAnsi="Times New Roman"/>
              </w:rPr>
              <w:t>新风量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6" w:hRule="atLeast"/>
          <w:jc w:val="center"/>
        </w:trPr>
        <w:tc>
          <w:tcPr>
            <w:tcW w:w="1262" w:type="dxa"/>
            <w:vMerge w:val="continue"/>
            <w:noWrap w:val="0"/>
            <w:vAlign w:val="center"/>
          </w:tcPr>
          <w:p>
            <w:pPr>
              <w:rPr>
                <w:rFonts w:ascii="Times New Roman" w:hAnsi="Times New Roman"/>
              </w:rPr>
            </w:pPr>
          </w:p>
        </w:tc>
        <w:tc>
          <w:tcPr>
            <w:tcW w:w="1134" w:type="dxa"/>
            <w:vMerge w:val="continue"/>
            <w:noWrap w:val="0"/>
            <w:vAlign w:val="top"/>
          </w:tcPr>
          <w:p>
            <w:pPr>
              <w:rPr>
                <w:rFonts w:ascii="Times New Roman" w:hAnsi="Times New Roman"/>
              </w:rPr>
            </w:pPr>
          </w:p>
        </w:tc>
        <w:tc>
          <w:tcPr>
            <w:tcW w:w="1276" w:type="dxa"/>
            <w:noWrap w:val="0"/>
            <w:vAlign w:val="center"/>
          </w:tcPr>
          <w:p>
            <w:pPr>
              <w:jc w:val="center"/>
              <w:rPr>
                <w:rFonts w:ascii="Times New Roman" w:hAnsi="Times New Roman"/>
              </w:rPr>
            </w:pPr>
            <w:r>
              <w:rPr>
                <w:rFonts w:ascii="Times New Roman" w:hAnsi="Times New Roman"/>
              </w:rPr>
              <w:t>夏季空调</w:t>
            </w:r>
          </w:p>
        </w:tc>
        <w:tc>
          <w:tcPr>
            <w:tcW w:w="1382" w:type="dxa"/>
            <w:noWrap w:val="0"/>
            <w:vAlign w:val="center"/>
          </w:tcPr>
          <w:p>
            <w:pPr>
              <w:jc w:val="center"/>
              <w:rPr>
                <w:rFonts w:ascii="Times New Roman" w:hAnsi="Times New Roman"/>
              </w:rPr>
            </w:pPr>
            <w:r>
              <w:rPr>
                <w:rFonts w:ascii="Times New Roman" w:hAnsi="Times New Roman"/>
              </w:rPr>
              <w:t>冬季采暖</w:t>
            </w:r>
          </w:p>
        </w:tc>
        <w:tc>
          <w:tcPr>
            <w:tcW w:w="992" w:type="dxa"/>
            <w:noWrap w:val="0"/>
            <w:vAlign w:val="center"/>
          </w:tcPr>
          <w:p>
            <w:pPr>
              <w:jc w:val="center"/>
              <w:rPr>
                <w:rFonts w:ascii="Times New Roman" w:hAnsi="Times New Roman"/>
              </w:rPr>
            </w:pPr>
            <w:r>
              <w:rPr>
                <w:rFonts w:ascii="Times New Roman" w:hAnsi="Times New Roman"/>
              </w:rPr>
              <w:t>夏季</w:t>
            </w:r>
          </w:p>
        </w:tc>
        <w:tc>
          <w:tcPr>
            <w:tcW w:w="993" w:type="dxa"/>
            <w:noWrap w:val="0"/>
            <w:vAlign w:val="center"/>
          </w:tcPr>
          <w:p>
            <w:pPr>
              <w:jc w:val="center"/>
              <w:rPr>
                <w:rFonts w:ascii="Times New Roman" w:hAnsi="Times New Roman"/>
              </w:rPr>
            </w:pPr>
            <w:r>
              <w:rPr>
                <w:rFonts w:ascii="Times New Roman" w:hAnsi="Times New Roman"/>
              </w:rPr>
              <w:t>冬季</w:t>
            </w:r>
          </w:p>
        </w:tc>
        <w:tc>
          <w:tcPr>
            <w:tcW w:w="1255" w:type="dxa"/>
            <w:noWrap w:val="0"/>
            <w:vAlign w:val="center"/>
          </w:tcPr>
          <w:p>
            <w:pPr>
              <w:jc w:val="center"/>
              <w:rPr>
                <w:rFonts w:ascii="Times New Roman" w:hAnsi="Times New Roman"/>
              </w:rPr>
            </w:pPr>
            <w:r>
              <w:rPr>
                <w:rFonts w:ascii="Times New Roman" w:hAnsi="Times New Roman"/>
              </w:rPr>
              <w:t>设计值</w:t>
            </w:r>
          </w:p>
        </w:tc>
        <w:tc>
          <w:tcPr>
            <w:tcW w:w="1139" w:type="dxa"/>
            <w:noWrap w:val="0"/>
            <w:vAlign w:val="center"/>
          </w:tcPr>
          <w:p>
            <w:pPr>
              <w:jc w:val="center"/>
              <w:rPr>
                <w:rFonts w:ascii="Times New Roman" w:hAnsi="Times New Roman"/>
              </w:rPr>
            </w:pPr>
            <w:r>
              <w:rPr>
                <w:rFonts w:ascii="Times New Roman" w:hAnsi="Times New Roma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1" w:hRule="atLeast"/>
          <w:jc w:val="center"/>
        </w:trPr>
        <w:tc>
          <w:tcPr>
            <w:tcW w:w="1262" w:type="dxa"/>
            <w:noWrap w:val="0"/>
            <w:vAlign w:val="top"/>
          </w:tcPr>
          <w:p>
            <w:pPr>
              <w:jc w:val="center"/>
              <w:rPr>
                <w:rFonts w:ascii="宋体" w:hAnsi="宋体"/>
              </w:rPr>
            </w:pPr>
            <w:r>
              <w:rPr>
                <w:rStyle w:val="17"/>
                <w:rFonts w:hint="eastAsia" w:ascii="宋体" w:hAnsi="宋体"/>
              </w:rPr>
              <w:t xml:space="preserve">  </w:t>
            </w:r>
          </w:p>
        </w:tc>
        <w:tc>
          <w:tcPr>
            <w:tcW w:w="1134"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76"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38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3"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55"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139" w:type="dxa"/>
            <w:noWrap w:val="0"/>
            <w:vAlign w:val="top"/>
          </w:tcPr>
          <w:p>
            <w:pPr>
              <w:jc w:val="center"/>
              <w:rPr>
                <w:rFonts w:ascii="Times New Roman" w:hAnsi="Times New Roman"/>
                <w:szCs w:val="21"/>
              </w:rPr>
            </w:pPr>
            <w:r>
              <w:rPr>
                <w:rStyle w:val="17"/>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1" w:hRule="atLeast"/>
          <w:jc w:val="center"/>
        </w:trPr>
        <w:tc>
          <w:tcPr>
            <w:tcW w:w="1262" w:type="dxa"/>
            <w:noWrap w:val="0"/>
            <w:vAlign w:val="top"/>
          </w:tcPr>
          <w:p>
            <w:pPr>
              <w:jc w:val="center"/>
              <w:rPr>
                <w:rFonts w:ascii="宋体" w:hAnsi="宋体"/>
              </w:rPr>
            </w:pPr>
            <w:r>
              <w:rPr>
                <w:rStyle w:val="17"/>
                <w:rFonts w:hint="eastAsia" w:ascii="宋体" w:hAnsi="宋体"/>
              </w:rPr>
              <w:t xml:space="preserve">  </w:t>
            </w:r>
          </w:p>
        </w:tc>
        <w:tc>
          <w:tcPr>
            <w:tcW w:w="1134"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76"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38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3"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55"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139" w:type="dxa"/>
            <w:noWrap w:val="0"/>
            <w:vAlign w:val="top"/>
          </w:tcPr>
          <w:p>
            <w:pPr>
              <w:jc w:val="center"/>
              <w:rPr>
                <w:rFonts w:ascii="Times New Roman" w:hAnsi="Times New Roman"/>
                <w:szCs w:val="21"/>
              </w:rPr>
            </w:pPr>
            <w:r>
              <w:rPr>
                <w:rStyle w:val="17"/>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1" w:hRule="atLeast"/>
          <w:jc w:val="center"/>
        </w:trPr>
        <w:tc>
          <w:tcPr>
            <w:tcW w:w="1262" w:type="dxa"/>
            <w:noWrap w:val="0"/>
            <w:vAlign w:val="top"/>
          </w:tcPr>
          <w:p>
            <w:pPr>
              <w:jc w:val="center"/>
              <w:rPr>
                <w:rFonts w:ascii="宋体" w:hAnsi="宋体"/>
              </w:rPr>
            </w:pPr>
            <w:r>
              <w:rPr>
                <w:rStyle w:val="17"/>
                <w:rFonts w:hint="eastAsia" w:ascii="宋体" w:hAnsi="宋体"/>
              </w:rPr>
              <w:t xml:space="preserve">  </w:t>
            </w:r>
          </w:p>
        </w:tc>
        <w:tc>
          <w:tcPr>
            <w:tcW w:w="1134"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76"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38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3"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55"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139" w:type="dxa"/>
            <w:noWrap w:val="0"/>
            <w:vAlign w:val="top"/>
          </w:tcPr>
          <w:p>
            <w:pPr>
              <w:jc w:val="center"/>
              <w:rPr>
                <w:rFonts w:ascii="Times New Roman" w:hAnsi="Times New Roman"/>
                <w:szCs w:val="21"/>
              </w:rPr>
            </w:pPr>
            <w:r>
              <w:rPr>
                <w:rStyle w:val="17"/>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1" w:hRule="atLeast"/>
          <w:jc w:val="center"/>
        </w:trPr>
        <w:tc>
          <w:tcPr>
            <w:tcW w:w="1262" w:type="dxa"/>
            <w:noWrap w:val="0"/>
            <w:vAlign w:val="top"/>
          </w:tcPr>
          <w:p>
            <w:pPr>
              <w:jc w:val="center"/>
              <w:rPr>
                <w:rFonts w:ascii="宋体" w:hAnsi="宋体"/>
              </w:rPr>
            </w:pPr>
            <w:r>
              <w:rPr>
                <w:rStyle w:val="17"/>
                <w:rFonts w:hint="eastAsia" w:ascii="宋体" w:hAnsi="宋体"/>
              </w:rPr>
              <w:t xml:space="preserve">  </w:t>
            </w:r>
          </w:p>
        </w:tc>
        <w:tc>
          <w:tcPr>
            <w:tcW w:w="1134"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76"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38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3"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55"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139" w:type="dxa"/>
            <w:noWrap w:val="0"/>
            <w:vAlign w:val="top"/>
          </w:tcPr>
          <w:p>
            <w:pPr>
              <w:jc w:val="center"/>
              <w:rPr>
                <w:rFonts w:ascii="Times New Roman" w:hAnsi="Times New Roman"/>
                <w:szCs w:val="21"/>
              </w:rPr>
            </w:pPr>
            <w:r>
              <w:rPr>
                <w:rStyle w:val="17"/>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1" w:hRule="atLeast"/>
          <w:jc w:val="center"/>
        </w:trPr>
        <w:tc>
          <w:tcPr>
            <w:tcW w:w="1262" w:type="dxa"/>
            <w:noWrap w:val="0"/>
            <w:vAlign w:val="top"/>
          </w:tcPr>
          <w:p>
            <w:pPr>
              <w:jc w:val="center"/>
              <w:rPr>
                <w:rFonts w:ascii="宋体" w:hAnsi="宋体"/>
              </w:rPr>
            </w:pPr>
            <w:r>
              <w:rPr>
                <w:rStyle w:val="17"/>
                <w:rFonts w:hint="eastAsia" w:ascii="宋体" w:hAnsi="宋体"/>
              </w:rPr>
              <w:t xml:space="preserve">  </w:t>
            </w:r>
          </w:p>
        </w:tc>
        <w:tc>
          <w:tcPr>
            <w:tcW w:w="1134"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76"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38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3"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55"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139" w:type="dxa"/>
            <w:noWrap w:val="0"/>
            <w:vAlign w:val="top"/>
          </w:tcPr>
          <w:p>
            <w:pPr>
              <w:jc w:val="center"/>
              <w:rPr>
                <w:rFonts w:ascii="Times New Roman" w:hAnsi="Times New Roman"/>
                <w:szCs w:val="21"/>
              </w:rPr>
            </w:pPr>
            <w:r>
              <w:rPr>
                <w:rStyle w:val="17"/>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1" w:hRule="atLeast"/>
          <w:jc w:val="center"/>
        </w:trPr>
        <w:tc>
          <w:tcPr>
            <w:tcW w:w="1262" w:type="dxa"/>
            <w:noWrap w:val="0"/>
            <w:vAlign w:val="top"/>
          </w:tcPr>
          <w:p>
            <w:pPr>
              <w:jc w:val="center"/>
              <w:rPr>
                <w:rFonts w:ascii="宋体" w:hAnsi="宋体"/>
              </w:rPr>
            </w:pPr>
            <w:r>
              <w:rPr>
                <w:rStyle w:val="17"/>
                <w:rFonts w:hint="eastAsia" w:ascii="宋体" w:hAnsi="宋体"/>
              </w:rPr>
              <w:t xml:space="preserve">  </w:t>
            </w:r>
          </w:p>
        </w:tc>
        <w:tc>
          <w:tcPr>
            <w:tcW w:w="1134"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76"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38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3"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55"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139" w:type="dxa"/>
            <w:noWrap w:val="0"/>
            <w:vAlign w:val="top"/>
          </w:tcPr>
          <w:p>
            <w:pPr>
              <w:jc w:val="center"/>
              <w:rPr>
                <w:rFonts w:ascii="Times New Roman" w:hAnsi="Times New Roman"/>
                <w:szCs w:val="21"/>
              </w:rPr>
            </w:pPr>
            <w:r>
              <w:rPr>
                <w:rStyle w:val="17"/>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1" w:hRule="atLeast"/>
          <w:jc w:val="center"/>
        </w:trPr>
        <w:tc>
          <w:tcPr>
            <w:tcW w:w="1262" w:type="dxa"/>
            <w:noWrap w:val="0"/>
            <w:vAlign w:val="top"/>
          </w:tcPr>
          <w:p>
            <w:pPr>
              <w:jc w:val="center"/>
              <w:rPr>
                <w:rFonts w:ascii="宋体" w:hAnsi="宋体"/>
              </w:rPr>
            </w:pPr>
            <w:r>
              <w:rPr>
                <w:rStyle w:val="17"/>
                <w:rFonts w:hint="eastAsia" w:ascii="宋体" w:hAnsi="宋体"/>
              </w:rPr>
              <w:t xml:space="preserve">  </w:t>
            </w:r>
          </w:p>
        </w:tc>
        <w:tc>
          <w:tcPr>
            <w:tcW w:w="1134"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76"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38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3"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55"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139" w:type="dxa"/>
            <w:noWrap w:val="0"/>
            <w:vAlign w:val="top"/>
          </w:tcPr>
          <w:p>
            <w:pPr>
              <w:jc w:val="center"/>
              <w:rPr>
                <w:rFonts w:ascii="Times New Roman" w:hAnsi="Times New Roman"/>
                <w:szCs w:val="21"/>
              </w:rPr>
            </w:pPr>
            <w:r>
              <w:rPr>
                <w:rStyle w:val="17"/>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1" w:hRule="atLeast"/>
          <w:jc w:val="center"/>
        </w:trPr>
        <w:tc>
          <w:tcPr>
            <w:tcW w:w="1262" w:type="dxa"/>
            <w:noWrap w:val="0"/>
            <w:vAlign w:val="top"/>
          </w:tcPr>
          <w:p>
            <w:pPr>
              <w:jc w:val="center"/>
              <w:rPr>
                <w:rFonts w:ascii="宋体" w:hAnsi="宋体"/>
              </w:rPr>
            </w:pPr>
            <w:r>
              <w:rPr>
                <w:rStyle w:val="17"/>
                <w:rFonts w:hint="eastAsia" w:ascii="宋体" w:hAnsi="宋体"/>
              </w:rPr>
              <w:t xml:space="preserve">  </w:t>
            </w:r>
          </w:p>
        </w:tc>
        <w:tc>
          <w:tcPr>
            <w:tcW w:w="1134"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76"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38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2"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993"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255" w:type="dxa"/>
            <w:noWrap w:val="0"/>
            <w:vAlign w:val="top"/>
          </w:tcPr>
          <w:p>
            <w:pPr>
              <w:jc w:val="center"/>
              <w:rPr>
                <w:rFonts w:ascii="Times New Roman" w:hAnsi="Times New Roman"/>
                <w:szCs w:val="21"/>
              </w:rPr>
            </w:pPr>
            <w:r>
              <w:rPr>
                <w:rStyle w:val="17"/>
                <w:rFonts w:ascii="Times New Roman" w:hAnsi="Times New Roman"/>
                <w:szCs w:val="21"/>
              </w:rPr>
              <w:t xml:space="preserve">  </w:t>
            </w:r>
          </w:p>
        </w:tc>
        <w:tc>
          <w:tcPr>
            <w:tcW w:w="1139" w:type="dxa"/>
            <w:noWrap w:val="0"/>
            <w:vAlign w:val="top"/>
          </w:tcPr>
          <w:p>
            <w:pPr>
              <w:jc w:val="center"/>
              <w:rPr>
                <w:rFonts w:ascii="Times New Roman" w:hAnsi="Times New Roman"/>
                <w:szCs w:val="21"/>
              </w:rPr>
            </w:pPr>
            <w:r>
              <w:rPr>
                <w:rStyle w:val="17"/>
                <w:rFonts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暖通</w:t>
      </w:r>
      <w:r>
        <w:rPr>
          <w:rFonts w:hint="eastAsia" w:ascii="Times New Roman" w:hAnsi="Times New Roman"/>
          <w:szCs w:val="21"/>
        </w:rPr>
        <w:t>专业</w:t>
      </w:r>
      <w:r>
        <w:rPr>
          <w:rFonts w:ascii="Times New Roman" w:hAnsi="Times New Roman"/>
          <w:szCs w:val="21"/>
        </w:rPr>
        <w:t>竣工图</w:t>
      </w:r>
      <w:r>
        <w:rPr>
          <w:rFonts w:hint="eastAsia" w:ascii="Times New Roman" w:hAnsi="Times New Roman"/>
          <w:szCs w:val="21"/>
        </w:rPr>
        <w:t>及说明文件；</w:t>
      </w:r>
    </w:p>
    <w:p>
      <w:pPr>
        <w:rPr>
          <w:rFonts w:ascii="Times New Roman" w:hAnsi="Times New Roman"/>
          <w:szCs w:val="21"/>
        </w:rPr>
      </w:pPr>
      <w:r>
        <w:rPr>
          <w:rFonts w:ascii="Times New Roman" w:hAnsi="Times New Roman"/>
          <w:szCs w:val="21"/>
        </w:rPr>
        <w:t>2</w:t>
      </w:r>
      <w:r>
        <w:rPr>
          <w:rFonts w:hint="eastAsia" w:ascii="Times New Roman" w:hAnsi="Times New Roman"/>
          <w:szCs w:val="21"/>
        </w:rPr>
        <w:t>）典型房间在使用空调期间的</w:t>
      </w:r>
      <w:r>
        <w:rPr>
          <w:rFonts w:ascii="Times New Roman" w:hAnsi="Times New Roman"/>
          <w:szCs w:val="21"/>
        </w:rPr>
        <w:t>室内温湿度检测报告</w:t>
      </w:r>
      <w:r>
        <w:rPr>
          <w:rFonts w:hint="eastAsia" w:ascii="Times New Roman" w:hAnsi="Times New Roman"/>
          <w:szCs w:val="21"/>
        </w:rPr>
        <w:t>、室内二氧化碳浓度检测报告。</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spacing w:before="0" w:after="0"/>
        <w:rPr>
          <w:sz w:val="24"/>
          <w:szCs w:val="40"/>
        </w:rPr>
      </w:pPr>
      <w:r>
        <w:rPr>
          <w:sz w:val="24"/>
          <w:szCs w:val="40"/>
        </w:rPr>
        <w:t>5.1.7</w:t>
      </w:r>
      <w:r>
        <w:rPr>
          <w:rFonts w:hint="eastAsia"/>
          <w:sz w:val="24"/>
          <w:szCs w:val="40"/>
        </w:rPr>
        <w:t xml:space="preserve"> </w:t>
      </w:r>
      <w:r>
        <w:rPr>
          <w:sz w:val="24"/>
          <w:szCs w:val="40"/>
        </w:rPr>
        <w:t>围护结构热工性能应符合下列规定：1在室内设计温、湿度条件下，建筑非透光围护结构内表面不得结露；2供暖建筑的屋面、外墙内部不应产生冷凝；3屋顶和外墙隔热性能应满足现行国家标准《民用建筑热工设计规范》GB50176的要求。</w:t>
      </w:r>
    </w:p>
    <w:p>
      <w:pPr>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简要说明采取的防结露、防潮措施：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62" w:hRule="atLeast"/>
          <w:jc w:val="center"/>
        </w:trPr>
        <w:tc>
          <w:tcPr>
            <w:tcW w:w="9356" w:type="dxa"/>
            <w:shd w:val="clear" w:color="auto" w:fill="auto"/>
            <w:noWrap w:val="0"/>
            <w:vAlign w:val="top"/>
          </w:tcPr>
          <w:p>
            <w:pPr>
              <w:ind w:firstLine="400" w:firstLineChars="200"/>
              <w:rPr>
                <w:rFonts w:ascii="宋体" w:hAnsi="宋体"/>
                <w:kern w:val="0"/>
                <w:sz w:val="20"/>
                <w:szCs w:val="21"/>
              </w:rPr>
            </w:pPr>
            <w:r>
              <w:rPr>
                <w:rFonts w:hint="eastAsia" w:ascii="宋体" w:hAnsi="宋体"/>
                <w:kern w:val="0"/>
                <w:sz w:val="20"/>
                <w:szCs w:val="21"/>
              </w:rPr>
              <w:t>外墙外保温：90厚挤塑聚苯板+180厚剪力墙结构/130厚岩棉板+180厚剪力墙结构</w:t>
            </w:r>
          </w:p>
          <w:p>
            <w:pPr>
              <w:ind w:firstLine="400" w:firstLineChars="200"/>
              <w:rPr>
                <w:rFonts w:ascii="宋体" w:hAnsi="宋体"/>
                <w:kern w:val="0"/>
                <w:sz w:val="20"/>
                <w:szCs w:val="21"/>
              </w:rPr>
            </w:pPr>
            <w:r>
              <w:rPr>
                <w:rFonts w:hint="eastAsia" w:ascii="宋体" w:hAnsi="宋体"/>
                <w:kern w:val="0"/>
                <w:sz w:val="20"/>
                <w:szCs w:val="21"/>
              </w:rPr>
              <w:t>屋顶保温：100厚挤塑聚苯板+120厚钢筋混凝土板</w:t>
            </w:r>
          </w:p>
          <w:p>
            <w:pPr>
              <w:ind w:firstLine="400" w:firstLineChars="200"/>
              <w:rPr>
                <w:rFonts w:ascii="宋体" w:hAnsi="宋体"/>
                <w:kern w:val="0"/>
                <w:sz w:val="20"/>
                <w:szCs w:val="21"/>
              </w:rPr>
            </w:pPr>
            <w:r>
              <w:rPr>
                <w:rFonts w:hint="eastAsia" w:ascii="宋体" w:hAnsi="宋体"/>
                <w:kern w:val="0"/>
                <w:sz w:val="20"/>
                <w:szCs w:val="21"/>
              </w:rPr>
              <w:t>外窗：65系列断桥铝三玻两腔节能门窗(5Low-E+12A+5+12A+5)</w:t>
            </w:r>
          </w:p>
        </w:tc>
      </w:tr>
    </w:tbl>
    <w:p>
      <w:pPr>
        <w:adjustRightInd w:val="0"/>
        <w:snapToGrid w:val="0"/>
        <w:ind w:left="-426" w:leftChars="-203" w:firstLine="315" w:firstLineChars="150"/>
        <w:rPr>
          <w:rFonts w:ascii="Times New Roman" w:hAnsi="Times New Roman"/>
          <w:lang w:val="zh-CN"/>
        </w:rPr>
      </w:pPr>
      <w:r>
        <w:rPr>
          <w:rFonts w:ascii="Times New Roman" w:hAnsi="Times New Roman"/>
          <w:lang w:val="zh-CN"/>
        </w:rPr>
        <w:t>围护结构内表面温度</w:t>
      </w:r>
    </w:p>
    <w:tbl>
      <w:tblPr>
        <w:tblStyle w:val="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3119"/>
        <w:gridCol w:w="290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87" w:type="dxa"/>
            <w:noWrap w:val="0"/>
            <w:vAlign w:val="top"/>
          </w:tcPr>
          <w:p>
            <w:pPr>
              <w:jc w:val="center"/>
              <w:rPr>
                <w:rFonts w:ascii="Times New Roman" w:hAnsi="Times New Roman"/>
                <w:lang w:val="zh-CN"/>
              </w:rPr>
            </w:pPr>
            <w:r>
              <w:rPr>
                <w:rFonts w:ascii="Times New Roman" w:hAnsi="Times New Roman"/>
                <w:lang w:val="zh-CN"/>
              </w:rPr>
              <w:t>类型</w:t>
            </w:r>
          </w:p>
        </w:tc>
        <w:tc>
          <w:tcPr>
            <w:tcW w:w="3119" w:type="dxa"/>
            <w:noWrap w:val="0"/>
            <w:vAlign w:val="top"/>
          </w:tcPr>
          <w:p>
            <w:pPr>
              <w:jc w:val="center"/>
              <w:rPr>
                <w:rFonts w:ascii="Times New Roman" w:hAnsi="Times New Roman"/>
                <w:lang w:val="zh-CN"/>
              </w:rPr>
            </w:pPr>
            <w:r>
              <w:rPr>
                <w:rFonts w:ascii="Times New Roman" w:hAnsi="Times New Roman"/>
                <w:lang w:val="zh-CN"/>
              </w:rPr>
              <w:t>设计工况下内表面温度（</w:t>
            </w:r>
            <w:r>
              <w:rPr>
                <w:rFonts w:hint="eastAsia" w:ascii="宋体" w:hAnsi="宋体" w:cs="宋体"/>
                <w:lang w:val="zh-CN"/>
              </w:rPr>
              <w:t>℃</w:t>
            </w:r>
            <w:r>
              <w:rPr>
                <w:rFonts w:ascii="Times New Roman" w:hAnsi="Times New Roman"/>
                <w:lang w:val="zh-CN"/>
              </w:rPr>
              <w:t>）</w:t>
            </w:r>
          </w:p>
        </w:tc>
        <w:tc>
          <w:tcPr>
            <w:tcW w:w="2903" w:type="dxa"/>
            <w:noWrap w:val="0"/>
            <w:vAlign w:val="top"/>
          </w:tcPr>
          <w:p>
            <w:pPr>
              <w:jc w:val="center"/>
              <w:rPr>
                <w:rFonts w:ascii="Times New Roman" w:hAnsi="Times New Roman"/>
                <w:lang w:val="zh-CN"/>
              </w:rPr>
            </w:pPr>
            <w:r>
              <w:rPr>
                <w:rFonts w:ascii="Times New Roman" w:hAnsi="Times New Roman"/>
                <w:lang w:val="zh-CN"/>
              </w:rPr>
              <w:t>室内空气露点温度（</w:t>
            </w:r>
            <w:r>
              <w:rPr>
                <w:rFonts w:hint="eastAsia" w:ascii="宋体" w:hAnsi="宋体" w:cs="宋体"/>
                <w:lang w:val="zh-CN"/>
              </w:rPr>
              <w:t>℃</w:t>
            </w:r>
            <w:r>
              <w:rPr>
                <w:rFonts w:ascii="Times New Roman" w:hAnsi="Times New Roman"/>
                <w:lang w:val="zh-CN"/>
              </w:rPr>
              <w:t>）</w:t>
            </w:r>
          </w:p>
        </w:tc>
        <w:tc>
          <w:tcPr>
            <w:tcW w:w="1724" w:type="dxa"/>
            <w:noWrap w:val="0"/>
            <w:vAlign w:val="top"/>
          </w:tcPr>
          <w:p>
            <w:pPr>
              <w:jc w:val="center"/>
              <w:rPr>
                <w:rFonts w:ascii="Times New Roman" w:hAnsi="Times New Roman"/>
                <w:lang w:val="zh-CN"/>
              </w:rPr>
            </w:pPr>
            <w:r>
              <w:rPr>
                <w:rFonts w:ascii="Times New Roman" w:hAnsi="Times New Roman"/>
                <w:lang w:val="zh-CN"/>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87" w:type="dxa"/>
            <w:noWrap w:val="0"/>
            <w:vAlign w:val="top"/>
          </w:tcPr>
          <w:p>
            <w:pPr>
              <w:rPr>
                <w:rFonts w:ascii="Times New Roman" w:hAnsi="Times New Roman"/>
                <w:lang w:val="zh-CN"/>
              </w:rPr>
            </w:pPr>
            <w:r>
              <w:rPr>
                <w:rFonts w:ascii="Times New Roman" w:hAnsi="Times New Roman"/>
                <w:lang w:val="zh-CN"/>
              </w:rPr>
              <w:t>外墙</w:t>
            </w:r>
          </w:p>
        </w:tc>
        <w:tc>
          <w:tcPr>
            <w:tcW w:w="3119" w:type="dxa"/>
            <w:noWrap w:val="0"/>
            <w:vAlign w:val="top"/>
          </w:tcPr>
          <w:p>
            <w:pPr>
              <w:jc w:val="center"/>
              <w:rPr>
                <w:rFonts w:ascii="Times New Roman" w:hAnsi="Times New Roman"/>
                <w:lang w:val="zh-CN"/>
              </w:rPr>
            </w:pPr>
          </w:p>
        </w:tc>
        <w:tc>
          <w:tcPr>
            <w:tcW w:w="2903" w:type="dxa"/>
            <w:noWrap w:val="0"/>
            <w:vAlign w:val="top"/>
          </w:tcPr>
          <w:p>
            <w:pPr>
              <w:jc w:val="center"/>
              <w:rPr>
                <w:rFonts w:ascii="Times New Roman" w:hAnsi="Times New Roman"/>
                <w:lang w:val="zh-CN"/>
              </w:rPr>
            </w:pPr>
          </w:p>
        </w:tc>
        <w:tc>
          <w:tcPr>
            <w:tcW w:w="1724" w:type="dxa"/>
            <w:noWrap w:val="0"/>
            <w:vAlign w:val="top"/>
          </w:tcPr>
          <w:p>
            <w:pPr>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87" w:type="dxa"/>
            <w:noWrap w:val="0"/>
            <w:vAlign w:val="top"/>
          </w:tcPr>
          <w:p>
            <w:pPr>
              <w:rPr>
                <w:rFonts w:ascii="Times New Roman" w:hAnsi="Times New Roman"/>
                <w:lang w:val="zh-CN"/>
              </w:rPr>
            </w:pPr>
            <w:r>
              <w:rPr>
                <w:rFonts w:ascii="Times New Roman" w:hAnsi="Times New Roman"/>
                <w:lang w:val="zh-CN"/>
              </w:rPr>
              <w:t>屋面</w:t>
            </w:r>
          </w:p>
        </w:tc>
        <w:tc>
          <w:tcPr>
            <w:tcW w:w="3119" w:type="dxa"/>
            <w:noWrap w:val="0"/>
            <w:vAlign w:val="top"/>
          </w:tcPr>
          <w:p>
            <w:pPr>
              <w:jc w:val="center"/>
              <w:rPr>
                <w:rFonts w:ascii="Times New Roman" w:hAnsi="Times New Roman"/>
                <w:lang w:val="zh-CN"/>
              </w:rPr>
            </w:pPr>
          </w:p>
        </w:tc>
        <w:tc>
          <w:tcPr>
            <w:tcW w:w="2903" w:type="dxa"/>
            <w:noWrap w:val="0"/>
            <w:vAlign w:val="top"/>
          </w:tcPr>
          <w:p>
            <w:pPr>
              <w:jc w:val="center"/>
              <w:rPr>
                <w:rFonts w:ascii="Times New Roman" w:hAnsi="Times New Roman"/>
                <w:lang w:val="zh-CN"/>
              </w:rPr>
            </w:pPr>
          </w:p>
        </w:tc>
        <w:tc>
          <w:tcPr>
            <w:tcW w:w="1724" w:type="dxa"/>
            <w:noWrap w:val="0"/>
            <w:vAlign w:val="top"/>
          </w:tcPr>
          <w:p>
            <w:pPr>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87" w:type="dxa"/>
            <w:noWrap w:val="0"/>
            <w:vAlign w:val="top"/>
          </w:tcPr>
          <w:p>
            <w:pPr>
              <w:rPr>
                <w:rFonts w:ascii="Times New Roman" w:hAnsi="Times New Roman"/>
                <w:lang w:val="zh-CN"/>
              </w:rPr>
            </w:pPr>
            <w:r>
              <w:rPr>
                <w:rFonts w:ascii="Times New Roman" w:hAnsi="Times New Roman"/>
                <w:lang w:val="zh-CN"/>
              </w:rPr>
              <w:t>外窗</w:t>
            </w:r>
          </w:p>
        </w:tc>
        <w:tc>
          <w:tcPr>
            <w:tcW w:w="3119" w:type="dxa"/>
            <w:noWrap w:val="0"/>
            <w:vAlign w:val="top"/>
          </w:tcPr>
          <w:p>
            <w:pPr>
              <w:jc w:val="center"/>
              <w:rPr>
                <w:rFonts w:ascii="Times New Roman" w:hAnsi="Times New Roman"/>
                <w:lang w:val="zh-CN"/>
              </w:rPr>
            </w:pPr>
          </w:p>
        </w:tc>
        <w:tc>
          <w:tcPr>
            <w:tcW w:w="2903" w:type="dxa"/>
            <w:noWrap w:val="0"/>
            <w:vAlign w:val="top"/>
          </w:tcPr>
          <w:p>
            <w:pPr>
              <w:jc w:val="center"/>
              <w:rPr>
                <w:rFonts w:ascii="Times New Roman" w:hAnsi="Times New Roman"/>
                <w:lang w:val="zh-CN"/>
              </w:rPr>
            </w:pPr>
          </w:p>
        </w:tc>
        <w:tc>
          <w:tcPr>
            <w:tcW w:w="1724" w:type="dxa"/>
            <w:noWrap w:val="0"/>
            <w:vAlign w:val="top"/>
          </w:tcPr>
          <w:p>
            <w:pPr>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87" w:type="dxa"/>
            <w:noWrap w:val="0"/>
            <w:vAlign w:val="top"/>
          </w:tcPr>
          <w:p>
            <w:pPr>
              <w:rPr>
                <w:rFonts w:ascii="Times New Roman" w:hAnsi="Times New Roman"/>
                <w:lang w:val="zh-CN"/>
              </w:rPr>
            </w:pPr>
            <w:r>
              <w:rPr>
                <w:rFonts w:ascii="Times New Roman" w:hAnsi="Times New Roman"/>
                <w:lang w:val="zh-CN"/>
              </w:rPr>
              <w:t>其他</w:t>
            </w:r>
            <w:r>
              <w:rPr>
                <w:rFonts w:ascii="Times New Roman" w:hAnsi="Times New Roman"/>
                <w:u w:val="single"/>
                <w:lang w:val="zh-CN"/>
              </w:rPr>
              <w:t xml:space="preserve">          </w:t>
            </w:r>
          </w:p>
        </w:tc>
        <w:tc>
          <w:tcPr>
            <w:tcW w:w="3119" w:type="dxa"/>
            <w:noWrap w:val="0"/>
            <w:vAlign w:val="top"/>
          </w:tcPr>
          <w:p>
            <w:pPr>
              <w:jc w:val="center"/>
              <w:rPr>
                <w:rFonts w:ascii="Times New Roman" w:hAnsi="Times New Roman"/>
                <w:lang w:val="zh-CN"/>
              </w:rPr>
            </w:pPr>
          </w:p>
        </w:tc>
        <w:tc>
          <w:tcPr>
            <w:tcW w:w="2903" w:type="dxa"/>
            <w:noWrap w:val="0"/>
            <w:vAlign w:val="top"/>
          </w:tcPr>
          <w:p>
            <w:pPr>
              <w:jc w:val="center"/>
              <w:rPr>
                <w:rFonts w:ascii="Times New Roman" w:hAnsi="Times New Roman"/>
                <w:lang w:val="zh-CN"/>
              </w:rPr>
            </w:pPr>
          </w:p>
        </w:tc>
        <w:tc>
          <w:tcPr>
            <w:tcW w:w="1724" w:type="dxa"/>
            <w:noWrap w:val="0"/>
            <w:vAlign w:val="top"/>
          </w:tcPr>
          <w:p>
            <w:pPr>
              <w:jc w:val="center"/>
              <w:rPr>
                <w:rFonts w:ascii="宋体" w:hAnsi="宋体"/>
                <w:highlight w:val="yellow"/>
                <w:lang w:val="zh-CN"/>
              </w:rPr>
            </w:pPr>
          </w:p>
        </w:tc>
      </w:tr>
    </w:tbl>
    <w:p>
      <w:pPr>
        <w:rPr>
          <w:rFonts w:ascii="Times New Roman" w:hAnsi="Times New Roman"/>
          <w:b/>
          <w:szCs w:val="21"/>
          <w:lang w:val="zh-CN"/>
        </w:rPr>
      </w:pPr>
    </w:p>
    <w:tbl>
      <w:tblPr>
        <w:tblStyle w:val="7"/>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952"/>
        <w:gridCol w:w="2410"/>
        <w:gridCol w:w="253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15" w:type="pct"/>
            <w:gridSpan w:val="2"/>
            <w:noWrap w:val="0"/>
            <w:vAlign w:val="top"/>
          </w:tcPr>
          <w:p>
            <w:pPr>
              <w:jc w:val="center"/>
              <w:rPr>
                <w:rFonts w:ascii="Times New Roman" w:hAnsi="Times New Roman"/>
                <w:lang w:val="zh-CN"/>
              </w:rPr>
            </w:pPr>
            <w:r>
              <w:rPr>
                <w:rFonts w:ascii="Times New Roman" w:hAnsi="Times New Roman"/>
                <w:lang w:val="zh-CN"/>
              </w:rPr>
              <w:t>位置及类型</w:t>
            </w:r>
          </w:p>
        </w:tc>
        <w:tc>
          <w:tcPr>
            <w:tcW w:w="1262" w:type="pct"/>
            <w:noWrap w:val="0"/>
            <w:vAlign w:val="top"/>
          </w:tcPr>
          <w:p>
            <w:pPr>
              <w:jc w:val="center"/>
              <w:rPr>
                <w:rFonts w:ascii="Times New Roman" w:hAnsi="Times New Roman"/>
                <w:lang w:val="zh-CN"/>
              </w:rPr>
            </w:pPr>
            <w:r>
              <w:rPr>
                <w:rFonts w:ascii="Times New Roman" w:hAnsi="Times New Roman"/>
                <w:lang w:val="zh-CN"/>
              </w:rPr>
              <w:t>内表面最高温度（</w:t>
            </w:r>
            <w:r>
              <w:rPr>
                <w:rFonts w:hint="eastAsia" w:ascii="宋体" w:hAnsi="宋体" w:cs="宋体"/>
                <w:lang w:val="zh-CN"/>
              </w:rPr>
              <w:t>℃</w:t>
            </w:r>
            <w:r>
              <w:rPr>
                <w:rFonts w:ascii="Times New Roman" w:hAnsi="Times New Roman"/>
                <w:lang w:val="zh-CN"/>
              </w:rPr>
              <w:t>）</w:t>
            </w:r>
          </w:p>
        </w:tc>
        <w:tc>
          <w:tcPr>
            <w:tcW w:w="1329" w:type="pct"/>
            <w:noWrap w:val="0"/>
            <w:vAlign w:val="top"/>
          </w:tcPr>
          <w:p>
            <w:pPr>
              <w:jc w:val="center"/>
              <w:rPr>
                <w:rFonts w:ascii="Times New Roman" w:hAnsi="Times New Roman"/>
                <w:lang w:val="zh-CN"/>
              </w:rPr>
            </w:pPr>
            <w:r>
              <w:rPr>
                <w:rFonts w:ascii="Times New Roman" w:hAnsi="Times New Roman"/>
                <w:lang w:val="zh-CN"/>
              </w:rPr>
              <w:t>标准限值要求（</w:t>
            </w:r>
            <w:r>
              <w:rPr>
                <w:rFonts w:hint="eastAsia" w:ascii="宋体" w:hAnsi="宋体" w:cs="宋体"/>
                <w:lang w:val="zh-CN"/>
              </w:rPr>
              <w:t>℃</w:t>
            </w:r>
            <w:r>
              <w:rPr>
                <w:rFonts w:ascii="Times New Roman" w:hAnsi="Times New Roman"/>
                <w:lang w:val="zh-CN"/>
              </w:rPr>
              <w:t>）</w:t>
            </w:r>
          </w:p>
        </w:tc>
        <w:tc>
          <w:tcPr>
            <w:tcW w:w="894" w:type="pct"/>
            <w:noWrap w:val="0"/>
            <w:vAlign w:val="top"/>
          </w:tcPr>
          <w:p>
            <w:pPr>
              <w:jc w:val="center"/>
              <w:rPr>
                <w:rFonts w:ascii="Times New Roman" w:hAnsi="Times New Roman"/>
                <w:lang w:val="zh-CN"/>
              </w:rPr>
            </w:pPr>
            <w:r>
              <w:rPr>
                <w:rFonts w:ascii="Times New Roman" w:hAnsi="Times New Roman"/>
                <w:lang w:val="zh-CN"/>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93" w:type="pct"/>
            <w:vMerge w:val="restart"/>
            <w:noWrap w:val="0"/>
            <w:vAlign w:val="center"/>
          </w:tcPr>
          <w:p>
            <w:pPr>
              <w:rPr>
                <w:rFonts w:ascii="Times New Roman" w:hAnsi="Times New Roman"/>
                <w:lang w:val="zh-CN"/>
              </w:rPr>
            </w:pPr>
            <w:r>
              <w:rPr>
                <w:rFonts w:ascii="Times New Roman" w:hAnsi="Times New Roman"/>
                <w:lang w:val="zh-CN"/>
              </w:rPr>
              <w:t>屋顶</w:t>
            </w:r>
          </w:p>
        </w:tc>
        <w:tc>
          <w:tcPr>
            <w:tcW w:w="1022" w:type="pct"/>
            <w:noWrap w:val="0"/>
            <w:vAlign w:val="top"/>
          </w:tcPr>
          <w:p>
            <w:pPr>
              <w:rPr>
                <w:rFonts w:ascii="Times New Roman" w:hAnsi="Times New Roman"/>
                <w:lang w:val="zh-CN"/>
              </w:rPr>
            </w:pPr>
            <w:r>
              <w:rPr>
                <w:rFonts w:ascii="Times New Roman" w:hAnsi="Times New Roman"/>
                <w:lang w:val="zh-CN"/>
              </w:rPr>
              <w:t>自然通风房间</w:t>
            </w:r>
          </w:p>
        </w:tc>
        <w:tc>
          <w:tcPr>
            <w:tcW w:w="1262" w:type="pct"/>
            <w:noWrap w:val="0"/>
            <w:vAlign w:val="top"/>
          </w:tcPr>
          <w:p>
            <w:pPr>
              <w:jc w:val="center"/>
              <w:rPr>
                <w:rFonts w:ascii="Times New Roman" w:hAnsi="Times New Roman"/>
                <w:lang w:val="zh-CN"/>
              </w:rPr>
            </w:pPr>
          </w:p>
        </w:tc>
        <w:tc>
          <w:tcPr>
            <w:tcW w:w="1329" w:type="pct"/>
            <w:noWrap w:val="0"/>
            <w:vAlign w:val="top"/>
          </w:tcPr>
          <w:p>
            <w:pPr>
              <w:jc w:val="center"/>
              <w:rPr>
                <w:rFonts w:ascii="Times New Roman" w:hAnsi="Times New Roman"/>
                <w:lang w:val="zh-CN"/>
              </w:rPr>
            </w:pPr>
          </w:p>
        </w:tc>
        <w:tc>
          <w:tcPr>
            <w:tcW w:w="894" w:type="pct"/>
            <w:noWrap w:val="0"/>
            <w:vAlign w:val="top"/>
          </w:tcPr>
          <w:p>
            <w:pPr>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93" w:type="pct"/>
            <w:vMerge w:val="continue"/>
            <w:noWrap w:val="0"/>
            <w:vAlign w:val="center"/>
          </w:tcPr>
          <w:p>
            <w:pPr>
              <w:rPr>
                <w:rFonts w:ascii="Times New Roman" w:hAnsi="Times New Roman"/>
                <w:lang w:val="zh-CN"/>
              </w:rPr>
            </w:pPr>
          </w:p>
        </w:tc>
        <w:tc>
          <w:tcPr>
            <w:tcW w:w="1022" w:type="pct"/>
            <w:noWrap w:val="0"/>
            <w:vAlign w:val="top"/>
          </w:tcPr>
          <w:p>
            <w:pPr>
              <w:rPr>
                <w:rFonts w:ascii="Times New Roman" w:hAnsi="Times New Roman"/>
                <w:lang w:val="zh-CN"/>
              </w:rPr>
            </w:pPr>
            <w:r>
              <w:rPr>
                <w:rFonts w:ascii="Times New Roman" w:hAnsi="Times New Roman"/>
                <w:lang w:val="zh-CN"/>
              </w:rPr>
              <w:t>空调房间</w:t>
            </w:r>
          </w:p>
        </w:tc>
        <w:tc>
          <w:tcPr>
            <w:tcW w:w="1262" w:type="pct"/>
            <w:noWrap w:val="0"/>
            <w:vAlign w:val="top"/>
          </w:tcPr>
          <w:p>
            <w:pPr>
              <w:jc w:val="center"/>
              <w:rPr>
                <w:rFonts w:ascii="Times New Roman" w:hAnsi="Times New Roman"/>
                <w:lang w:val="zh-CN"/>
              </w:rPr>
            </w:pPr>
          </w:p>
        </w:tc>
        <w:tc>
          <w:tcPr>
            <w:tcW w:w="1329" w:type="pct"/>
            <w:noWrap w:val="0"/>
            <w:vAlign w:val="top"/>
          </w:tcPr>
          <w:p>
            <w:pPr>
              <w:jc w:val="center"/>
              <w:rPr>
                <w:rFonts w:ascii="Times New Roman" w:hAnsi="Times New Roman"/>
                <w:lang w:val="zh-CN"/>
              </w:rPr>
            </w:pPr>
          </w:p>
        </w:tc>
        <w:tc>
          <w:tcPr>
            <w:tcW w:w="894" w:type="pct"/>
            <w:noWrap w:val="0"/>
            <w:vAlign w:val="top"/>
          </w:tcPr>
          <w:p>
            <w:pPr>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93" w:type="pct"/>
            <w:vMerge w:val="restart"/>
            <w:noWrap w:val="0"/>
            <w:vAlign w:val="center"/>
          </w:tcPr>
          <w:p>
            <w:pPr>
              <w:rPr>
                <w:rFonts w:ascii="Times New Roman" w:hAnsi="Times New Roman"/>
                <w:lang w:val="zh-CN"/>
              </w:rPr>
            </w:pPr>
            <w:r>
              <w:rPr>
                <w:rFonts w:ascii="Times New Roman" w:hAnsi="Times New Roman"/>
                <w:lang w:val="zh-CN"/>
              </w:rPr>
              <w:t>东外墙</w:t>
            </w:r>
          </w:p>
        </w:tc>
        <w:tc>
          <w:tcPr>
            <w:tcW w:w="1022" w:type="pct"/>
            <w:noWrap w:val="0"/>
            <w:vAlign w:val="top"/>
          </w:tcPr>
          <w:p>
            <w:pPr>
              <w:rPr>
                <w:rFonts w:ascii="Times New Roman" w:hAnsi="Times New Roman"/>
                <w:lang w:val="zh-CN"/>
              </w:rPr>
            </w:pPr>
            <w:r>
              <w:rPr>
                <w:rFonts w:ascii="Times New Roman" w:hAnsi="Times New Roman"/>
                <w:lang w:val="zh-CN"/>
              </w:rPr>
              <w:t>自然通风房间</w:t>
            </w:r>
          </w:p>
        </w:tc>
        <w:tc>
          <w:tcPr>
            <w:tcW w:w="1262" w:type="pct"/>
            <w:noWrap w:val="0"/>
            <w:vAlign w:val="top"/>
          </w:tcPr>
          <w:p>
            <w:pPr>
              <w:jc w:val="center"/>
              <w:rPr>
                <w:rFonts w:ascii="Times New Roman" w:hAnsi="Times New Roman"/>
                <w:lang w:val="zh-CN"/>
              </w:rPr>
            </w:pPr>
          </w:p>
        </w:tc>
        <w:tc>
          <w:tcPr>
            <w:tcW w:w="1329" w:type="pct"/>
            <w:noWrap w:val="0"/>
            <w:vAlign w:val="top"/>
          </w:tcPr>
          <w:p>
            <w:pPr>
              <w:jc w:val="center"/>
              <w:rPr>
                <w:rFonts w:ascii="Times New Roman" w:hAnsi="Times New Roman"/>
                <w:lang w:val="zh-CN"/>
              </w:rPr>
            </w:pPr>
          </w:p>
        </w:tc>
        <w:tc>
          <w:tcPr>
            <w:tcW w:w="894" w:type="pct"/>
            <w:noWrap w:val="0"/>
            <w:vAlign w:val="top"/>
          </w:tcPr>
          <w:p>
            <w:pPr>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93" w:type="pct"/>
            <w:vMerge w:val="continue"/>
            <w:noWrap w:val="0"/>
            <w:vAlign w:val="center"/>
          </w:tcPr>
          <w:p>
            <w:pPr>
              <w:rPr>
                <w:rFonts w:ascii="Times New Roman" w:hAnsi="Times New Roman"/>
                <w:lang w:val="zh-CN"/>
              </w:rPr>
            </w:pPr>
          </w:p>
        </w:tc>
        <w:tc>
          <w:tcPr>
            <w:tcW w:w="1022" w:type="pct"/>
            <w:noWrap w:val="0"/>
            <w:vAlign w:val="top"/>
          </w:tcPr>
          <w:p>
            <w:pPr>
              <w:rPr>
                <w:rFonts w:ascii="Times New Roman" w:hAnsi="Times New Roman"/>
                <w:lang w:val="zh-CN"/>
              </w:rPr>
            </w:pPr>
            <w:r>
              <w:rPr>
                <w:rFonts w:ascii="Times New Roman" w:hAnsi="Times New Roman"/>
                <w:lang w:val="zh-CN"/>
              </w:rPr>
              <w:t>空调房间</w:t>
            </w:r>
          </w:p>
        </w:tc>
        <w:tc>
          <w:tcPr>
            <w:tcW w:w="1262" w:type="pct"/>
            <w:noWrap w:val="0"/>
            <w:vAlign w:val="top"/>
          </w:tcPr>
          <w:p>
            <w:pPr>
              <w:jc w:val="center"/>
              <w:rPr>
                <w:rFonts w:ascii="Times New Roman" w:hAnsi="Times New Roman"/>
                <w:lang w:val="zh-CN"/>
              </w:rPr>
            </w:pPr>
          </w:p>
        </w:tc>
        <w:tc>
          <w:tcPr>
            <w:tcW w:w="1329" w:type="pct"/>
            <w:noWrap w:val="0"/>
            <w:vAlign w:val="top"/>
          </w:tcPr>
          <w:p>
            <w:pPr>
              <w:jc w:val="center"/>
              <w:rPr>
                <w:rFonts w:ascii="Times New Roman" w:hAnsi="Times New Roman"/>
                <w:lang w:val="zh-CN"/>
              </w:rPr>
            </w:pPr>
          </w:p>
        </w:tc>
        <w:tc>
          <w:tcPr>
            <w:tcW w:w="894" w:type="pct"/>
            <w:noWrap w:val="0"/>
            <w:vAlign w:val="top"/>
          </w:tcPr>
          <w:p>
            <w:pPr>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93" w:type="pct"/>
            <w:vMerge w:val="restart"/>
            <w:noWrap w:val="0"/>
            <w:vAlign w:val="center"/>
          </w:tcPr>
          <w:p>
            <w:pPr>
              <w:rPr>
                <w:rFonts w:ascii="Times New Roman" w:hAnsi="Times New Roman"/>
                <w:lang w:val="zh-CN"/>
              </w:rPr>
            </w:pPr>
            <w:r>
              <w:rPr>
                <w:rFonts w:ascii="Times New Roman" w:hAnsi="Times New Roman"/>
                <w:lang w:val="zh-CN"/>
              </w:rPr>
              <w:t>西外墙</w:t>
            </w:r>
          </w:p>
        </w:tc>
        <w:tc>
          <w:tcPr>
            <w:tcW w:w="1022" w:type="pct"/>
            <w:noWrap w:val="0"/>
            <w:vAlign w:val="top"/>
          </w:tcPr>
          <w:p>
            <w:pPr>
              <w:rPr>
                <w:rFonts w:ascii="Times New Roman" w:hAnsi="Times New Roman"/>
                <w:lang w:val="zh-CN"/>
              </w:rPr>
            </w:pPr>
            <w:r>
              <w:rPr>
                <w:rFonts w:ascii="Times New Roman" w:hAnsi="Times New Roman"/>
                <w:lang w:val="zh-CN"/>
              </w:rPr>
              <w:t>自然通风房间</w:t>
            </w:r>
          </w:p>
        </w:tc>
        <w:tc>
          <w:tcPr>
            <w:tcW w:w="1262" w:type="pct"/>
            <w:noWrap w:val="0"/>
            <w:vAlign w:val="top"/>
          </w:tcPr>
          <w:p>
            <w:pPr>
              <w:jc w:val="center"/>
              <w:rPr>
                <w:rFonts w:ascii="Times New Roman" w:hAnsi="Times New Roman"/>
                <w:lang w:val="zh-CN"/>
              </w:rPr>
            </w:pPr>
          </w:p>
        </w:tc>
        <w:tc>
          <w:tcPr>
            <w:tcW w:w="1329" w:type="pct"/>
            <w:noWrap w:val="0"/>
            <w:vAlign w:val="top"/>
          </w:tcPr>
          <w:p>
            <w:pPr>
              <w:jc w:val="center"/>
              <w:rPr>
                <w:rFonts w:ascii="Times New Roman" w:hAnsi="Times New Roman"/>
                <w:lang w:val="zh-CN"/>
              </w:rPr>
            </w:pPr>
          </w:p>
        </w:tc>
        <w:tc>
          <w:tcPr>
            <w:tcW w:w="894" w:type="pct"/>
            <w:noWrap w:val="0"/>
            <w:vAlign w:val="top"/>
          </w:tcPr>
          <w:p>
            <w:pPr>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93" w:type="pct"/>
            <w:vMerge w:val="continue"/>
            <w:noWrap w:val="0"/>
            <w:vAlign w:val="top"/>
          </w:tcPr>
          <w:p>
            <w:pPr>
              <w:rPr>
                <w:rFonts w:ascii="Times New Roman" w:hAnsi="Times New Roman"/>
                <w:lang w:val="zh-CN"/>
              </w:rPr>
            </w:pPr>
          </w:p>
        </w:tc>
        <w:tc>
          <w:tcPr>
            <w:tcW w:w="1022" w:type="pct"/>
            <w:noWrap w:val="0"/>
            <w:vAlign w:val="top"/>
          </w:tcPr>
          <w:p>
            <w:pPr>
              <w:rPr>
                <w:rFonts w:ascii="Times New Roman" w:hAnsi="Times New Roman"/>
                <w:lang w:val="zh-CN"/>
              </w:rPr>
            </w:pPr>
            <w:r>
              <w:rPr>
                <w:rFonts w:ascii="Times New Roman" w:hAnsi="Times New Roman"/>
                <w:lang w:val="zh-CN"/>
              </w:rPr>
              <w:t>空调房间</w:t>
            </w:r>
          </w:p>
        </w:tc>
        <w:tc>
          <w:tcPr>
            <w:tcW w:w="1262" w:type="pct"/>
            <w:noWrap w:val="0"/>
            <w:vAlign w:val="top"/>
          </w:tcPr>
          <w:p>
            <w:pPr>
              <w:jc w:val="center"/>
              <w:rPr>
                <w:rFonts w:ascii="Times New Roman" w:hAnsi="Times New Roman"/>
                <w:lang w:val="zh-CN"/>
              </w:rPr>
            </w:pPr>
          </w:p>
        </w:tc>
        <w:tc>
          <w:tcPr>
            <w:tcW w:w="1329" w:type="pct"/>
            <w:noWrap w:val="0"/>
            <w:vAlign w:val="top"/>
          </w:tcPr>
          <w:p>
            <w:pPr>
              <w:jc w:val="center"/>
              <w:rPr>
                <w:rFonts w:ascii="Times New Roman" w:hAnsi="Times New Roman"/>
                <w:lang w:val="zh-CN"/>
              </w:rPr>
            </w:pPr>
          </w:p>
        </w:tc>
        <w:tc>
          <w:tcPr>
            <w:tcW w:w="894" w:type="pct"/>
            <w:noWrap w:val="0"/>
            <w:vAlign w:val="top"/>
          </w:tcPr>
          <w:p>
            <w:pPr>
              <w:jc w:val="center"/>
              <w:rPr>
                <w:rFonts w:ascii="宋体" w:hAnsi="宋体"/>
                <w:lang w:val="zh-CN"/>
              </w:rPr>
            </w:pPr>
          </w:p>
        </w:tc>
      </w:tr>
    </w:tbl>
    <w:p>
      <w:pPr>
        <w:rPr>
          <w:rFonts w:ascii="Times New Roman" w:hAnsi="Times New Roman"/>
          <w:b/>
          <w:szCs w:val="21"/>
        </w:rPr>
      </w:pPr>
      <w:r>
        <w:rPr>
          <w:rFonts w:ascii="Times New Roman" w:hAnsi="Times New Roman"/>
          <w:b/>
          <w:szCs w:val="21"/>
        </w:rPr>
        <w:t>3 证明材料</w:t>
      </w:r>
    </w:p>
    <w:p>
      <w:pPr>
        <w:spacing w:line="280" w:lineRule="exact"/>
        <w:rPr>
          <w:rFonts w:ascii="Times New Roman" w:hAnsi="Times New Roman"/>
          <w:szCs w:val="21"/>
        </w:rPr>
      </w:pPr>
      <w:r>
        <w:rPr>
          <w:rFonts w:ascii="Times New Roman" w:hAnsi="Times New Roman"/>
          <w:szCs w:val="21"/>
        </w:rPr>
        <w:t>提交材料及要求：</w:t>
      </w:r>
    </w:p>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建筑竣工图</w:t>
      </w:r>
      <w:r>
        <w:rPr>
          <w:rFonts w:hint="eastAsia" w:ascii="Times New Roman" w:hAnsi="Times New Roman"/>
          <w:szCs w:val="21"/>
        </w:rPr>
        <w:t>、说明及节点大样；</w:t>
      </w:r>
    </w:p>
    <w:p>
      <w:pPr>
        <w:spacing w:line="280" w:lineRule="exact"/>
        <w:rPr>
          <w:rFonts w:ascii="Times New Roman" w:hAnsi="Times New Roman"/>
          <w:szCs w:val="21"/>
        </w:rPr>
      </w:pPr>
      <w:r>
        <w:rPr>
          <w:rFonts w:ascii="Times New Roman" w:hAnsi="Times New Roman"/>
          <w:szCs w:val="21"/>
        </w:rPr>
        <w:t>2</w:t>
      </w:r>
      <w:r>
        <w:rPr>
          <w:rFonts w:hint="eastAsia" w:ascii="Times New Roman" w:hAnsi="Times New Roman"/>
          <w:szCs w:val="21"/>
        </w:rPr>
        <w:t>）节能计算书、</w:t>
      </w:r>
      <w:r>
        <w:rPr>
          <w:rFonts w:ascii="Times New Roman" w:hAnsi="Times New Roman"/>
          <w:szCs w:val="21"/>
        </w:rPr>
        <w:t>围护结构防结露验算报告</w:t>
      </w:r>
      <w:r>
        <w:rPr>
          <w:rFonts w:hint="eastAsia" w:ascii="Times New Roman" w:hAnsi="Times New Roman"/>
          <w:szCs w:val="21"/>
        </w:rPr>
        <w:t>、围护结构</w:t>
      </w:r>
      <w:r>
        <w:rPr>
          <w:rFonts w:ascii="Times New Roman" w:hAnsi="Times New Roman"/>
          <w:szCs w:val="21"/>
        </w:rPr>
        <w:t>隔热性能验算报告</w:t>
      </w:r>
      <w:r>
        <w:rPr>
          <w:rFonts w:hint="eastAsia" w:ascii="Times New Roman" w:hAnsi="Times New Roman"/>
          <w:szCs w:val="21"/>
        </w:rPr>
        <w:t>、围护结构</w:t>
      </w:r>
      <w:r>
        <w:rPr>
          <w:rFonts w:ascii="Times New Roman" w:hAnsi="Times New Roman"/>
          <w:szCs w:val="21"/>
        </w:rPr>
        <w:t>内部冷凝验算报告</w:t>
      </w:r>
      <w:r>
        <w:rPr>
          <w:rFonts w:hint="eastAsia" w:ascii="Times New Roman" w:hAnsi="Times New Roman"/>
          <w:szCs w:val="21"/>
        </w:rPr>
        <w:t>；</w:t>
      </w:r>
      <w:r>
        <w:rPr>
          <w:rFonts w:ascii="Times New Roman" w:hAnsi="Times New Roman"/>
          <w:szCs w:val="21"/>
        </w:rPr>
        <w:t>建筑</w:t>
      </w:r>
      <w:r>
        <w:rPr>
          <w:rFonts w:hint="eastAsia" w:ascii="Times New Roman" w:hAnsi="Times New Roman"/>
          <w:szCs w:val="21"/>
        </w:rPr>
        <w:t>围护</w:t>
      </w:r>
      <w:r>
        <w:rPr>
          <w:rFonts w:ascii="Times New Roman" w:hAnsi="Times New Roman"/>
          <w:szCs w:val="21"/>
        </w:rPr>
        <w:t>结构隔热性能计算书</w:t>
      </w:r>
      <w:r>
        <w:rPr>
          <w:rFonts w:hint="eastAsia" w:ascii="Times New Roman" w:hAnsi="Times New Roman"/>
          <w:szCs w:val="21"/>
        </w:rPr>
        <w:t>。</w:t>
      </w:r>
    </w:p>
    <w:p>
      <w:pPr>
        <w:spacing w:line="280" w:lineRule="exac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5.1.8</w:t>
      </w:r>
      <w:r>
        <w:rPr>
          <w:rFonts w:hint="eastAsia"/>
          <w:sz w:val="24"/>
          <w:szCs w:val="40"/>
        </w:rPr>
        <w:t xml:space="preserve"> </w:t>
      </w:r>
      <w:r>
        <w:rPr>
          <w:sz w:val="24"/>
          <w:szCs w:val="40"/>
        </w:rPr>
        <w:t>主要功能房间应具有现场独立控制的热环境调节装置。</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ind w:left="-424" w:firstLine="420" w:firstLineChars="200"/>
        <w:rPr>
          <w:rFonts w:ascii="Times New Roman" w:hAnsi="Times New Roman"/>
          <w:szCs w:val="21"/>
        </w:rPr>
      </w:pPr>
      <w:r>
        <w:rPr>
          <w:rFonts w:ascii="Times New Roman" w:hAnsi="Times New Roman"/>
          <w:szCs w:val="21"/>
        </w:rPr>
        <w:t>主要功能房间</w:t>
      </w:r>
      <w:r>
        <w:rPr>
          <w:rFonts w:hint="eastAsia" w:ascii="Times New Roman" w:hAnsi="Times New Roman"/>
          <w:szCs w:val="21"/>
        </w:rPr>
        <w:t>面积</w:t>
      </w:r>
      <w:r>
        <w:rPr>
          <w:rFonts w:ascii="Times New Roman" w:hAnsi="Times New Roman"/>
          <w:szCs w:val="21"/>
        </w:rPr>
        <w:t>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，热环境可独立调节的</w:t>
      </w:r>
      <w:r>
        <w:rPr>
          <w:rFonts w:hint="eastAsia" w:ascii="Times New Roman" w:hAnsi="Times New Roman"/>
          <w:szCs w:val="21"/>
        </w:rPr>
        <w:t>面积</w:t>
      </w:r>
      <w:r>
        <w:rPr>
          <w:rFonts w:ascii="Times New Roman" w:hAnsi="Times New Roman"/>
          <w:szCs w:val="21"/>
        </w:rPr>
        <w:t>为</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，比例为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rPr>
          <w:rFonts w:ascii="Times New Roman" w:hAnsi="Times New Roman"/>
          <w:szCs w:val="21"/>
        </w:rPr>
      </w:pPr>
      <w:r>
        <w:rPr>
          <w:rFonts w:ascii="Times New Roman" w:hAnsi="Times New Roman"/>
          <w:szCs w:val="21"/>
        </w:rPr>
        <w:t>简述所采用的热环境系统末端形式和调节方式。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宋体" w:hAnsi="宋体"/>
                <w:kern w:val="0"/>
                <w:sz w:val="20"/>
                <w:szCs w:val="21"/>
              </w:rPr>
            </w:pPr>
            <w:r>
              <w:rPr>
                <w:rFonts w:hint="eastAsia" w:ascii="宋体" w:hAnsi="宋体"/>
                <w:kern w:val="0"/>
                <w:sz w:val="20"/>
                <w:szCs w:val="21"/>
              </w:rPr>
              <w:t>各房间风口均为电动风口（带执行器），配单独的温控器，可实现房间单独设定温度，满足所有评分项。</w:t>
            </w:r>
          </w:p>
          <w:p>
            <w:pPr>
              <w:ind w:firstLine="400" w:firstLineChars="200"/>
              <w:rPr>
                <w:rFonts w:ascii="宋体" w:hAnsi="宋体"/>
                <w:kern w:val="0"/>
                <w:sz w:val="20"/>
                <w:szCs w:val="21"/>
              </w:rPr>
            </w:pPr>
            <w:r>
              <w:rPr>
                <w:rFonts w:hint="eastAsia" w:ascii="宋体" w:hAnsi="宋体"/>
                <w:kern w:val="0"/>
                <w:sz w:val="20"/>
                <w:szCs w:val="21"/>
              </w:rPr>
              <w:t>本工程建筑冬季供暖采用集中热水采暖系统，每组散热器均设自动恒温控制阀，能够分室控制和调节；多联机空调系统每个房间均能够独立控制和调节。</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暖通</w:t>
      </w:r>
      <w:r>
        <w:rPr>
          <w:rFonts w:hint="eastAsia" w:ascii="Times New Roman" w:hAnsi="Times New Roman"/>
          <w:szCs w:val="21"/>
        </w:rPr>
        <w:t>空调</w:t>
      </w:r>
      <w:r>
        <w:rPr>
          <w:rFonts w:ascii="Times New Roman" w:hAnsi="Times New Roman"/>
          <w:szCs w:val="21"/>
        </w:rPr>
        <w:t>竣工图</w:t>
      </w:r>
      <w:r>
        <w:rPr>
          <w:rFonts w:hint="eastAsia" w:ascii="Times New Roman" w:hAnsi="Times New Roman"/>
          <w:szCs w:val="21"/>
        </w:rPr>
        <w:t>、说明文件，应注明主要功能房间的末端形式；</w:t>
      </w:r>
    </w:p>
    <w:p>
      <w:pP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末端产品说明书</w:t>
      </w:r>
      <w:r>
        <w:rPr>
          <w:rFonts w:hint="eastAsia" w:ascii="Times New Roman" w:hAnsi="Times New Roman"/>
          <w:szCs w:val="21"/>
        </w:rPr>
        <w:t>、合格证书。</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5.1.9</w:t>
      </w:r>
      <w:r>
        <w:rPr>
          <w:rFonts w:hint="eastAsia"/>
          <w:sz w:val="24"/>
          <w:szCs w:val="40"/>
        </w:rPr>
        <w:t xml:space="preserve"> </w:t>
      </w:r>
      <w:r>
        <w:rPr>
          <w:sz w:val="24"/>
          <w:szCs w:val="40"/>
        </w:rPr>
        <w:t>地下车库应设置与排风设备联动的一氧化碳浓度监测装置。</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szCs w:val="21"/>
        </w:rPr>
        <w:t>请对</w:t>
      </w:r>
      <w:r>
        <w:rPr>
          <w:rFonts w:hint="eastAsia" w:ascii="Times New Roman" w:hAnsi="Times New Roman"/>
          <w:szCs w:val="21"/>
        </w:rPr>
        <w:t>地下车库CO监控系统功能以及控制策略进行</w:t>
      </w:r>
      <w:r>
        <w:rPr>
          <w:rFonts w:ascii="Times New Roman" w:hAnsi="Times New Roman"/>
          <w:szCs w:val="21"/>
        </w:rPr>
        <w:t>简要说明</w:t>
      </w:r>
      <w:r>
        <w:rPr>
          <w:rFonts w:hint="eastAsia" w:ascii="Times New Roman" w:hAnsi="Times New Roman"/>
          <w:szCs w:val="21"/>
        </w:rPr>
        <w:t>：</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trPr>
        <w:tc>
          <w:tcPr>
            <w:tcW w:w="9356" w:type="dxa"/>
            <w:shd w:val="clear" w:color="auto" w:fill="auto"/>
            <w:noWrap w:val="0"/>
            <w:vAlign w:val="top"/>
          </w:tcPr>
          <w:p>
            <w:pPr>
              <w:ind w:firstLine="400" w:firstLineChars="200"/>
              <w:rPr>
                <w:rFonts w:ascii="宋体" w:hAnsi="宋体"/>
                <w:kern w:val="0"/>
                <w:sz w:val="20"/>
                <w:szCs w:val="21"/>
              </w:rPr>
            </w:pPr>
            <w:r>
              <w:rPr>
                <w:rFonts w:hint="eastAsia" w:ascii="宋体" w:hAnsi="宋体"/>
                <w:kern w:val="0"/>
                <w:sz w:val="20"/>
                <w:szCs w:val="21"/>
              </w:rPr>
              <w:t>地下汽车库设置机械通风，平时排风按6次换气或CO浓度为20mg/m3计算取大值并设置机械补风系统，补风量不小于80%，地下车库设CO浓度传感器，设置原则为一个防烟分区一个测点，根据CO浓度控制风机变频调节。</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暖通</w:t>
      </w:r>
      <w:r>
        <w:rPr>
          <w:rFonts w:hint="eastAsia" w:ascii="Times New Roman" w:hAnsi="Times New Roman"/>
          <w:szCs w:val="21"/>
        </w:rPr>
        <w:t>空调</w:t>
      </w:r>
      <w:r>
        <w:rPr>
          <w:rFonts w:ascii="Times New Roman" w:hAnsi="Times New Roman"/>
          <w:szCs w:val="21"/>
        </w:rPr>
        <w:t>竣工图</w:t>
      </w:r>
      <w:r>
        <w:rPr>
          <w:rFonts w:hint="eastAsia" w:ascii="Times New Roman" w:hAnsi="Times New Roman"/>
          <w:szCs w:val="21"/>
        </w:rPr>
        <w:t>、说明文件；</w:t>
      </w:r>
    </w:p>
    <w:p>
      <w:pPr>
        <w:rPr>
          <w:rFonts w:ascii="Times New Roman" w:hAnsi="Times New Roman"/>
          <w:szCs w:val="21"/>
        </w:rPr>
      </w:pPr>
      <w:r>
        <w:rPr>
          <w:rFonts w:hint="eastAsia" w:ascii="Times New Roman" w:hAnsi="Times New Roman"/>
          <w:szCs w:val="21"/>
        </w:rPr>
        <w:t>2）建筑智能化竣工图、说明文件；</w:t>
      </w:r>
    </w:p>
    <w:p>
      <w:pPr>
        <w:rPr>
          <w:rFonts w:ascii="Times New Roman" w:hAnsi="Times New Roman"/>
          <w:szCs w:val="21"/>
        </w:rPr>
      </w:pPr>
      <w:r>
        <w:rPr>
          <w:rFonts w:hint="eastAsia" w:ascii="Times New Roman" w:hAnsi="Times New Roman"/>
          <w:szCs w:val="21"/>
        </w:rPr>
        <w:t>3）设备运行记录。</w:t>
      </w:r>
    </w:p>
    <w:p/>
    <w:p>
      <w:pPr>
        <w:rPr>
          <w:rFonts w:ascii="Times New Roman" w:hAnsi="Times New Roman"/>
          <w:szCs w:val="21"/>
        </w:rPr>
      </w:pPr>
      <w:r>
        <w:rPr>
          <w:rFonts w:ascii="Times New Roman" w:hAnsi="Times New Roman"/>
          <w:szCs w:val="21"/>
        </w:rPr>
        <w:t>实际提交材料：</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5.2.1</w:t>
      </w:r>
      <w:r>
        <w:rPr>
          <w:rFonts w:hint="eastAsia"/>
          <w:sz w:val="24"/>
          <w:szCs w:val="40"/>
        </w:rPr>
        <w:t xml:space="preserve"> </w:t>
      </w:r>
      <w:r>
        <w:rPr>
          <w:sz w:val="24"/>
          <w:szCs w:val="40"/>
        </w:rPr>
        <w:t>控制室内主要空气污染物的浓度。（12分）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152"/>
        <w:gridCol w:w="1213"/>
        <w:gridCol w:w="1575"/>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9" w:type="pct"/>
            <w:noWrap w:val="0"/>
            <w:vAlign w:val="center"/>
          </w:tcPr>
          <w:p>
            <w:pPr>
              <w:jc w:val="center"/>
              <w:rPr>
                <w:rFonts w:ascii="Times New Roman" w:hAnsi="Times New Roman"/>
                <w:szCs w:val="21"/>
              </w:rPr>
            </w:pPr>
            <w:r>
              <w:rPr>
                <w:rFonts w:ascii="Times New Roman" w:hAnsi="Times New Roman"/>
                <w:szCs w:val="21"/>
              </w:rPr>
              <w:t>序号</w:t>
            </w:r>
          </w:p>
        </w:tc>
        <w:tc>
          <w:tcPr>
            <w:tcW w:w="2627" w:type="pct"/>
            <w:gridSpan w:val="2"/>
            <w:noWrap w:val="0"/>
            <w:vAlign w:val="center"/>
          </w:tcPr>
          <w:p>
            <w:pPr>
              <w:jc w:val="center"/>
              <w:rPr>
                <w:rFonts w:ascii="Times New Roman" w:hAnsi="Times New Roman"/>
                <w:szCs w:val="21"/>
              </w:rPr>
            </w:pPr>
            <w:r>
              <w:rPr>
                <w:rFonts w:ascii="Times New Roman" w:hAnsi="Times New Roman"/>
                <w:szCs w:val="21"/>
              </w:rPr>
              <w:t>评价内容</w:t>
            </w:r>
          </w:p>
        </w:tc>
        <w:tc>
          <w:tcPr>
            <w:tcW w:w="948" w:type="pct"/>
            <w:noWrap w:val="0"/>
            <w:vAlign w:val="center"/>
          </w:tcPr>
          <w:p>
            <w:pPr>
              <w:jc w:val="center"/>
              <w:rPr>
                <w:rFonts w:ascii="Times New Roman" w:hAnsi="Times New Roman"/>
                <w:szCs w:val="21"/>
              </w:rPr>
            </w:pPr>
            <w:r>
              <w:rPr>
                <w:rFonts w:ascii="Times New Roman" w:hAnsi="Times New Roman"/>
                <w:szCs w:val="21"/>
              </w:rPr>
              <w:t>评价分值</w:t>
            </w:r>
          </w:p>
        </w:tc>
        <w:tc>
          <w:tcPr>
            <w:tcW w:w="986"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5" w:hRule="atLeast"/>
          <w:jc w:val="center"/>
        </w:trPr>
        <w:tc>
          <w:tcPr>
            <w:tcW w:w="439" w:type="pct"/>
            <w:vMerge w:val="restart"/>
            <w:noWrap w:val="0"/>
            <w:vAlign w:val="center"/>
          </w:tcPr>
          <w:p>
            <w:pPr>
              <w:jc w:val="center"/>
              <w:rPr>
                <w:rFonts w:ascii="Times New Roman" w:hAnsi="Times New Roman"/>
                <w:szCs w:val="21"/>
              </w:rPr>
            </w:pPr>
            <w:r>
              <w:rPr>
                <w:rFonts w:ascii="Times New Roman" w:hAnsi="Times New Roman"/>
                <w:szCs w:val="21"/>
              </w:rPr>
              <w:t>1</w:t>
            </w:r>
          </w:p>
        </w:tc>
        <w:tc>
          <w:tcPr>
            <w:tcW w:w="1897" w:type="pct"/>
            <w:vMerge w:val="restart"/>
            <w:noWrap w:val="0"/>
            <w:vAlign w:val="center"/>
          </w:tcPr>
          <w:p>
            <w:pPr>
              <w:rPr>
                <w:rFonts w:ascii="Times New Roman" w:hAnsi="Times New Roman"/>
                <w:szCs w:val="21"/>
              </w:rPr>
            </w:pPr>
            <w:r>
              <w:rPr>
                <w:rFonts w:hint="eastAsia" w:ascii="Times New Roman" w:hAnsi="Times New Roman"/>
                <w:szCs w:val="21"/>
              </w:rPr>
              <w:t>氨</w:t>
            </w:r>
            <w:r>
              <w:rPr>
                <w:rFonts w:ascii="Times New Roman" w:hAnsi="Times New Roman"/>
                <w:szCs w:val="21"/>
              </w:rPr>
              <w:t>、甲醛、苯、总挥发性有机物、氡等污染物浓度低于现行国家标准《室内空气质量标准》</w:t>
            </w:r>
            <w:r>
              <w:rPr>
                <w:rFonts w:hint="eastAsia" w:ascii="Times New Roman" w:hAnsi="Times New Roman"/>
                <w:szCs w:val="21"/>
              </w:rPr>
              <w:t>GB/T18883规定限值</w:t>
            </w:r>
          </w:p>
        </w:tc>
        <w:tc>
          <w:tcPr>
            <w:tcW w:w="730" w:type="pct"/>
            <w:noWrap w:val="0"/>
            <w:vAlign w:val="center"/>
          </w:tcPr>
          <w:p>
            <w:pPr>
              <w:rPr>
                <w:rFonts w:ascii="Times New Roman" w:hAnsi="Times New Roman"/>
                <w:szCs w:val="21"/>
              </w:rPr>
            </w:pPr>
            <w:r>
              <w:rPr>
                <w:rFonts w:hint="eastAsia" w:ascii="Times New Roman" w:hAnsi="Times New Roman"/>
                <w:szCs w:val="21"/>
              </w:rPr>
              <w:t>低于10</w:t>
            </w:r>
            <w:r>
              <w:rPr>
                <w:rFonts w:ascii="Times New Roman" w:hAnsi="Times New Roman"/>
                <w:szCs w:val="21"/>
              </w:rPr>
              <w:t>%</w:t>
            </w:r>
          </w:p>
        </w:tc>
        <w:tc>
          <w:tcPr>
            <w:tcW w:w="948" w:type="pct"/>
            <w:noWrap w:val="0"/>
            <w:vAlign w:val="center"/>
          </w:tcPr>
          <w:p>
            <w:pPr>
              <w:jc w:val="center"/>
              <w:rPr>
                <w:rFonts w:ascii="Times New Roman" w:hAnsi="Times New Roman"/>
                <w:szCs w:val="21"/>
              </w:rPr>
            </w:pPr>
            <w:r>
              <w:rPr>
                <w:rFonts w:hint="eastAsia" w:ascii="Times New Roman" w:hAnsi="Times New Roman"/>
                <w:szCs w:val="21"/>
              </w:rPr>
              <w:t>10</w:t>
            </w:r>
          </w:p>
        </w:tc>
        <w:tc>
          <w:tcPr>
            <w:tcW w:w="986" w:type="pct"/>
            <w:vMerge w:val="restar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5" w:hRule="atLeast"/>
          <w:jc w:val="center"/>
        </w:trPr>
        <w:tc>
          <w:tcPr>
            <w:tcW w:w="439" w:type="pct"/>
            <w:vMerge w:val="continue"/>
            <w:noWrap w:val="0"/>
            <w:vAlign w:val="center"/>
          </w:tcPr>
          <w:p>
            <w:pPr>
              <w:jc w:val="center"/>
              <w:rPr>
                <w:rFonts w:ascii="Times New Roman" w:hAnsi="Times New Roman"/>
                <w:szCs w:val="21"/>
              </w:rPr>
            </w:pPr>
          </w:p>
        </w:tc>
        <w:tc>
          <w:tcPr>
            <w:tcW w:w="1897" w:type="pct"/>
            <w:vMerge w:val="continue"/>
            <w:noWrap w:val="0"/>
            <w:vAlign w:val="center"/>
          </w:tcPr>
          <w:p>
            <w:pPr>
              <w:rPr>
                <w:rFonts w:ascii="Times New Roman" w:hAnsi="Times New Roman"/>
                <w:szCs w:val="21"/>
              </w:rPr>
            </w:pPr>
          </w:p>
        </w:tc>
        <w:tc>
          <w:tcPr>
            <w:tcW w:w="730" w:type="pct"/>
            <w:noWrap w:val="0"/>
            <w:vAlign w:val="center"/>
          </w:tcPr>
          <w:p>
            <w:pPr>
              <w:rPr>
                <w:rFonts w:ascii="Times New Roman" w:hAnsi="Times New Roman"/>
                <w:szCs w:val="21"/>
              </w:rPr>
            </w:pPr>
            <w:r>
              <w:rPr>
                <w:rFonts w:hint="eastAsia" w:ascii="Times New Roman" w:hAnsi="Times New Roman"/>
                <w:szCs w:val="21"/>
              </w:rPr>
              <w:t>低于20</w:t>
            </w:r>
            <w:r>
              <w:rPr>
                <w:rFonts w:ascii="Times New Roman" w:hAnsi="Times New Roman"/>
                <w:szCs w:val="21"/>
              </w:rPr>
              <w:t>%</w:t>
            </w:r>
          </w:p>
        </w:tc>
        <w:tc>
          <w:tcPr>
            <w:tcW w:w="948" w:type="pct"/>
            <w:noWrap w:val="0"/>
            <w:vAlign w:val="center"/>
          </w:tcPr>
          <w:p>
            <w:pPr>
              <w:jc w:val="center"/>
              <w:rPr>
                <w:rFonts w:ascii="Times New Roman" w:hAnsi="Times New Roman"/>
                <w:szCs w:val="21"/>
              </w:rPr>
            </w:pPr>
            <w:r>
              <w:rPr>
                <w:rFonts w:hint="eastAsia" w:ascii="Times New Roman" w:hAnsi="Times New Roman"/>
                <w:szCs w:val="21"/>
              </w:rPr>
              <w:t>10</w:t>
            </w:r>
          </w:p>
        </w:tc>
        <w:tc>
          <w:tcPr>
            <w:tcW w:w="986"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9" w:type="pct"/>
            <w:noWrap w:val="0"/>
            <w:vAlign w:val="center"/>
          </w:tcPr>
          <w:p>
            <w:pPr>
              <w:jc w:val="center"/>
              <w:rPr>
                <w:rFonts w:ascii="Times New Roman" w:hAnsi="Times New Roman"/>
                <w:szCs w:val="21"/>
              </w:rPr>
            </w:pPr>
            <w:r>
              <w:rPr>
                <w:rFonts w:ascii="Times New Roman" w:hAnsi="Times New Roman"/>
                <w:szCs w:val="21"/>
              </w:rPr>
              <w:t>2</w:t>
            </w:r>
          </w:p>
        </w:tc>
        <w:tc>
          <w:tcPr>
            <w:tcW w:w="2627" w:type="pct"/>
            <w:gridSpan w:val="2"/>
            <w:noWrap w:val="0"/>
            <w:vAlign w:val="center"/>
          </w:tcPr>
          <w:p>
            <w:pPr>
              <w:rPr>
                <w:rFonts w:ascii="Times New Roman" w:hAnsi="Times New Roman"/>
                <w:szCs w:val="21"/>
              </w:rPr>
            </w:pPr>
            <w:r>
              <w:rPr>
                <w:rFonts w:hint="eastAsia" w:ascii="Times New Roman" w:hAnsi="Times New Roman"/>
                <w:szCs w:val="21"/>
              </w:rPr>
              <w:t>室内PM2.5年均</w:t>
            </w:r>
            <w:r>
              <w:rPr>
                <w:rFonts w:ascii="Times New Roman" w:hAnsi="Times New Roman"/>
                <w:szCs w:val="21"/>
              </w:rPr>
              <w:t>浓度不高于</w:t>
            </w:r>
            <w:r>
              <w:rPr>
                <w:rFonts w:hint="eastAsia" w:ascii="Times New Roman" w:hAnsi="Times New Roman"/>
                <w:szCs w:val="21"/>
              </w:rPr>
              <w:t>25</w:t>
            </w:r>
            <w:r>
              <w:rPr>
                <w:rFonts w:ascii="Times New Roman" w:hAnsi="Times New Roman"/>
                <w:szCs w:val="21"/>
              </w:rPr>
              <w:t>ug/m</w:t>
            </w:r>
            <w:r>
              <w:rPr>
                <w:rFonts w:ascii="Times New Roman" w:hAnsi="Times New Roman"/>
                <w:szCs w:val="21"/>
                <w:vertAlign w:val="superscript"/>
              </w:rPr>
              <w:t>3</w:t>
            </w:r>
            <w:r>
              <w:rPr>
                <w:rFonts w:hint="eastAsia" w:ascii="Times New Roman" w:hAnsi="Times New Roman"/>
                <w:szCs w:val="21"/>
              </w:rPr>
              <w:t>，</w:t>
            </w:r>
            <w:r>
              <w:rPr>
                <w:rFonts w:ascii="Times New Roman" w:hAnsi="Times New Roman"/>
                <w:szCs w:val="21"/>
              </w:rPr>
              <w:t>且室内</w:t>
            </w:r>
            <w:r>
              <w:rPr>
                <w:rFonts w:hint="eastAsia" w:ascii="Times New Roman" w:hAnsi="Times New Roman"/>
                <w:szCs w:val="21"/>
              </w:rPr>
              <w:t>PM10年均</w:t>
            </w:r>
            <w:r>
              <w:rPr>
                <w:rFonts w:ascii="Times New Roman" w:hAnsi="Times New Roman"/>
                <w:szCs w:val="21"/>
              </w:rPr>
              <w:t>浓度不高于</w:t>
            </w:r>
            <w:r>
              <w:rPr>
                <w:rFonts w:hint="eastAsia" w:ascii="Times New Roman" w:hAnsi="Times New Roman"/>
                <w:szCs w:val="21"/>
              </w:rPr>
              <w:t>50</w:t>
            </w:r>
            <w:r>
              <w:rPr>
                <w:rFonts w:ascii="Times New Roman" w:hAnsi="Times New Roman"/>
                <w:szCs w:val="21"/>
              </w:rPr>
              <w:t>ug/m</w:t>
            </w:r>
            <w:r>
              <w:rPr>
                <w:rFonts w:ascii="Times New Roman" w:hAnsi="Times New Roman"/>
                <w:szCs w:val="21"/>
                <w:vertAlign w:val="superscript"/>
              </w:rPr>
              <w:t>3</w:t>
            </w:r>
          </w:p>
        </w:tc>
        <w:tc>
          <w:tcPr>
            <w:tcW w:w="948" w:type="pct"/>
            <w:noWrap w:val="0"/>
            <w:vAlign w:val="center"/>
          </w:tcPr>
          <w:p>
            <w:pPr>
              <w:jc w:val="center"/>
              <w:rPr>
                <w:rFonts w:ascii="Times New Roman" w:hAnsi="Times New Roman"/>
                <w:szCs w:val="21"/>
              </w:rPr>
            </w:pPr>
            <w:r>
              <w:rPr>
                <w:rFonts w:ascii="Times New Roman" w:hAnsi="Times New Roman"/>
                <w:szCs w:val="21"/>
              </w:rPr>
              <w:t>6</w:t>
            </w:r>
          </w:p>
        </w:tc>
        <w:tc>
          <w:tcPr>
            <w:tcW w:w="986"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066" w:type="pct"/>
            <w:gridSpan w:val="3"/>
            <w:noWrap w:val="0"/>
            <w:vAlign w:val="center"/>
          </w:tcPr>
          <w:p>
            <w:pPr>
              <w:jc w:val="center"/>
              <w:rPr>
                <w:rFonts w:ascii="Times New Roman" w:hAnsi="Times New Roman"/>
                <w:szCs w:val="21"/>
              </w:rPr>
            </w:pPr>
            <w:r>
              <w:rPr>
                <w:rFonts w:ascii="Times New Roman" w:hAnsi="Times New Roman"/>
                <w:szCs w:val="21"/>
              </w:rPr>
              <w:t>合计</w:t>
            </w:r>
          </w:p>
        </w:tc>
        <w:tc>
          <w:tcPr>
            <w:tcW w:w="948" w:type="pct"/>
            <w:noWrap w:val="0"/>
            <w:vAlign w:val="center"/>
          </w:tcPr>
          <w:p>
            <w:pPr>
              <w:jc w:val="center"/>
              <w:rPr>
                <w:rFonts w:ascii="Times New Roman" w:hAnsi="Times New Roman"/>
                <w:szCs w:val="21"/>
              </w:rPr>
            </w:pPr>
            <w:r>
              <w:rPr>
                <w:rFonts w:hint="eastAsia" w:ascii="Times New Roman" w:hAnsi="Times New Roman"/>
                <w:szCs w:val="21"/>
              </w:rPr>
              <w:t>12</w:t>
            </w:r>
          </w:p>
        </w:tc>
        <w:tc>
          <w:tcPr>
            <w:tcW w:w="986"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本项目为</w:t>
      </w:r>
      <w:r>
        <w:rPr>
          <w:rFonts w:hint="eastAsia"/>
          <w:u w:val="single"/>
        </w:rPr>
        <w:t xml:space="preserve"> </w:t>
      </w:r>
      <w:r>
        <w:rPr>
          <w:u w:val="single"/>
        </w:rPr>
        <w:t xml:space="preserve">      </w:t>
      </w:r>
      <w:r>
        <w:rPr>
          <w:rFonts w:hint="eastAsia"/>
        </w:rPr>
        <w:t>类民用建筑工程</w:t>
      </w:r>
    </w:p>
    <w:p>
      <w:r>
        <w:rPr>
          <w:rFonts w:hint="eastAsia"/>
        </w:rPr>
        <w:t>检测情况：</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245"/>
        <w:gridCol w:w="576"/>
        <w:gridCol w:w="754"/>
        <w:gridCol w:w="579"/>
        <w:gridCol w:w="752"/>
        <w:gridCol w:w="581"/>
        <w:gridCol w:w="754"/>
        <w:gridCol w:w="581"/>
        <w:gridCol w:w="754"/>
        <w:gridCol w:w="581"/>
        <w:gridCol w:w="754"/>
        <w:gridCol w:w="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trHeight w:val="664" w:hRule="atLeast"/>
          <w:jc w:val="center"/>
        </w:trPr>
        <w:tc>
          <w:tcPr>
            <w:tcW w:w="748" w:type="pct"/>
            <w:vMerge w:val="restart"/>
            <w:tcBorders>
              <w:tl2br w:val="single" w:color="auto" w:sz="4" w:space="0"/>
            </w:tcBorders>
            <w:noWrap w:val="0"/>
            <w:vAlign w:val="center"/>
          </w:tcPr>
          <w:p>
            <w:pPr>
              <w:widowControl/>
              <w:adjustRightInd w:val="0"/>
              <w:snapToGrid w:val="0"/>
              <w:jc w:val="center"/>
              <w:rPr>
                <w:rFonts w:ascii="宋体" w:hAnsi="宋体"/>
                <w:szCs w:val="21"/>
              </w:rPr>
            </w:pPr>
            <w:r>
              <w:rPr>
                <w:rFonts w:hint="eastAsia" w:ascii="宋体" w:hAnsi="宋体"/>
                <w:szCs w:val="21"/>
              </w:rPr>
              <w:t xml:space="preserve">          </w:t>
            </w:r>
          </w:p>
          <w:p>
            <w:pPr>
              <w:widowControl/>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项目</w:t>
            </w:r>
          </w:p>
          <w:p>
            <w:pPr>
              <w:widowControl/>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采样地点</w:t>
            </w:r>
          </w:p>
          <w:p>
            <w:pPr>
              <w:adjustRightInd w:val="0"/>
              <w:snapToGrid w:val="0"/>
              <w:rPr>
                <w:rFonts w:ascii="宋体" w:hAnsi="宋体"/>
                <w:szCs w:val="21"/>
                <w:lang/>
              </w:rPr>
            </w:pPr>
          </w:p>
        </w:tc>
        <w:tc>
          <w:tcPr>
            <w:tcW w:w="799" w:type="pct"/>
            <w:gridSpan w:val="2"/>
            <w:noWrap w:val="0"/>
            <w:vAlign w:val="center"/>
          </w:tcPr>
          <w:p>
            <w:pPr>
              <w:widowControl/>
              <w:adjustRightInd w:val="0"/>
              <w:snapToGrid w:val="0"/>
              <w:jc w:val="center"/>
              <w:rPr>
                <w:rFonts w:ascii="宋体" w:hAnsi="宋体"/>
                <w:szCs w:val="21"/>
              </w:rPr>
            </w:pPr>
            <w:r>
              <w:rPr>
                <w:rFonts w:ascii="宋体" w:hAnsi="宋体"/>
                <w:szCs w:val="21"/>
              </w:rPr>
              <w:t>甲醛</w:t>
            </w:r>
          </w:p>
          <w:p>
            <w:pPr>
              <w:widowControl/>
              <w:adjustRightInd w:val="0"/>
              <w:snapToGrid w:val="0"/>
              <w:jc w:val="center"/>
              <w:rPr>
                <w:rFonts w:ascii="宋体" w:hAnsi="宋体"/>
                <w:szCs w:val="21"/>
              </w:rPr>
            </w:pPr>
            <w:r>
              <w:rPr>
                <w:rFonts w:ascii="宋体" w:hAnsi="宋体"/>
                <w:szCs w:val="21"/>
              </w:rPr>
              <w:t>mg/m</w:t>
            </w:r>
            <w:r>
              <w:rPr>
                <w:rFonts w:ascii="宋体" w:hAnsi="宋体"/>
                <w:szCs w:val="21"/>
                <w:vertAlign w:val="superscript"/>
              </w:rPr>
              <w:t>3</w:t>
            </w:r>
          </w:p>
        </w:tc>
        <w:tc>
          <w:tcPr>
            <w:tcW w:w="800" w:type="pct"/>
            <w:gridSpan w:val="2"/>
            <w:noWrap w:val="0"/>
            <w:vAlign w:val="center"/>
          </w:tcPr>
          <w:p>
            <w:pPr>
              <w:widowControl/>
              <w:adjustRightInd w:val="0"/>
              <w:snapToGrid w:val="0"/>
              <w:jc w:val="center"/>
              <w:rPr>
                <w:rFonts w:ascii="宋体" w:hAnsi="宋体"/>
                <w:szCs w:val="21"/>
              </w:rPr>
            </w:pPr>
            <w:r>
              <w:rPr>
                <w:rFonts w:ascii="宋体" w:hAnsi="宋体"/>
                <w:szCs w:val="21"/>
              </w:rPr>
              <w:t>氨</w:t>
            </w:r>
          </w:p>
          <w:p>
            <w:pPr>
              <w:widowControl/>
              <w:adjustRightInd w:val="0"/>
              <w:snapToGrid w:val="0"/>
              <w:jc w:val="center"/>
              <w:rPr>
                <w:rFonts w:ascii="宋体" w:hAnsi="宋体"/>
                <w:szCs w:val="21"/>
              </w:rPr>
            </w:pPr>
            <w:r>
              <w:rPr>
                <w:rFonts w:ascii="宋体" w:hAnsi="宋体"/>
                <w:szCs w:val="21"/>
              </w:rPr>
              <w:t>mg/m</w:t>
            </w:r>
            <w:r>
              <w:rPr>
                <w:rFonts w:ascii="宋体" w:hAnsi="宋体"/>
                <w:szCs w:val="21"/>
                <w:vertAlign w:val="superscript"/>
              </w:rPr>
              <w:t>3</w:t>
            </w:r>
          </w:p>
        </w:tc>
        <w:tc>
          <w:tcPr>
            <w:tcW w:w="802" w:type="pct"/>
            <w:gridSpan w:val="2"/>
            <w:noWrap w:val="0"/>
            <w:vAlign w:val="center"/>
          </w:tcPr>
          <w:p>
            <w:pPr>
              <w:widowControl/>
              <w:adjustRightInd w:val="0"/>
              <w:snapToGrid w:val="0"/>
              <w:jc w:val="center"/>
              <w:rPr>
                <w:rFonts w:ascii="宋体" w:hAnsi="宋体"/>
                <w:szCs w:val="21"/>
              </w:rPr>
            </w:pPr>
            <w:r>
              <w:rPr>
                <w:rFonts w:ascii="宋体" w:hAnsi="宋体"/>
                <w:szCs w:val="21"/>
              </w:rPr>
              <w:t>苯</w:t>
            </w:r>
          </w:p>
          <w:p>
            <w:pPr>
              <w:widowControl/>
              <w:adjustRightInd w:val="0"/>
              <w:snapToGrid w:val="0"/>
              <w:jc w:val="center"/>
              <w:rPr>
                <w:rFonts w:ascii="宋体" w:hAnsi="宋体"/>
                <w:szCs w:val="21"/>
              </w:rPr>
            </w:pPr>
            <w:r>
              <w:rPr>
                <w:rFonts w:ascii="宋体" w:hAnsi="宋体"/>
                <w:szCs w:val="21"/>
              </w:rPr>
              <w:t>mg/m</w:t>
            </w:r>
            <w:r>
              <w:rPr>
                <w:rFonts w:ascii="宋体" w:hAnsi="宋体"/>
                <w:szCs w:val="21"/>
                <w:vertAlign w:val="superscript"/>
              </w:rPr>
              <w:t>3</w:t>
            </w:r>
          </w:p>
        </w:tc>
        <w:tc>
          <w:tcPr>
            <w:tcW w:w="802" w:type="pct"/>
            <w:gridSpan w:val="2"/>
            <w:noWrap w:val="0"/>
            <w:vAlign w:val="center"/>
          </w:tcPr>
          <w:p>
            <w:pPr>
              <w:widowControl/>
              <w:adjustRightInd w:val="0"/>
              <w:snapToGrid w:val="0"/>
              <w:jc w:val="center"/>
              <w:rPr>
                <w:rFonts w:ascii="宋体" w:hAnsi="宋体"/>
                <w:szCs w:val="21"/>
              </w:rPr>
            </w:pPr>
            <w:r>
              <w:rPr>
                <w:rFonts w:hint="eastAsia" w:ascii="宋体" w:hAnsi="宋体"/>
                <w:szCs w:val="21"/>
              </w:rPr>
              <w:t>TVOC</w:t>
            </w:r>
          </w:p>
          <w:p>
            <w:pPr>
              <w:widowControl/>
              <w:adjustRightInd w:val="0"/>
              <w:snapToGrid w:val="0"/>
              <w:jc w:val="center"/>
              <w:rPr>
                <w:rFonts w:ascii="宋体" w:hAnsi="宋体"/>
                <w:szCs w:val="21"/>
              </w:rPr>
            </w:pPr>
            <w:r>
              <w:rPr>
                <w:rFonts w:ascii="宋体" w:hAnsi="宋体"/>
                <w:szCs w:val="21"/>
              </w:rPr>
              <w:t>mg/m</w:t>
            </w:r>
            <w:r>
              <w:rPr>
                <w:rFonts w:ascii="宋体" w:hAnsi="宋体"/>
                <w:szCs w:val="21"/>
                <w:vertAlign w:val="superscript"/>
              </w:rPr>
              <w:t>3</w:t>
            </w:r>
          </w:p>
        </w:tc>
        <w:tc>
          <w:tcPr>
            <w:tcW w:w="802" w:type="pct"/>
            <w:gridSpan w:val="2"/>
            <w:noWrap w:val="0"/>
            <w:vAlign w:val="center"/>
          </w:tcPr>
          <w:p>
            <w:pPr>
              <w:widowControl/>
              <w:adjustRightInd w:val="0"/>
              <w:snapToGrid w:val="0"/>
              <w:jc w:val="center"/>
              <w:rPr>
                <w:rFonts w:ascii="宋体" w:hAnsi="宋体"/>
                <w:szCs w:val="21"/>
              </w:rPr>
            </w:pPr>
            <w:r>
              <w:rPr>
                <w:rFonts w:hint="eastAsia" w:ascii="宋体" w:hAnsi="宋体"/>
                <w:szCs w:val="21"/>
              </w:rPr>
              <w:t>氡</w:t>
            </w:r>
          </w:p>
          <w:p>
            <w:pPr>
              <w:widowControl/>
              <w:adjustRightInd w:val="0"/>
              <w:snapToGrid w:val="0"/>
              <w:jc w:val="center"/>
              <w:rPr>
                <w:rFonts w:ascii="宋体" w:hAnsi="宋体"/>
                <w:szCs w:val="21"/>
              </w:rPr>
            </w:pPr>
            <w:r>
              <w:rPr>
                <w:rFonts w:hint="eastAsia" w:ascii="宋体" w:hAnsi="宋体"/>
                <w:szCs w:val="21"/>
              </w:rPr>
              <w:t>Bq/m</w:t>
            </w:r>
            <w:r>
              <w:rPr>
                <w:rFonts w:hint="eastAsia" w:ascii="宋体" w:hAnsi="宋体"/>
                <w:szCs w:val="21"/>
                <w:vertAlign w:val="superscript"/>
              </w:rPr>
              <w:t>3</w:t>
            </w:r>
          </w:p>
        </w:tc>
        <w:tc>
          <w:tcPr>
            <w:tcW w:w="248" w:type="pct"/>
            <w:vMerge w:val="restart"/>
            <w:noWrap w:val="0"/>
            <w:vAlign w:val="center"/>
          </w:tcPr>
          <w:p>
            <w:pPr>
              <w:widowControl/>
              <w:adjustRightInd w:val="0"/>
              <w:snapToGrid w:val="0"/>
              <w:jc w:val="center"/>
              <w:rPr>
                <w:rFonts w:ascii="宋体" w:hAnsi="宋体"/>
                <w:szCs w:val="21"/>
              </w:rPr>
            </w:pPr>
            <w:r>
              <w:rPr>
                <w:rFonts w:hint="eastAsia" w:ascii="宋体" w:hAnsi="宋体"/>
                <w:szCs w:val="21"/>
              </w:rPr>
              <w:t>是否符合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trHeight w:val="664" w:hRule="atLeast"/>
          <w:jc w:val="center"/>
        </w:trPr>
        <w:tc>
          <w:tcPr>
            <w:tcW w:w="748" w:type="pct"/>
            <w:vMerge w:val="continue"/>
            <w:tcBorders>
              <w:tl2br w:val="single" w:color="auto" w:sz="4" w:space="0"/>
            </w:tcBorders>
            <w:noWrap w:val="0"/>
            <w:vAlign w:val="center"/>
          </w:tcPr>
          <w:p>
            <w:pPr>
              <w:widowControl/>
              <w:adjustRightInd w:val="0"/>
              <w:snapToGrid w:val="0"/>
              <w:jc w:val="center"/>
              <w:rPr>
                <w:rFonts w:ascii="宋体" w:hAnsi="宋体"/>
                <w:szCs w:val="21"/>
              </w:rPr>
            </w:pPr>
          </w:p>
        </w:tc>
        <w:tc>
          <w:tcPr>
            <w:tcW w:w="346" w:type="pct"/>
            <w:noWrap w:val="0"/>
            <w:vAlign w:val="center"/>
          </w:tcPr>
          <w:p>
            <w:pPr>
              <w:widowControl/>
              <w:adjustRightInd w:val="0"/>
              <w:snapToGrid w:val="0"/>
              <w:jc w:val="center"/>
              <w:rPr>
                <w:rFonts w:ascii="宋体" w:hAnsi="宋体"/>
                <w:szCs w:val="21"/>
              </w:rPr>
            </w:pPr>
            <w:r>
              <w:rPr>
                <w:rFonts w:hint="eastAsia" w:ascii="宋体" w:hAnsi="宋体"/>
                <w:szCs w:val="21"/>
              </w:rPr>
              <w:t>检测值</w:t>
            </w:r>
          </w:p>
        </w:tc>
        <w:tc>
          <w:tcPr>
            <w:tcW w:w="452" w:type="pct"/>
            <w:noWrap w:val="0"/>
            <w:vAlign w:val="center"/>
          </w:tcPr>
          <w:p>
            <w:pPr>
              <w:widowControl/>
              <w:adjustRightInd w:val="0"/>
              <w:snapToGrid w:val="0"/>
              <w:jc w:val="center"/>
              <w:rPr>
                <w:rFonts w:ascii="宋体" w:hAnsi="宋体"/>
                <w:szCs w:val="21"/>
              </w:rPr>
            </w:pPr>
            <w:r>
              <w:rPr>
                <w:rFonts w:hint="eastAsia" w:ascii="宋体" w:hAnsi="宋体"/>
                <w:szCs w:val="21"/>
              </w:rPr>
              <w:t>规定值90%/80%</w:t>
            </w:r>
          </w:p>
        </w:tc>
        <w:tc>
          <w:tcPr>
            <w:tcW w:w="348" w:type="pct"/>
            <w:noWrap w:val="0"/>
            <w:vAlign w:val="center"/>
          </w:tcPr>
          <w:p>
            <w:pPr>
              <w:widowControl/>
              <w:adjustRightInd w:val="0"/>
              <w:snapToGrid w:val="0"/>
              <w:jc w:val="center"/>
              <w:rPr>
                <w:rFonts w:ascii="宋体" w:hAnsi="宋体"/>
                <w:szCs w:val="21"/>
              </w:rPr>
            </w:pPr>
            <w:r>
              <w:rPr>
                <w:rFonts w:hint="eastAsia" w:ascii="宋体" w:hAnsi="宋体"/>
                <w:szCs w:val="21"/>
              </w:rPr>
              <w:t>检测值</w:t>
            </w:r>
          </w:p>
        </w:tc>
        <w:tc>
          <w:tcPr>
            <w:tcW w:w="452" w:type="pct"/>
            <w:noWrap w:val="0"/>
            <w:vAlign w:val="center"/>
          </w:tcPr>
          <w:p>
            <w:pPr>
              <w:widowControl/>
              <w:adjustRightInd w:val="0"/>
              <w:snapToGrid w:val="0"/>
              <w:jc w:val="center"/>
              <w:rPr>
                <w:rFonts w:ascii="宋体" w:hAnsi="宋体"/>
                <w:szCs w:val="21"/>
              </w:rPr>
            </w:pPr>
            <w:r>
              <w:rPr>
                <w:rFonts w:hint="eastAsia" w:ascii="宋体" w:hAnsi="宋体"/>
                <w:szCs w:val="21"/>
              </w:rPr>
              <w:t>规定值90%/80%</w:t>
            </w:r>
          </w:p>
        </w:tc>
        <w:tc>
          <w:tcPr>
            <w:tcW w:w="349" w:type="pct"/>
            <w:noWrap w:val="0"/>
            <w:vAlign w:val="center"/>
          </w:tcPr>
          <w:p>
            <w:pPr>
              <w:widowControl/>
              <w:adjustRightInd w:val="0"/>
              <w:snapToGrid w:val="0"/>
              <w:jc w:val="center"/>
              <w:rPr>
                <w:rFonts w:ascii="宋体" w:hAnsi="宋体"/>
                <w:szCs w:val="21"/>
              </w:rPr>
            </w:pPr>
            <w:r>
              <w:rPr>
                <w:rFonts w:hint="eastAsia" w:ascii="宋体" w:hAnsi="宋体"/>
                <w:szCs w:val="21"/>
              </w:rPr>
              <w:t>检测值</w:t>
            </w:r>
          </w:p>
        </w:tc>
        <w:tc>
          <w:tcPr>
            <w:tcW w:w="452" w:type="pct"/>
            <w:noWrap w:val="0"/>
            <w:vAlign w:val="center"/>
          </w:tcPr>
          <w:p>
            <w:pPr>
              <w:widowControl/>
              <w:adjustRightInd w:val="0"/>
              <w:snapToGrid w:val="0"/>
              <w:jc w:val="center"/>
              <w:rPr>
                <w:rFonts w:ascii="宋体" w:hAnsi="宋体"/>
                <w:szCs w:val="21"/>
              </w:rPr>
            </w:pPr>
            <w:r>
              <w:rPr>
                <w:rFonts w:hint="eastAsia" w:ascii="宋体" w:hAnsi="宋体"/>
                <w:szCs w:val="21"/>
              </w:rPr>
              <w:t>规定值90%/80%</w:t>
            </w:r>
          </w:p>
        </w:tc>
        <w:tc>
          <w:tcPr>
            <w:tcW w:w="349" w:type="pct"/>
            <w:noWrap w:val="0"/>
            <w:vAlign w:val="center"/>
          </w:tcPr>
          <w:p>
            <w:pPr>
              <w:widowControl/>
              <w:adjustRightInd w:val="0"/>
              <w:snapToGrid w:val="0"/>
              <w:jc w:val="center"/>
              <w:rPr>
                <w:rFonts w:ascii="宋体" w:hAnsi="宋体"/>
                <w:szCs w:val="21"/>
              </w:rPr>
            </w:pPr>
            <w:r>
              <w:rPr>
                <w:rFonts w:hint="eastAsia" w:ascii="宋体" w:hAnsi="宋体"/>
                <w:szCs w:val="21"/>
              </w:rPr>
              <w:t>检测值</w:t>
            </w:r>
          </w:p>
        </w:tc>
        <w:tc>
          <w:tcPr>
            <w:tcW w:w="452" w:type="pct"/>
            <w:noWrap w:val="0"/>
            <w:vAlign w:val="center"/>
          </w:tcPr>
          <w:p>
            <w:pPr>
              <w:widowControl/>
              <w:adjustRightInd w:val="0"/>
              <w:snapToGrid w:val="0"/>
              <w:jc w:val="center"/>
              <w:rPr>
                <w:rFonts w:ascii="宋体" w:hAnsi="宋体"/>
                <w:szCs w:val="21"/>
              </w:rPr>
            </w:pPr>
            <w:r>
              <w:rPr>
                <w:rFonts w:hint="eastAsia" w:ascii="宋体" w:hAnsi="宋体"/>
                <w:szCs w:val="21"/>
              </w:rPr>
              <w:t>规定值90%/80%</w:t>
            </w:r>
          </w:p>
        </w:tc>
        <w:tc>
          <w:tcPr>
            <w:tcW w:w="349" w:type="pct"/>
            <w:noWrap w:val="0"/>
            <w:vAlign w:val="center"/>
          </w:tcPr>
          <w:p>
            <w:pPr>
              <w:widowControl/>
              <w:adjustRightInd w:val="0"/>
              <w:snapToGrid w:val="0"/>
              <w:jc w:val="center"/>
              <w:rPr>
                <w:rFonts w:ascii="宋体" w:hAnsi="宋体"/>
                <w:szCs w:val="21"/>
              </w:rPr>
            </w:pPr>
            <w:r>
              <w:rPr>
                <w:rFonts w:hint="eastAsia" w:ascii="宋体" w:hAnsi="宋体"/>
                <w:szCs w:val="21"/>
              </w:rPr>
              <w:t>检测值</w:t>
            </w:r>
          </w:p>
        </w:tc>
        <w:tc>
          <w:tcPr>
            <w:tcW w:w="452" w:type="pct"/>
            <w:noWrap w:val="0"/>
            <w:vAlign w:val="center"/>
          </w:tcPr>
          <w:p>
            <w:pPr>
              <w:widowControl/>
              <w:adjustRightInd w:val="0"/>
              <w:snapToGrid w:val="0"/>
              <w:jc w:val="center"/>
              <w:rPr>
                <w:rFonts w:ascii="宋体" w:hAnsi="宋体"/>
                <w:szCs w:val="21"/>
              </w:rPr>
            </w:pPr>
            <w:r>
              <w:rPr>
                <w:rFonts w:hint="eastAsia" w:ascii="宋体" w:hAnsi="宋体"/>
                <w:szCs w:val="21"/>
              </w:rPr>
              <w:t>规定值90%/80%</w:t>
            </w:r>
          </w:p>
        </w:tc>
        <w:tc>
          <w:tcPr>
            <w:tcW w:w="248" w:type="pct"/>
            <w:vMerge w:val="continue"/>
            <w:noWrap w:val="0"/>
            <w:vAlign w:val="center"/>
          </w:tcPr>
          <w:p>
            <w:pPr>
              <w:widowControl/>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trHeight w:val="566" w:hRule="atLeast"/>
          <w:jc w:val="center"/>
        </w:trPr>
        <w:tc>
          <w:tcPr>
            <w:tcW w:w="7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6"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248"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lang w:val="zh-CN"/>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trHeight w:val="555" w:hRule="atLeast"/>
          <w:jc w:val="center"/>
        </w:trPr>
        <w:tc>
          <w:tcPr>
            <w:tcW w:w="7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6"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248"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lang w:val="zh-CN"/>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trHeight w:val="518" w:hRule="atLeast"/>
          <w:jc w:val="center"/>
        </w:trPr>
        <w:tc>
          <w:tcPr>
            <w:tcW w:w="7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6"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248"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lang w:val="zh-CN"/>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trHeight w:val="494" w:hRule="atLeast"/>
          <w:jc w:val="center"/>
        </w:trPr>
        <w:tc>
          <w:tcPr>
            <w:tcW w:w="7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6"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248"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lang w:val="zh-CN"/>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trHeight w:val="469" w:hRule="atLeast"/>
          <w:jc w:val="center"/>
        </w:trPr>
        <w:tc>
          <w:tcPr>
            <w:tcW w:w="7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6"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248"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lang w:val="zh-CN"/>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trHeight w:val="587" w:hRule="atLeast"/>
          <w:jc w:val="center"/>
        </w:trPr>
        <w:tc>
          <w:tcPr>
            <w:tcW w:w="748"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346"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8"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349"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452"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szCs w:val="21"/>
              </w:rPr>
              <w:t xml:space="preserve">    </w:t>
            </w:r>
          </w:p>
        </w:tc>
        <w:tc>
          <w:tcPr>
            <w:tcW w:w="248" w:type="pct"/>
            <w:noWrap w:val="0"/>
            <w:vAlign w:val="center"/>
          </w:tcPr>
          <w:p>
            <w:pPr>
              <w:widowControl/>
              <w:adjustRightInd w:val="0"/>
              <w:snapToGrid w:val="0"/>
              <w:spacing w:before="100" w:beforeAutospacing="1" w:after="100" w:afterAutospacing="1"/>
              <w:jc w:val="center"/>
              <w:rPr>
                <w:rFonts w:ascii="宋体" w:hAnsi="宋体"/>
                <w:szCs w:val="21"/>
              </w:rPr>
            </w:pPr>
            <w:r>
              <w:rPr>
                <w:rFonts w:hint="eastAsia" w:ascii="Times New Roman" w:hAnsi="Times New Roman"/>
                <w:lang w:val="zh-CN"/>
              </w:rPr>
              <w:t>是</w:t>
            </w:r>
          </w:p>
        </w:tc>
      </w:tr>
    </w:tbl>
    <w:p>
      <w:pPr>
        <w:pStyle w:val="11"/>
        <w:spacing w:line="288" w:lineRule="auto"/>
        <w:outlineLvl w:val="9"/>
        <w:rPr>
          <w:b/>
          <w:bCs/>
        </w:rPr>
      </w:pP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jc w:val="center"/>
              <w:rPr>
                <w:rFonts w:ascii="Times New Roman" w:hAnsi="Times New Roman"/>
                <w:szCs w:val="21"/>
              </w:rPr>
            </w:pPr>
            <w:r>
              <w:rPr>
                <w:rFonts w:ascii="Times New Roman" w:hAnsi="Times New Roman"/>
                <w:szCs w:val="21"/>
              </w:rPr>
              <w:t>类型</w:t>
            </w:r>
          </w:p>
        </w:tc>
        <w:tc>
          <w:tcPr>
            <w:tcW w:w="2576" w:type="pct"/>
            <w:noWrap w:val="0"/>
            <w:vAlign w:val="top"/>
          </w:tcPr>
          <w:p>
            <w:pPr>
              <w:jc w:val="center"/>
              <w:rPr>
                <w:rFonts w:ascii="Times New Roman" w:hAnsi="Times New Roman"/>
                <w:szCs w:val="21"/>
              </w:rPr>
            </w:pPr>
            <w:r>
              <w:rPr>
                <w:rFonts w:ascii="Times New Roman" w:hAnsi="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室内PM2.5年均浓度</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室内PM10年均浓度</w:t>
            </w:r>
          </w:p>
        </w:tc>
        <w:tc>
          <w:tcPr>
            <w:tcW w:w="2576" w:type="pct"/>
            <w:noWrap w:val="0"/>
            <w:vAlign w:val="top"/>
          </w:tcPr>
          <w:p>
            <w:pPr>
              <w:rPr>
                <w:rFonts w:ascii="Times New Roman" w:hAnsi="Times New Roman"/>
                <w:szCs w:val="21"/>
              </w:rPr>
            </w:pPr>
          </w:p>
        </w:tc>
      </w:tr>
    </w:tbl>
    <w:p>
      <w:pPr>
        <w:rPr>
          <w:rFonts w:ascii="Times New Roman" w:hAnsi="Times New Roman"/>
          <w:szCs w:val="21"/>
        </w:rPr>
      </w:pPr>
    </w:p>
    <w:p>
      <w:pPr>
        <w:widowControl/>
        <w:jc w:val="left"/>
        <w:rPr>
          <w:rFonts w:ascii="Times New Roman" w:hAnsi="Times New Roman"/>
          <w:szCs w:val="21"/>
        </w:rPr>
      </w:pPr>
      <w:r>
        <w:rPr>
          <w:rFonts w:ascii="Times New Roman" w:hAnsi="Times New Roman"/>
          <w:szCs w:val="21"/>
        </w:rPr>
        <w:br w:type="page"/>
      </w:r>
    </w:p>
    <w:p>
      <w:pPr>
        <w:rPr>
          <w:rFonts w:ascii="Times New Roman" w:hAnsi="Times New Roman"/>
          <w:szCs w:val="21"/>
        </w:rPr>
      </w:pPr>
      <w:r>
        <w:rPr>
          <w:rFonts w:hint="eastAsia" w:ascii="Times New Roman" w:hAnsi="Times New Roman"/>
          <w:szCs w:val="21"/>
        </w:rPr>
        <w:t>请对室内空气污染物浓度情况进行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hint="eastAsia" w:ascii="Times New Roman" w:hAnsi="Times New Roman"/>
          <w:szCs w:val="21"/>
        </w:rPr>
        <w:t>1）建筑</w:t>
      </w:r>
      <w:r>
        <w:rPr>
          <w:rFonts w:ascii="Times New Roman" w:hAnsi="Times New Roman"/>
          <w:szCs w:val="21"/>
        </w:rPr>
        <w:t>、装修竣工</w:t>
      </w:r>
      <w:r>
        <w:rPr>
          <w:rFonts w:hint="eastAsia" w:ascii="Times New Roman" w:hAnsi="Times New Roman"/>
          <w:szCs w:val="21"/>
        </w:rPr>
        <w:t>图及说明文件，装修材料使用说明（选择与用量）；</w:t>
      </w:r>
      <w:r>
        <w:rPr>
          <w:rFonts w:ascii="Times New Roman" w:hAnsi="Times New Roman"/>
          <w:szCs w:val="21"/>
        </w:rPr>
        <w:t xml:space="preserve"> </w:t>
      </w:r>
    </w:p>
    <w:p>
      <w:pPr>
        <w:rPr>
          <w:rFonts w:ascii="Times New Roman" w:hAnsi="Times New Roman"/>
          <w:szCs w:val="21"/>
        </w:rPr>
      </w:pPr>
      <w:r>
        <w:rPr>
          <w:rFonts w:hint="eastAsia" w:ascii="Times New Roman" w:hAnsi="Times New Roman"/>
          <w:szCs w:val="21"/>
        </w:rPr>
        <w:t>2）室内空气污染物浓度预评估分析报告或检测报告；</w:t>
      </w:r>
    </w:p>
    <w:p>
      <w:pPr>
        <w:rPr>
          <w:rFonts w:ascii="Times New Roman" w:hAnsi="Times New Roman"/>
          <w:szCs w:val="21"/>
        </w:rPr>
      </w:pPr>
      <w:r>
        <w:rPr>
          <w:rFonts w:hint="eastAsia" w:ascii="Times New Roman" w:hAnsi="Times New Roman"/>
          <w:szCs w:val="21"/>
        </w:rPr>
        <w:t>3）PM2.5、PM10浓度计算报告（原始监测数据）。</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5.2.2</w:t>
      </w:r>
      <w:r>
        <w:rPr>
          <w:rFonts w:hint="eastAsia"/>
          <w:sz w:val="24"/>
          <w:szCs w:val="40"/>
        </w:rPr>
        <w:t xml:space="preserve"> </w:t>
      </w:r>
      <w:r>
        <w:rPr>
          <w:sz w:val="24"/>
          <w:szCs w:val="40"/>
        </w:rPr>
        <w:t>选用的装饰装修材料满足国家现行绿色产品评价标准中对有害物质限量的要求。（8分）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4364"/>
        <w:gridCol w:w="157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7" w:type="pct"/>
            <w:noWrap w:val="0"/>
            <w:vAlign w:val="top"/>
          </w:tcPr>
          <w:p>
            <w:pPr>
              <w:jc w:val="center"/>
              <w:rPr>
                <w:rFonts w:ascii="Times New Roman" w:hAnsi="Times New Roman"/>
                <w:szCs w:val="21"/>
              </w:rPr>
            </w:pPr>
            <w:r>
              <w:rPr>
                <w:rFonts w:ascii="Times New Roman" w:hAnsi="Times New Roman"/>
                <w:szCs w:val="21"/>
              </w:rPr>
              <w:t>序号</w:t>
            </w:r>
          </w:p>
        </w:tc>
        <w:tc>
          <w:tcPr>
            <w:tcW w:w="2726"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3"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7" w:type="pct"/>
            <w:noWrap w:val="0"/>
            <w:vAlign w:val="top"/>
          </w:tcPr>
          <w:p>
            <w:pPr>
              <w:jc w:val="center"/>
              <w:rPr>
                <w:rFonts w:ascii="Times New Roman" w:hAnsi="Times New Roman"/>
                <w:szCs w:val="21"/>
              </w:rPr>
            </w:pPr>
            <w:r>
              <w:rPr>
                <w:rFonts w:ascii="Times New Roman" w:hAnsi="Times New Roman"/>
                <w:szCs w:val="21"/>
              </w:rPr>
              <w:t>1</w:t>
            </w:r>
          </w:p>
        </w:tc>
        <w:tc>
          <w:tcPr>
            <w:tcW w:w="2726" w:type="pct"/>
            <w:noWrap w:val="0"/>
            <w:vAlign w:val="top"/>
          </w:tcPr>
          <w:p>
            <w:pPr>
              <w:rPr>
                <w:rFonts w:ascii="Times New Roman" w:hAnsi="Times New Roman"/>
                <w:szCs w:val="21"/>
              </w:rPr>
            </w:pPr>
            <w:r>
              <w:rPr>
                <w:rFonts w:hint="eastAsia" w:ascii="Times New Roman" w:hAnsi="Times New Roman"/>
                <w:szCs w:val="21"/>
              </w:rPr>
              <w:t>选用满足要求的</w:t>
            </w:r>
            <w:r>
              <w:rPr>
                <w:rFonts w:ascii="Times New Roman" w:hAnsi="Times New Roman"/>
                <w:szCs w:val="21"/>
              </w:rPr>
              <w:t>装饰装修材料达到</w:t>
            </w:r>
            <w:r>
              <w:rPr>
                <w:rFonts w:hint="eastAsia" w:ascii="Times New Roman" w:hAnsi="Times New Roman"/>
                <w:szCs w:val="21"/>
              </w:rPr>
              <w:t>3类</w:t>
            </w:r>
            <w:r>
              <w:rPr>
                <w:rFonts w:ascii="Times New Roman" w:hAnsi="Times New Roman"/>
                <w:szCs w:val="21"/>
              </w:rPr>
              <w:t>及以上</w:t>
            </w:r>
          </w:p>
        </w:tc>
        <w:tc>
          <w:tcPr>
            <w:tcW w:w="984" w:type="pct"/>
            <w:noWrap w:val="0"/>
            <w:vAlign w:val="top"/>
          </w:tcPr>
          <w:p>
            <w:pPr>
              <w:jc w:val="center"/>
              <w:rPr>
                <w:rFonts w:ascii="Times New Roman" w:hAnsi="Times New Roman"/>
                <w:szCs w:val="21"/>
              </w:rPr>
            </w:pPr>
            <w:r>
              <w:rPr>
                <w:rFonts w:ascii="Times New Roman" w:hAnsi="Times New Roman"/>
                <w:szCs w:val="21"/>
              </w:rPr>
              <w:t>5</w:t>
            </w:r>
          </w:p>
        </w:tc>
        <w:tc>
          <w:tcPr>
            <w:tcW w:w="833" w:type="pct"/>
            <w:vMerge w:val="restar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7" w:type="pct"/>
            <w:noWrap w:val="0"/>
            <w:vAlign w:val="top"/>
          </w:tcPr>
          <w:p>
            <w:pPr>
              <w:jc w:val="center"/>
              <w:rPr>
                <w:rFonts w:ascii="Times New Roman" w:hAnsi="Times New Roman"/>
                <w:szCs w:val="21"/>
              </w:rPr>
            </w:pPr>
            <w:r>
              <w:rPr>
                <w:rFonts w:ascii="Times New Roman" w:hAnsi="Times New Roman"/>
                <w:szCs w:val="21"/>
              </w:rPr>
              <w:t>2</w:t>
            </w:r>
          </w:p>
        </w:tc>
        <w:tc>
          <w:tcPr>
            <w:tcW w:w="2726" w:type="pct"/>
            <w:noWrap w:val="0"/>
            <w:vAlign w:val="top"/>
          </w:tcPr>
          <w:p>
            <w:pPr>
              <w:rPr>
                <w:rFonts w:ascii="Times New Roman" w:hAnsi="Times New Roman"/>
                <w:szCs w:val="21"/>
              </w:rPr>
            </w:pPr>
            <w:r>
              <w:rPr>
                <w:rFonts w:hint="eastAsia" w:ascii="Times New Roman" w:hAnsi="Times New Roman"/>
                <w:szCs w:val="21"/>
              </w:rPr>
              <w:t>选用满足要求的装饰装修材料达到</w:t>
            </w:r>
            <w:r>
              <w:rPr>
                <w:rFonts w:ascii="Times New Roman" w:hAnsi="Times New Roman"/>
                <w:szCs w:val="21"/>
              </w:rPr>
              <w:t>5</w:t>
            </w:r>
            <w:r>
              <w:rPr>
                <w:rFonts w:hint="eastAsia" w:ascii="Times New Roman" w:hAnsi="Times New Roman"/>
                <w:szCs w:val="21"/>
              </w:rPr>
              <w:t>类及以上</w:t>
            </w:r>
          </w:p>
        </w:tc>
        <w:tc>
          <w:tcPr>
            <w:tcW w:w="984" w:type="pct"/>
            <w:noWrap w:val="0"/>
            <w:vAlign w:val="top"/>
          </w:tcPr>
          <w:p>
            <w:pPr>
              <w:jc w:val="center"/>
              <w:rPr>
                <w:rFonts w:ascii="Times New Roman" w:hAnsi="Times New Roman"/>
                <w:szCs w:val="21"/>
              </w:rPr>
            </w:pPr>
            <w:r>
              <w:rPr>
                <w:rFonts w:ascii="Times New Roman" w:hAnsi="Times New Roman"/>
                <w:szCs w:val="21"/>
              </w:rPr>
              <w:t>8</w:t>
            </w:r>
          </w:p>
        </w:tc>
        <w:tc>
          <w:tcPr>
            <w:tcW w:w="833" w:type="pct"/>
            <w:vMerge w:val="continue"/>
            <w:noWrap w:val="0"/>
            <w:vAlign w:val="top"/>
          </w:tcPr>
          <w:p>
            <w:pPr>
              <w:rPr>
                <w:rFonts w:ascii="Times New Roman" w:hAnsi="Times New Roman"/>
                <w:szCs w:val="21"/>
              </w:rPr>
            </w:pP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jc w:val="center"/>
              <w:rPr>
                <w:rFonts w:ascii="Times New Roman" w:hAnsi="Times New Roman"/>
                <w:szCs w:val="21"/>
              </w:rPr>
            </w:pPr>
            <w:r>
              <w:rPr>
                <w:rFonts w:hint="eastAsia" w:ascii="Times New Roman" w:hAnsi="Times New Roman"/>
                <w:szCs w:val="21"/>
              </w:rPr>
              <w:t>装饰装修材料</w:t>
            </w:r>
          </w:p>
        </w:tc>
        <w:tc>
          <w:tcPr>
            <w:tcW w:w="2576" w:type="pct"/>
            <w:noWrap w:val="0"/>
            <w:vAlign w:val="top"/>
          </w:tcPr>
          <w:p>
            <w:pPr>
              <w:jc w:val="center"/>
              <w:rPr>
                <w:rFonts w:ascii="Times New Roman" w:hAnsi="Times New Roman"/>
                <w:szCs w:val="21"/>
              </w:rPr>
            </w:pPr>
            <w:r>
              <w:rPr>
                <w:rFonts w:hint="eastAsia" w:ascii="Times New Roman" w:hAnsi="Times New Roman"/>
                <w:szCs w:val="21"/>
              </w:rPr>
              <w:t>有害物限量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p>
        </w:tc>
        <w:tc>
          <w:tcPr>
            <w:tcW w:w="2576" w:type="pct"/>
            <w:noWrap w:val="0"/>
            <w:vAlign w:val="top"/>
          </w:tcPr>
          <w:p>
            <w:pPr>
              <w:rPr>
                <w:rFonts w:ascii="Times New Roman" w:hAnsi="Times New Roman"/>
                <w:szCs w:val="21"/>
              </w:rPr>
            </w:pPr>
          </w:p>
        </w:tc>
      </w:tr>
    </w:tbl>
    <w:p>
      <w:pPr>
        <w:rPr>
          <w:rFonts w:ascii="Times New Roman" w:hAnsi="Times New Roman"/>
          <w:szCs w:val="21"/>
        </w:rPr>
      </w:pPr>
    </w:p>
    <w:p>
      <w:pPr>
        <w:rPr>
          <w:rFonts w:ascii="Times New Roman" w:hAnsi="Times New Roman"/>
          <w:szCs w:val="21"/>
        </w:rPr>
      </w:pPr>
      <w:r>
        <w:rPr>
          <w:rFonts w:hint="eastAsia" w:ascii="Times New Roman" w:hAnsi="Times New Roman"/>
          <w:szCs w:val="21"/>
        </w:rPr>
        <w:t>请对装饰装修材料有害物质达标情况进行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48"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装修竣工图</w:t>
      </w:r>
      <w:r>
        <w:rPr>
          <w:rFonts w:hint="eastAsia" w:ascii="Times New Roman" w:hAnsi="Times New Roman"/>
          <w:szCs w:val="21"/>
        </w:rPr>
        <w:t>及说明文件；</w:t>
      </w:r>
    </w:p>
    <w:p>
      <w:pPr>
        <w:rPr>
          <w:rFonts w:ascii="Times New Roman" w:hAnsi="Times New Roman"/>
          <w:szCs w:val="21"/>
        </w:rPr>
      </w:pPr>
      <w:r>
        <w:rPr>
          <w:rFonts w:ascii="Times New Roman" w:hAnsi="Times New Roman"/>
          <w:szCs w:val="21"/>
        </w:rPr>
        <w:t>2</w:t>
      </w:r>
      <w:r>
        <w:rPr>
          <w:rFonts w:hint="eastAsia" w:ascii="Times New Roman" w:hAnsi="Times New Roman"/>
          <w:szCs w:val="21"/>
        </w:rPr>
        <w:t>）工程</w:t>
      </w:r>
      <w:r>
        <w:rPr>
          <w:rFonts w:ascii="Times New Roman" w:hAnsi="Times New Roman"/>
          <w:szCs w:val="21"/>
        </w:rPr>
        <w:t>决算材料清单</w:t>
      </w:r>
      <w:r>
        <w:rPr>
          <w:rFonts w:hint="eastAsia" w:ascii="Times New Roman" w:hAnsi="Times New Roman"/>
          <w:szCs w:val="21"/>
        </w:rPr>
        <w:t>、</w:t>
      </w:r>
      <w:r>
        <w:rPr>
          <w:rFonts w:ascii="Times New Roman" w:hAnsi="Times New Roman"/>
          <w:szCs w:val="21"/>
        </w:rPr>
        <w:t>产品检验报告</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3）绿色产品认证证书、</w:t>
      </w:r>
      <w:r>
        <w:rPr>
          <w:rFonts w:ascii="Times New Roman" w:hAnsi="Times New Roman"/>
          <w:szCs w:val="21"/>
        </w:rPr>
        <w:t>施工记录</w:t>
      </w:r>
      <w:r>
        <w:rPr>
          <w:rFonts w:hint="eastAsia" w:ascii="Times New Roman" w:hAnsi="Times New Roman"/>
          <w:szCs w:val="21"/>
        </w:rPr>
        <w:t>。</w:t>
      </w: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86"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5.2.3</w:t>
      </w:r>
      <w:r>
        <w:rPr>
          <w:rFonts w:hint="eastAsia"/>
          <w:sz w:val="24"/>
          <w:szCs w:val="40"/>
        </w:rPr>
        <w:t xml:space="preserve"> </w:t>
      </w:r>
      <w:r>
        <w:rPr>
          <w:sz w:val="24"/>
          <w:szCs w:val="40"/>
        </w:rPr>
        <w:t>直饮水、集中生活热水、游泳池水、采暖空调系统用水、景观水体等的水质满足国家现行有关标准的要求。（8分）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4364"/>
        <w:gridCol w:w="157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7" w:type="pct"/>
            <w:noWrap w:val="0"/>
            <w:vAlign w:val="center"/>
          </w:tcPr>
          <w:p>
            <w:pPr>
              <w:jc w:val="center"/>
              <w:rPr>
                <w:rFonts w:ascii="Times New Roman" w:hAnsi="Times New Roman"/>
                <w:szCs w:val="21"/>
              </w:rPr>
            </w:pPr>
            <w:r>
              <w:rPr>
                <w:rFonts w:ascii="Times New Roman" w:hAnsi="Times New Roman"/>
                <w:szCs w:val="21"/>
              </w:rPr>
              <w:t>序号</w:t>
            </w:r>
          </w:p>
        </w:tc>
        <w:tc>
          <w:tcPr>
            <w:tcW w:w="2726" w:type="pct"/>
            <w:noWrap w:val="0"/>
            <w:vAlign w:val="center"/>
          </w:tcPr>
          <w:p>
            <w:pPr>
              <w:jc w:val="center"/>
              <w:rPr>
                <w:rFonts w:ascii="Times New Roman" w:hAnsi="Times New Roman"/>
                <w:szCs w:val="21"/>
              </w:rPr>
            </w:pPr>
            <w:r>
              <w:rPr>
                <w:rFonts w:ascii="Times New Roman" w:hAnsi="Times New Roman"/>
                <w:szCs w:val="21"/>
              </w:rPr>
              <w:t>评价内容</w:t>
            </w:r>
          </w:p>
        </w:tc>
        <w:tc>
          <w:tcPr>
            <w:tcW w:w="984" w:type="pct"/>
            <w:noWrap w:val="0"/>
            <w:vAlign w:val="center"/>
          </w:tcPr>
          <w:p>
            <w:pPr>
              <w:jc w:val="center"/>
              <w:rPr>
                <w:rFonts w:ascii="Times New Roman" w:hAnsi="Times New Roman"/>
                <w:szCs w:val="21"/>
              </w:rPr>
            </w:pPr>
            <w:r>
              <w:rPr>
                <w:rFonts w:ascii="Times New Roman" w:hAnsi="Times New Roman"/>
                <w:szCs w:val="21"/>
              </w:rPr>
              <w:t>评价分值</w:t>
            </w:r>
          </w:p>
        </w:tc>
        <w:tc>
          <w:tcPr>
            <w:tcW w:w="833"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7" w:type="pct"/>
            <w:noWrap w:val="0"/>
            <w:vAlign w:val="center"/>
          </w:tcPr>
          <w:p>
            <w:pPr>
              <w:jc w:val="center"/>
              <w:rPr>
                <w:rFonts w:ascii="Times New Roman" w:hAnsi="Times New Roman"/>
                <w:szCs w:val="21"/>
              </w:rPr>
            </w:pPr>
            <w:r>
              <w:rPr>
                <w:rFonts w:ascii="Times New Roman" w:hAnsi="Times New Roman"/>
                <w:szCs w:val="21"/>
              </w:rPr>
              <w:t>1</w:t>
            </w:r>
          </w:p>
        </w:tc>
        <w:tc>
          <w:tcPr>
            <w:tcW w:w="2726" w:type="pct"/>
            <w:noWrap w:val="0"/>
            <w:vAlign w:val="center"/>
          </w:tcPr>
          <w:p>
            <w:pPr>
              <w:rPr>
                <w:rFonts w:ascii="Times New Roman" w:hAnsi="Times New Roman"/>
                <w:szCs w:val="21"/>
              </w:rPr>
            </w:pPr>
            <w:r>
              <w:rPr>
                <w:rFonts w:hint="eastAsia" w:ascii="Times New Roman" w:hAnsi="Times New Roman"/>
                <w:szCs w:val="21"/>
              </w:rPr>
              <w:t>水质满足国家现行有关标准的要求</w:t>
            </w:r>
          </w:p>
        </w:tc>
        <w:tc>
          <w:tcPr>
            <w:tcW w:w="984" w:type="pct"/>
            <w:noWrap w:val="0"/>
            <w:vAlign w:val="center"/>
          </w:tcPr>
          <w:p>
            <w:pPr>
              <w:jc w:val="center"/>
              <w:rPr>
                <w:rFonts w:ascii="Times New Roman" w:hAnsi="Times New Roman"/>
                <w:szCs w:val="21"/>
              </w:rPr>
            </w:pPr>
            <w:r>
              <w:rPr>
                <w:rFonts w:hint="eastAsia" w:ascii="Times New Roman" w:hAnsi="Times New Roman"/>
                <w:szCs w:val="21"/>
              </w:rPr>
              <w:t>8</w:t>
            </w:r>
          </w:p>
        </w:tc>
        <w:tc>
          <w:tcPr>
            <w:tcW w:w="833"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7" w:type="pct"/>
            <w:noWrap w:val="0"/>
            <w:vAlign w:val="center"/>
          </w:tcPr>
          <w:p>
            <w:pPr>
              <w:jc w:val="center"/>
              <w:rPr>
                <w:rFonts w:ascii="Times New Roman" w:hAnsi="Times New Roman"/>
                <w:szCs w:val="21"/>
              </w:rPr>
            </w:pPr>
            <w:r>
              <w:rPr>
                <w:rFonts w:hint="eastAsia" w:ascii="Times New Roman" w:hAnsi="Times New Roman"/>
                <w:szCs w:val="21"/>
              </w:rPr>
              <w:t>2</w:t>
            </w:r>
          </w:p>
        </w:tc>
        <w:tc>
          <w:tcPr>
            <w:tcW w:w="2726" w:type="pct"/>
            <w:noWrap w:val="0"/>
            <w:vAlign w:val="center"/>
          </w:tcPr>
          <w:p>
            <w:pPr>
              <w:rPr>
                <w:rFonts w:ascii="Times New Roman" w:hAnsi="Times New Roman"/>
                <w:szCs w:val="21"/>
              </w:rPr>
            </w:pPr>
            <w:r>
              <w:rPr>
                <w:rFonts w:hint="eastAsia" w:ascii="Times New Roman" w:hAnsi="Times New Roman"/>
                <w:szCs w:val="21"/>
              </w:rPr>
              <w:t>除</w:t>
            </w:r>
            <w:r>
              <w:rPr>
                <w:rFonts w:ascii="Times New Roman" w:hAnsi="Times New Roman"/>
                <w:szCs w:val="21"/>
              </w:rPr>
              <w:t>生活饮用水供水系统</w:t>
            </w:r>
            <w:r>
              <w:rPr>
                <w:rFonts w:hint="eastAsia" w:ascii="Times New Roman" w:hAnsi="Times New Roman"/>
                <w:szCs w:val="21"/>
              </w:rPr>
              <w:t>，</w:t>
            </w:r>
            <w:r>
              <w:rPr>
                <w:rFonts w:ascii="Times New Roman" w:hAnsi="Times New Roman"/>
                <w:szCs w:val="21"/>
              </w:rPr>
              <w:t>未设置其他供水系统时，直接得分</w:t>
            </w:r>
          </w:p>
        </w:tc>
        <w:tc>
          <w:tcPr>
            <w:tcW w:w="984" w:type="pct"/>
            <w:noWrap w:val="0"/>
            <w:vAlign w:val="center"/>
          </w:tcPr>
          <w:p>
            <w:pPr>
              <w:jc w:val="center"/>
              <w:rPr>
                <w:rFonts w:ascii="Times New Roman" w:hAnsi="Times New Roman"/>
                <w:szCs w:val="21"/>
              </w:rPr>
            </w:pPr>
            <w:r>
              <w:rPr>
                <w:rFonts w:ascii="Times New Roman" w:hAnsi="Times New Roman"/>
                <w:szCs w:val="21"/>
              </w:rPr>
              <w:t>8</w:t>
            </w:r>
          </w:p>
        </w:tc>
        <w:tc>
          <w:tcPr>
            <w:tcW w:w="833"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4" w:type="pct"/>
            <w:noWrap w:val="0"/>
            <w:vAlign w:val="top"/>
          </w:tcPr>
          <w:p>
            <w:pPr>
              <w:jc w:val="center"/>
              <w:rPr>
                <w:rFonts w:ascii="Times New Roman" w:hAnsi="Times New Roman"/>
                <w:b/>
                <w:szCs w:val="21"/>
              </w:rPr>
            </w:pPr>
            <w:r>
              <w:rPr>
                <w:rFonts w:hint="eastAsia" w:ascii="Times New Roman" w:hAnsi="Times New Roman"/>
                <w:b/>
                <w:szCs w:val="21"/>
              </w:rPr>
              <w:t>用水</w:t>
            </w:r>
            <w:r>
              <w:rPr>
                <w:rFonts w:ascii="Times New Roman" w:hAnsi="Times New Roman"/>
                <w:b/>
                <w:szCs w:val="21"/>
              </w:rPr>
              <w:t>类型</w:t>
            </w:r>
          </w:p>
        </w:tc>
        <w:tc>
          <w:tcPr>
            <w:tcW w:w="3106" w:type="pct"/>
            <w:noWrap w:val="0"/>
            <w:vAlign w:val="top"/>
          </w:tcPr>
          <w:p>
            <w:pPr>
              <w:jc w:val="center"/>
              <w:rPr>
                <w:rFonts w:ascii="Times New Roman" w:hAnsi="Times New Roman"/>
                <w:b/>
                <w:szCs w:val="21"/>
              </w:rPr>
            </w:pPr>
            <w:r>
              <w:rPr>
                <w:rFonts w:hint="eastAsia" w:ascii="Times New Roman" w:hAnsi="Times New Roman"/>
                <w:b/>
                <w:szCs w:val="21"/>
              </w:rPr>
              <w:t>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4" w:type="pct"/>
            <w:noWrap w:val="0"/>
            <w:vAlign w:val="center"/>
          </w:tcPr>
          <w:p>
            <w:pPr>
              <w:rPr>
                <w:rFonts w:ascii="Times New Roman" w:hAnsi="Times New Roman"/>
                <w:szCs w:val="21"/>
              </w:rPr>
            </w:pPr>
            <w:r>
              <w:rPr>
                <w:rFonts w:hint="eastAsia" w:ascii="Times New Roman" w:hAnsi="Times New Roman"/>
                <w:szCs w:val="21"/>
              </w:rPr>
              <w:t>直饮水</w:t>
            </w:r>
          </w:p>
        </w:tc>
        <w:tc>
          <w:tcPr>
            <w:tcW w:w="3106" w:type="pct"/>
            <w:noWrap w:val="0"/>
            <w:vAlign w:val="top"/>
          </w:tcPr>
          <w:p>
            <w:pPr>
              <w:rPr>
                <w:rFonts w:ascii="Times New Roman" w:hAnsi="Times New Roman"/>
                <w:szCs w:val="21"/>
              </w:rPr>
            </w:pPr>
            <w:r>
              <w:rPr>
                <w:rFonts w:hint="eastAsia"/>
                <w:sz w:val="28"/>
              </w:rPr>
              <w:sym w:font="Wingdings 2" w:char="F0A3"/>
            </w:r>
            <w:r>
              <w:rPr>
                <w:rFonts w:hint="eastAsia" w:ascii="Times New Roman" w:hAnsi="Times New Roman"/>
                <w:szCs w:val="21"/>
              </w:rPr>
              <w:t>符合</w:t>
            </w:r>
            <w:r>
              <w:rPr>
                <w:rFonts w:ascii="Times New Roman" w:hAnsi="Times New Roman"/>
                <w:szCs w:val="21"/>
              </w:rPr>
              <w:t>《</w:t>
            </w:r>
            <w:r>
              <w:rPr>
                <w:rFonts w:hint="eastAsia" w:ascii="Times New Roman" w:hAnsi="Times New Roman"/>
                <w:szCs w:val="21"/>
              </w:rPr>
              <w:t>饮用净水水质标准</w:t>
            </w:r>
            <w:r>
              <w:rPr>
                <w:rFonts w:ascii="Times New Roman" w:hAnsi="Times New Roman"/>
                <w:szCs w:val="21"/>
              </w:rPr>
              <w:t>》</w:t>
            </w:r>
            <w:r>
              <w:rPr>
                <w:rFonts w:hint="eastAsia" w:ascii="Times New Roman" w:hAnsi="Times New Roman"/>
                <w:szCs w:val="21"/>
              </w:rPr>
              <w:t>CJ</w:t>
            </w:r>
            <w:r>
              <w:rPr>
                <w:rFonts w:ascii="Times New Roman" w:hAnsi="Times New Roman"/>
                <w:szCs w:val="21"/>
              </w:rPr>
              <w:t xml:space="preserve"> 94</w:t>
            </w:r>
          </w:p>
          <w:p>
            <w:pPr>
              <w:rPr>
                <w:rFonts w:ascii="Times New Roman" w:hAnsi="Times New Roman"/>
                <w:szCs w:val="21"/>
              </w:rPr>
            </w:pPr>
            <w:r>
              <w:rPr>
                <w:rFonts w:hint="eastAsia"/>
                <w:sz w:val="28"/>
              </w:rPr>
              <w:sym w:font="Wingdings 2" w:char="F0A3"/>
            </w:r>
            <w:r>
              <w:rPr>
                <w:rFonts w:hint="eastAsia" w:ascii="Times New Roman" w:hAnsi="Times New Roman"/>
                <w:szCs w:val="21"/>
              </w:rPr>
              <w:t>符合</w:t>
            </w:r>
            <w:r>
              <w:rPr>
                <w:rFonts w:ascii="Times New Roman" w:hAnsi="Times New Roman"/>
                <w:szCs w:val="21"/>
              </w:rPr>
              <w:t>《</w:t>
            </w:r>
            <w:r>
              <w:rPr>
                <w:rFonts w:hint="eastAsia" w:ascii="Times New Roman" w:hAnsi="Times New Roman"/>
                <w:szCs w:val="21"/>
              </w:rPr>
              <w:t>全自动连续</w:t>
            </w:r>
            <w:r>
              <w:rPr>
                <w:rFonts w:ascii="Times New Roman" w:hAnsi="Times New Roman"/>
                <w:szCs w:val="21"/>
              </w:rPr>
              <w:t>微</w:t>
            </w:r>
            <w:r>
              <w:rPr>
                <w:rFonts w:hint="eastAsia" w:ascii="Times New Roman" w:hAnsi="Times New Roman"/>
                <w:szCs w:val="21"/>
              </w:rPr>
              <w:t>/超</w:t>
            </w:r>
            <w:r>
              <w:rPr>
                <w:rFonts w:ascii="Times New Roman" w:hAnsi="Times New Roman"/>
                <w:szCs w:val="21"/>
              </w:rPr>
              <w:t>滤净水装置》</w:t>
            </w:r>
            <w:r>
              <w:rPr>
                <w:rFonts w:hint="eastAsia" w:ascii="Times New Roman" w:hAnsi="Times New Roman"/>
                <w:szCs w:val="21"/>
              </w:rPr>
              <w:t>HG/T</w:t>
            </w:r>
            <w:r>
              <w:rPr>
                <w:rFonts w:ascii="Times New Roman" w:hAnsi="Times New Roman"/>
                <w:szCs w:val="21"/>
              </w:rPr>
              <w:t xml:space="preserve">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4" w:type="pct"/>
            <w:noWrap w:val="0"/>
            <w:vAlign w:val="center"/>
          </w:tcPr>
          <w:p>
            <w:pPr>
              <w:rPr>
                <w:rFonts w:ascii="Times New Roman" w:hAnsi="Times New Roman"/>
                <w:szCs w:val="21"/>
              </w:rPr>
            </w:pPr>
            <w:r>
              <w:rPr>
                <w:rFonts w:hint="eastAsia" w:ascii="Times New Roman" w:hAnsi="Times New Roman"/>
                <w:szCs w:val="21"/>
              </w:rPr>
              <w:t>集中生活热水</w:t>
            </w:r>
          </w:p>
        </w:tc>
        <w:tc>
          <w:tcPr>
            <w:tcW w:w="3106" w:type="pct"/>
            <w:noWrap w:val="0"/>
            <w:vAlign w:val="top"/>
          </w:tcPr>
          <w:p>
            <w:pPr>
              <w:rPr>
                <w:rFonts w:ascii="Times New Roman" w:hAnsi="Times New Roman"/>
                <w:szCs w:val="21"/>
              </w:rPr>
            </w:pPr>
            <w:r>
              <w:rPr>
                <w:rFonts w:hint="eastAsia"/>
                <w:sz w:val="28"/>
              </w:rPr>
              <w:sym w:font="Wingdings 2" w:char="F0A3"/>
            </w:r>
            <w:r>
              <w:rPr>
                <w:rFonts w:hint="eastAsia" w:ascii="Times New Roman" w:hAnsi="Times New Roman"/>
                <w:szCs w:val="21"/>
              </w:rPr>
              <w:t>符合</w:t>
            </w:r>
            <w:r>
              <w:rPr>
                <w:rFonts w:ascii="Times New Roman" w:hAnsi="Times New Roman"/>
                <w:szCs w:val="21"/>
              </w:rPr>
              <w:t>《</w:t>
            </w:r>
            <w:r>
              <w:rPr>
                <w:rFonts w:hint="eastAsia" w:ascii="Times New Roman" w:hAnsi="Times New Roman"/>
                <w:szCs w:val="21"/>
              </w:rPr>
              <w:t>生活热水水质标准</w:t>
            </w:r>
            <w:r>
              <w:rPr>
                <w:rFonts w:ascii="Times New Roman" w:hAnsi="Times New Roman"/>
                <w:szCs w:val="21"/>
              </w:rPr>
              <w:t>》</w:t>
            </w:r>
            <w:r>
              <w:rPr>
                <w:rFonts w:hint="eastAsia" w:ascii="Times New Roman" w:hAnsi="Times New Roman"/>
                <w:szCs w:val="21"/>
              </w:rPr>
              <w:t>CJ</w:t>
            </w:r>
            <w:r>
              <w:rPr>
                <w:rFonts w:ascii="Times New Roman" w:hAnsi="Times New Roman"/>
                <w:szCs w:val="21"/>
              </w:rPr>
              <w:t>/T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4" w:type="pct"/>
            <w:noWrap w:val="0"/>
            <w:vAlign w:val="center"/>
          </w:tcPr>
          <w:p>
            <w:pPr>
              <w:rPr>
                <w:rFonts w:ascii="Times New Roman" w:hAnsi="Times New Roman"/>
                <w:szCs w:val="21"/>
              </w:rPr>
            </w:pPr>
            <w:r>
              <w:rPr>
                <w:rFonts w:hint="eastAsia" w:ascii="Times New Roman" w:hAnsi="Times New Roman"/>
                <w:szCs w:val="21"/>
              </w:rPr>
              <w:t>游泳池</w:t>
            </w:r>
            <w:r>
              <w:rPr>
                <w:rFonts w:ascii="Times New Roman" w:hAnsi="Times New Roman"/>
                <w:szCs w:val="21"/>
              </w:rPr>
              <w:t>水</w:t>
            </w:r>
          </w:p>
        </w:tc>
        <w:tc>
          <w:tcPr>
            <w:tcW w:w="3106" w:type="pct"/>
            <w:noWrap w:val="0"/>
            <w:vAlign w:val="top"/>
          </w:tcPr>
          <w:p>
            <w:pPr>
              <w:rPr>
                <w:rFonts w:ascii="Times New Roman" w:hAnsi="Times New Roman"/>
                <w:szCs w:val="21"/>
              </w:rPr>
            </w:pPr>
            <w:r>
              <w:rPr>
                <w:rFonts w:hint="eastAsia"/>
                <w:sz w:val="28"/>
              </w:rPr>
              <w:sym w:font="Wingdings 2" w:char="F0A3"/>
            </w:r>
            <w:r>
              <w:rPr>
                <w:rFonts w:hint="eastAsia" w:ascii="Times New Roman" w:hAnsi="Times New Roman"/>
                <w:szCs w:val="21"/>
              </w:rPr>
              <w:t>符合</w:t>
            </w:r>
            <w:r>
              <w:rPr>
                <w:rFonts w:ascii="Times New Roman" w:hAnsi="Times New Roman"/>
                <w:szCs w:val="21"/>
              </w:rPr>
              <w:t>《</w:t>
            </w:r>
            <w:r>
              <w:rPr>
                <w:rFonts w:hint="eastAsia" w:ascii="Times New Roman" w:hAnsi="Times New Roman"/>
                <w:szCs w:val="21"/>
              </w:rPr>
              <w:t>游泳池</w:t>
            </w:r>
            <w:r>
              <w:rPr>
                <w:rFonts w:ascii="Times New Roman" w:hAnsi="Times New Roman"/>
                <w:szCs w:val="21"/>
              </w:rPr>
              <w:t>水质标准》</w:t>
            </w:r>
            <w:r>
              <w:rPr>
                <w:rFonts w:hint="eastAsia" w:ascii="Times New Roman" w:hAnsi="Times New Roman"/>
                <w:szCs w:val="21"/>
              </w:rPr>
              <w:t>CJ</w:t>
            </w:r>
            <w:r>
              <w:rPr>
                <w:rFonts w:ascii="Times New Roman" w:hAnsi="Times New Roman"/>
                <w:szCs w:val="21"/>
              </w:rPr>
              <w:t xml:space="preserve">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4" w:type="pct"/>
            <w:noWrap w:val="0"/>
            <w:vAlign w:val="center"/>
          </w:tcPr>
          <w:p>
            <w:pPr>
              <w:rPr>
                <w:rFonts w:ascii="Times New Roman" w:hAnsi="Times New Roman"/>
                <w:szCs w:val="21"/>
              </w:rPr>
            </w:pPr>
            <w:r>
              <w:rPr>
                <w:rFonts w:hint="eastAsia" w:ascii="Times New Roman" w:hAnsi="Times New Roman"/>
                <w:szCs w:val="21"/>
              </w:rPr>
              <w:t>采暖空调系统用水</w:t>
            </w:r>
          </w:p>
        </w:tc>
        <w:tc>
          <w:tcPr>
            <w:tcW w:w="3106" w:type="pct"/>
            <w:noWrap w:val="0"/>
            <w:vAlign w:val="top"/>
          </w:tcPr>
          <w:p>
            <w:pPr>
              <w:rPr>
                <w:rFonts w:ascii="Times New Roman" w:hAnsi="Times New Roman"/>
                <w:szCs w:val="21"/>
              </w:rPr>
            </w:pPr>
            <w:r>
              <w:rPr>
                <w:rFonts w:hint="eastAsia"/>
                <w:sz w:val="28"/>
              </w:rPr>
              <w:sym w:font="Wingdings 2" w:char="F0A3"/>
            </w:r>
            <w:r>
              <w:rPr>
                <w:rFonts w:hint="eastAsia" w:ascii="Times New Roman" w:hAnsi="Times New Roman"/>
                <w:szCs w:val="21"/>
              </w:rPr>
              <w:t>符合</w:t>
            </w:r>
            <w:r>
              <w:rPr>
                <w:rFonts w:ascii="Times New Roman" w:hAnsi="Times New Roman"/>
                <w:szCs w:val="21"/>
              </w:rPr>
              <w:t>《</w:t>
            </w:r>
            <w:r>
              <w:rPr>
                <w:rFonts w:hint="eastAsia" w:ascii="Times New Roman" w:hAnsi="Times New Roman"/>
                <w:szCs w:val="21"/>
              </w:rPr>
              <w:t>采暖空调</w:t>
            </w:r>
            <w:r>
              <w:rPr>
                <w:rFonts w:ascii="Times New Roman" w:hAnsi="Times New Roman"/>
                <w:szCs w:val="21"/>
              </w:rPr>
              <w:t>系统水质》</w:t>
            </w:r>
            <w:r>
              <w:rPr>
                <w:rFonts w:hint="eastAsia" w:ascii="Times New Roman" w:hAnsi="Times New Roman"/>
                <w:szCs w:val="21"/>
              </w:rPr>
              <w:t>GB/T</w:t>
            </w:r>
            <w:r>
              <w:rPr>
                <w:rFonts w:ascii="Times New Roman" w:hAnsi="Times New Roman"/>
                <w:szCs w:val="21"/>
              </w:rPr>
              <w:t xml:space="preserve"> 29044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4" w:type="pct"/>
            <w:noWrap w:val="0"/>
            <w:vAlign w:val="center"/>
          </w:tcPr>
          <w:p>
            <w:pPr>
              <w:rPr>
                <w:rFonts w:ascii="Times New Roman" w:hAnsi="Times New Roman"/>
                <w:szCs w:val="21"/>
              </w:rPr>
            </w:pPr>
            <w:r>
              <w:rPr>
                <w:rFonts w:hint="eastAsia" w:ascii="Times New Roman" w:hAnsi="Times New Roman"/>
                <w:szCs w:val="21"/>
              </w:rPr>
              <w:t>景观水体</w:t>
            </w:r>
          </w:p>
        </w:tc>
        <w:tc>
          <w:tcPr>
            <w:tcW w:w="3106" w:type="pct"/>
            <w:noWrap w:val="0"/>
            <w:vAlign w:val="top"/>
          </w:tcPr>
          <w:p>
            <w:pPr>
              <w:rPr>
                <w:rFonts w:ascii="Times New Roman" w:hAnsi="Times New Roman"/>
                <w:szCs w:val="21"/>
              </w:rPr>
            </w:pPr>
            <w:r>
              <w:rPr>
                <w:rFonts w:hint="eastAsia"/>
                <w:sz w:val="28"/>
              </w:rPr>
              <w:sym w:font="Wingdings 2" w:char="F0A3"/>
            </w:r>
            <w:r>
              <w:rPr>
                <w:rFonts w:hint="eastAsia" w:ascii="Times New Roman" w:hAnsi="Times New Roman"/>
                <w:szCs w:val="21"/>
              </w:rPr>
              <w:t>符合</w:t>
            </w:r>
            <w:r>
              <w:rPr>
                <w:rFonts w:ascii="Times New Roman" w:hAnsi="Times New Roman"/>
                <w:szCs w:val="21"/>
              </w:rPr>
              <w:t>《</w:t>
            </w:r>
            <w:r>
              <w:rPr>
                <w:rFonts w:hint="eastAsia" w:ascii="Times New Roman" w:hAnsi="Times New Roman"/>
                <w:szCs w:val="21"/>
              </w:rPr>
              <w:t>城市污水再生利用 景观</w:t>
            </w:r>
            <w:r>
              <w:rPr>
                <w:rFonts w:ascii="Times New Roman" w:hAnsi="Times New Roman"/>
                <w:szCs w:val="21"/>
              </w:rPr>
              <w:t>环境用水》</w:t>
            </w:r>
            <w:r>
              <w:rPr>
                <w:rFonts w:hint="eastAsia" w:ascii="Times New Roman" w:hAnsi="Times New Roman"/>
                <w:szCs w:val="21"/>
              </w:rPr>
              <w:t>GB/T</w:t>
            </w:r>
            <w:r>
              <w:rPr>
                <w:rFonts w:ascii="Times New Roman" w:hAnsi="Times New Roman"/>
                <w:szCs w:val="21"/>
              </w:rPr>
              <w:t xml:space="preserve"> 18921</w:t>
            </w:r>
          </w:p>
          <w:p>
            <w:pPr>
              <w:rPr>
                <w:rFonts w:ascii="Times New Roman" w:hAnsi="Times New Roman"/>
                <w:szCs w:val="21"/>
              </w:rPr>
            </w:pPr>
            <w:r>
              <w:rPr>
                <w:rFonts w:hint="eastAsia"/>
                <w:sz w:val="28"/>
              </w:rPr>
              <w:sym w:font="Wingdings 2" w:char="F0A3"/>
            </w:r>
            <w:r>
              <w:rPr>
                <w:rFonts w:hint="eastAsia" w:ascii="Times New Roman" w:hAnsi="Times New Roman"/>
                <w:szCs w:val="21"/>
              </w:rPr>
              <w:t>符合</w:t>
            </w:r>
            <w:r>
              <w:rPr>
                <w:rFonts w:ascii="Times New Roman" w:hAnsi="Times New Roman"/>
                <w:szCs w:val="21"/>
              </w:rPr>
              <w:t>《</w:t>
            </w:r>
            <w:r>
              <w:rPr>
                <w:rFonts w:hint="eastAsia" w:ascii="Times New Roman" w:hAnsi="Times New Roman"/>
                <w:szCs w:val="21"/>
              </w:rPr>
              <w:t>生活饮用水</w:t>
            </w:r>
            <w:r>
              <w:rPr>
                <w:rFonts w:ascii="Times New Roman" w:hAnsi="Times New Roman"/>
                <w:szCs w:val="21"/>
              </w:rPr>
              <w:t>卫生标准》</w:t>
            </w:r>
            <w:r>
              <w:rPr>
                <w:rFonts w:hint="eastAsia" w:ascii="Times New Roman" w:hAnsi="Times New Roman"/>
                <w:szCs w:val="21"/>
              </w:rPr>
              <w:t>GB</w:t>
            </w:r>
            <w:r>
              <w:rPr>
                <w:rFonts w:ascii="Times New Roman" w:hAnsi="Times New Roman"/>
                <w:szCs w:val="21"/>
              </w:rPr>
              <w:t xml:space="preserve"> 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4" w:type="pct"/>
            <w:noWrap w:val="0"/>
            <w:vAlign w:val="center"/>
          </w:tcPr>
          <w:p>
            <w:pPr>
              <w:rPr>
                <w:rFonts w:ascii="Times New Roman" w:hAnsi="Times New Roman"/>
                <w:szCs w:val="21"/>
              </w:rPr>
            </w:pPr>
            <w:r>
              <w:rPr>
                <w:rFonts w:hint="eastAsia" w:ascii="Times New Roman" w:hAnsi="Times New Roman"/>
                <w:szCs w:val="21"/>
              </w:rPr>
              <w:t>其他</w:t>
            </w:r>
          </w:p>
        </w:tc>
        <w:tc>
          <w:tcPr>
            <w:tcW w:w="3106" w:type="pct"/>
            <w:noWrap w:val="0"/>
            <w:vAlign w:val="top"/>
          </w:tcPr>
          <w:p>
            <w:pPr>
              <w:rPr>
                <w:rFonts w:ascii="Times New Roman" w:hAnsi="Times New Roman"/>
                <w:szCs w:val="21"/>
              </w:rPr>
            </w:pPr>
            <w:r>
              <w:rPr>
                <w:rFonts w:hint="eastAsia"/>
                <w:sz w:val="28"/>
              </w:rPr>
              <w:sym w:font="Wingdings 2" w:char="F0A3"/>
            </w:r>
            <w:r>
              <w:rPr>
                <w:rFonts w:hint="eastAsia" w:ascii="Times New Roman" w:hAnsi="Times New Roman"/>
                <w:szCs w:val="21"/>
              </w:rPr>
              <w:t>符合</w:t>
            </w:r>
            <w:r>
              <w:rPr>
                <w:rFonts w:ascii="Times New Roman" w:hAnsi="Times New Roman"/>
                <w:szCs w:val="21"/>
              </w:rPr>
              <w:t>《</w:t>
            </w:r>
            <w:r>
              <w:rPr>
                <w:rFonts w:hint="eastAsia" w:ascii="Times New Roman" w:hAnsi="Times New Roman"/>
                <w:szCs w:val="21"/>
              </w:rPr>
              <w:t>模块化</w:t>
            </w:r>
            <w:r>
              <w:rPr>
                <w:rFonts w:ascii="Times New Roman" w:hAnsi="Times New Roman"/>
                <w:szCs w:val="21"/>
              </w:rPr>
              <w:t>户内中水集成</w:t>
            </w:r>
            <w:r>
              <w:rPr>
                <w:rFonts w:hint="eastAsia" w:ascii="Times New Roman" w:hAnsi="Times New Roman"/>
                <w:szCs w:val="21"/>
              </w:rPr>
              <w:t>系统</w:t>
            </w:r>
            <w:r>
              <w:rPr>
                <w:rFonts w:ascii="Times New Roman" w:hAnsi="Times New Roman"/>
                <w:szCs w:val="21"/>
              </w:rPr>
              <w:t>技术规程》</w:t>
            </w:r>
            <w:r>
              <w:rPr>
                <w:rFonts w:hint="eastAsia" w:ascii="Times New Roman" w:hAnsi="Times New Roman"/>
                <w:szCs w:val="21"/>
              </w:rPr>
              <w:t>JGJ/T</w:t>
            </w:r>
            <w:r>
              <w:rPr>
                <w:rFonts w:ascii="Times New Roman" w:hAnsi="Times New Roman"/>
                <w:szCs w:val="21"/>
              </w:rPr>
              <w:t xml:space="preserve"> 409</w:t>
            </w:r>
          </w:p>
        </w:tc>
      </w:tr>
    </w:tbl>
    <w:p>
      <w:pPr>
        <w:rPr>
          <w:rFonts w:ascii="Times New Roman" w:hAnsi="Times New Roman"/>
          <w:szCs w:val="21"/>
        </w:rPr>
      </w:pPr>
      <w:r>
        <w:rPr>
          <w:rFonts w:hint="eastAsia" w:ascii="Times New Roman" w:hAnsi="Times New Roman"/>
          <w:szCs w:val="21"/>
        </w:rPr>
        <w:t>请对项目用水符合国家现行有关标准要求的情况进行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08"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）给排水</w:t>
      </w:r>
      <w:r>
        <w:rPr>
          <w:rFonts w:ascii="Times New Roman" w:hAnsi="Times New Roman"/>
          <w:szCs w:val="21"/>
        </w:rPr>
        <w:t>竣工图纸</w:t>
      </w:r>
      <w:r>
        <w:rPr>
          <w:rFonts w:hint="eastAsia" w:ascii="Times New Roman" w:hAnsi="Times New Roman"/>
          <w:szCs w:val="21"/>
        </w:rPr>
        <w:t>及说明文件；</w:t>
      </w:r>
    </w:p>
    <w:p>
      <w:pPr>
        <w:rPr>
          <w:rFonts w:ascii="Times New Roman" w:hAnsi="Times New Roman"/>
          <w:szCs w:val="21"/>
        </w:rPr>
      </w:pPr>
      <w:r>
        <w:rPr>
          <w:rFonts w:hint="eastAsia" w:ascii="Times New Roman" w:hAnsi="Times New Roman"/>
          <w:szCs w:val="21"/>
        </w:rPr>
        <w:t>2）水处理设备竣工图及运营使用情况；</w:t>
      </w:r>
    </w:p>
    <w:p>
      <w:pPr>
        <w:rPr>
          <w:rFonts w:ascii="Times New Roman" w:hAnsi="Times New Roman"/>
          <w:szCs w:val="21"/>
        </w:rPr>
      </w:pPr>
      <w:r>
        <w:rPr>
          <w:rFonts w:hint="eastAsia" w:ascii="Times New Roman" w:hAnsi="Times New Roman"/>
          <w:szCs w:val="21"/>
        </w:rPr>
        <w:t>3）各类用水</w:t>
      </w:r>
      <w:r>
        <w:rPr>
          <w:rFonts w:ascii="Times New Roman" w:hAnsi="Times New Roman"/>
          <w:szCs w:val="21"/>
        </w:rPr>
        <w:t>水质检测报告</w:t>
      </w:r>
      <w:r>
        <w:rPr>
          <w:rFonts w:hint="eastAsia" w:ascii="Times New Roman" w:hAnsi="Times New Roman"/>
          <w:szCs w:val="21"/>
        </w:rPr>
        <w:t>。</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bCs w:val="0"/>
          <w:sz w:val="24"/>
          <w:szCs w:val="28"/>
        </w:rPr>
      </w:pPr>
      <w:r>
        <w:rPr>
          <w:sz w:val="24"/>
          <w:szCs w:val="40"/>
        </w:rPr>
        <w:t>5.2.4</w:t>
      </w:r>
      <w:r>
        <w:rPr>
          <w:rFonts w:hint="eastAsia"/>
          <w:sz w:val="24"/>
          <w:szCs w:val="40"/>
        </w:rPr>
        <w:t xml:space="preserve"> </w:t>
      </w:r>
      <w:r>
        <w:rPr>
          <w:sz w:val="24"/>
          <w:szCs w:val="40"/>
        </w:rPr>
        <w:t>生活饮用水水池、水箱等储水设施采取措施满足卫生要求。（9分）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4364"/>
        <w:gridCol w:w="157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9" w:type="pct"/>
            <w:noWrap w:val="0"/>
            <w:vAlign w:val="top"/>
          </w:tcPr>
          <w:p>
            <w:pPr>
              <w:jc w:val="center"/>
              <w:rPr>
                <w:rFonts w:ascii="Times New Roman" w:hAnsi="Times New Roman"/>
                <w:szCs w:val="21"/>
              </w:rPr>
            </w:pPr>
            <w:r>
              <w:rPr>
                <w:rFonts w:ascii="Times New Roman" w:hAnsi="Times New Roman"/>
                <w:szCs w:val="21"/>
              </w:rPr>
              <w:t>序号</w:t>
            </w:r>
          </w:p>
        </w:tc>
        <w:tc>
          <w:tcPr>
            <w:tcW w:w="2626" w:type="pct"/>
            <w:noWrap w:val="0"/>
            <w:vAlign w:val="top"/>
          </w:tcPr>
          <w:p>
            <w:pPr>
              <w:jc w:val="center"/>
              <w:rPr>
                <w:rFonts w:ascii="Times New Roman" w:hAnsi="Times New Roman"/>
                <w:szCs w:val="21"/>
              </w:rPr>
            </w:pPr>
            <w:r>
              <w:rPr>
                <w:rFonts w:ascii="Times New Roman" w:hAnsi="Times New Roman"/>
                <w:szCs w:val="21"/>
              </w:rPr>
              <w:t>评价内容</w:t>
            </w:r>
          </w:p>
        </w:tc>
        <w:tc>
          <w:tcPr>
            <w:tcW w:w="948" w:type="pct"/>
            <w:noWrap w:val="0"/>
            <w:vAlign w:val="top"/>
          </w:tcPr>
          <w:p>
            <w:pPr>
              <w:jc w:val="center"/>
              <w:rPr>
                <w:rFonts w:ascii="Times New Roman" w:hAnsi="Times New Roman"/>
                <w:szCs w:val="21"/>
              </w:rPr>
            </w:pPr>
            <w:r>
              <w:rPr>
                <w:rFonts w:ascii="Times New Roman" w:hAnsi="Times New Roman"/>
                <w:szCs w:val="21"/>
              </w:rPr>
              <w:t>评价分值</w:t>
            </w:r>
          </w:p>
        </w:tc>
        <w:tc>
          <w:tcPr>
            <w:tcW w:w="987"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9" w:type="pct"/>
            <w:noWrap w:val="0"/>
            <w:vAlign w:val="top"/>
          </w:tcPr>
          <w:p>
            <w:pPr>
              <w:jc w:val="center"/>
              <w:rPr>
                <w:rFonts w:ascii="Times New Roman" w:hAnsi="Times New Roman"/>
                <w:szCs w:val="21"/>
              </w:rPr>
            </w:pPr>
            <w:r>
              <w:rPr>
                <w:rFonts w:ascii="Times New Roman" w:hAnsi="Times New Roman"/>
                <w:szCs w:val="21"/>
              </w:rPr>
              <w:t>1</w:t>
            </w:r>
          </w:p>
        </w:tc>
        <w:tc>
          <w:tcPr>
            <w:tcW w:w="2626" w:type="pct"/>
            <w:noWrap w:val="0"/>
            <w:vAlign w:val="top"/>
          </w:tcPr>
          <w:p>
            <w:pPr>
              <w:rPr>
                <w:rFonts w:ascii="Times New Roman" w:hAnsi="Times New Roman"/>
                <w:szCs w:val="21"/>
              </w:rPr>
            </w:pPr>
            <w:r>
              <w:rPr>
                <w:rFonts w:hint="eastAsia" w:ascii="Times New Roman" w:hAnsi="Times New Roman"/>
                <w:szCs w:val="21"/>
              </w:rPr>
              <w:t>使用</w:t>
            </w:r>
            <w:r>
              <w:rPr>
                <w:rFonts w:ascii="Times New Roman" w:hAnsi="Times New Roman"/>
                <w:szCs w:val="21"/>
              </w:rPr>
              <w:t>符合国家现行标准要求的成品</w:t>
            </w:r>
            <w:r>
              <w:rPr>
                <w:rFonts w:hint="eastAsia" w:ascii="Times New Roman" w:hAnsi="Times New Roman"/>
                <w:szCs w:val="21"/>
              </w:rPr>
              <w:t>水箱</w:t>
            </w:r>
          </w:p>
        </w:tc>
        <w:tc>
          <w:tcPr>
            <w:tcW w:w="948" w:type="pct"/>
            <w:noWrap w:val="0"/>
            <w:vAlign w:val="top"/>
          </w:tcPr>
          <w:p>
            <w:pPr>
              <w:jc w:val="center"/>
              <w:rPr>
                <w:rFonts w:ascii="Times New Roman" w:hAnsi="Times New Roman"/>
                <w:szCs w:val="21"/>
              </w:rPr>
            </w:pPr>
            <w:r>
              <w:rPr>
                <w:rFonts w:hint="eastAsia" w:ascii="Times New Roman" w:hAnsi="Times New Roman"/>
                <w:szCs w:val="21"/>
              </w:rPr>
              <w:t>4</w:t>
            </w:r>
          </w:p>
        </w:tc>
        <w:tc>
          <w:tcPr>
            <w:tcW w:w="987"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9" w:type="pct"/>
            <w:noWrap w:val="0"/>
            <w:vAlign w:val="top"/>
          </w:tcPr>
          <w:p>
            <w:pPr>
              <w:jc w:val="center"/>
              <w:rPr>
                <w:rFonts w:ascii="Times New Roman" w:hAnsi="Times New Roman"/>
                <w:szCs w:val="21"/>
              </w:rPr>
            </w:pPr>
            <w:r>
              <w:rPr>
                <w:rFonts w:ascii="Times New Roman" w:hAnsi="Times New Roman"/>
                <w:szCs w:val="21"/>
              </w:rPr>
              <w:t>2</w:t>
            </w:r>
          </w:p>
        </w:tc>
        <w:tc>
          <w:tcPr>
            <w:tcW w:w="2626" w:type="pct"/>
            <w:noWrap w:val="0"/>
            <w:vAlign w:val="top"/>
          </w:tcPr>
          <w:p>
            <w:pPr>
              <w:rPr>
                <w:rFonts w:ascii="Times New Roman" w:hAnsi="Times New Roman"/>
                <w:szCs w:val="21"/>
              </w:rPr>
            </w:pPr>
            <w:r>
              <w:rPr>
                <w:rFonts w:hint="eastAsia" w:ascii="Times New Roman" w:hAnsi="Times New Roman"/>
                <w:szCs w:val="21"/>
              </w:rPr>
              <w:t>采取保证储水</w:t>
            </w:r>
            <w:r>
              <w:rPr>
                <w:rFonts w:ascii="Times New Roman" w:hAnsi="Times New Roman"/>
                <w:szCs w:val="21"/>
              </w:rPr>
              <w:t>不变质</w:t>
            </w:r>
            <w:r>
              <w:rPr>
                <w:rFonts w:hint="eastAsia" w:ascii="Times New Roman" w:hAnsi="Times New Roman"/>
                <w:szCs w:val="21"/>
              </w:rPr>
              <w:t>的</w:t>
            </w:r>
            <w:r>
              <w:rPr>
                <w:rFonts w:ascii="Times New Roman" w:hAnsi="Times New Roman"/>
                <w:szCs w:val="21"/>
              </w:rPr>
              <w:t>措施</w:t>
            </w:r>
          </w:p>
        </w:tc>
        <w:tc>
          <w:tcPr>
            <w:tcW w:w="948" w:type="pct"/>
            <w:noWrap w:val="0"/>
            <w:vAlign w:val="top"/>
          </w:tcPr>
          <w:p>
            <w:pPr>
              <w:jc w:val="center"/>
              <w:rPr>
                <w:rFonts w:ascii="Times New Roman" w:hAnsi="Times New Roman"/>
                <w:szCs w:val="21"/>
              </w:rPr>
            </w:pPr>
            <w:r>
              <w:rPr>
                <w:rFonts w:hint="eastAsia" w:ascii="Times New Roman" w:hAnsi="Times New Roman"/>
                <w:szCs w:val="21"/>
              </w:rPr>
              <w:t>5</w:t>
            </w:r>
          </w:p>
        </w:tc>
        <w:tc>
          <w:tcPr>
            <w:tcW w:w="987"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9" w:type="pct"/>
            <w:noWrap w:val="0"/>
            <w:vAlign w:val="top"/>
          </w:tcPr>
          <w:p>
            <w:pPr>
              <w:jc w:val="center"/>
              <w:rPr>
                <w:rFonts w:ascii="Times New Roman" w:hAnsi="Times New Roman"/>
                <w:szCs w:val="21"/>
              </w:rPr>
            </w:pPr>
            <w:r>
              <w:rPr>
                <w:rFonts w:hint="eastAsia" w:ascii="Times New Roman" w:hAnsi="Times New Roman"/>
                <w:szCs w:val="21"/>
              </w:rPr>
              <w:t>3</w:t>
            </w:r>
          </w:p>
        </w:tc>
        <w:tc>
          <w:tcPr>
            <w:tcW w:w="2626" w:type="pct"/>
            <w:noWrap w:val="0"/>
            <w:vAlign w:val="top"/>
          </w:tcPr>
          <w:p>
            <w:pPr>
              <w:rPr>
                <w:rFonts w:ascii="Times New Roman" w:hAnsi="Times New Roman"/>
                <w:szCs w:val="21"/>
              </w:rPr>
            </w:pPr>
            <w:r>
              <w:rPr>
                <w:rFonts w:hint="eastAsia" w:ascii="Times New Roman" w:hAnsi="Times New Roman"/>
                <w:szCs w:val="21"/>
              </w:rPr>
              <w:t>未设置生活饮用水储水设施直接得分</w:t>
            </w:r>
          </w:p>
        </w:tc>
        <w:tc>
          <w:tcPr>
            <w:tcW w:w="948" w:type="pct"/>
            <w:noWrap w:val="0"/>
            <w:vAlign w:val="top"/>
          </w:tcPr>
          <w:p>
            <w:pPr>
              <w:jc w:val="center"/>
              <w:rPr>
                <w:rFonts w:ascii="Times New Roman" w:hAnsi="Times New Roman"/>
                <w:szCs w:val="21"/>
              </w:rPr>
            </w:pPr>
            <w:r>
              <w:rPr>
                <w:rFonts w:hint="eastAsia" w:ascii="Times New Roman" w:hAnsi="Times New Roman"/>
                <w:szCs w:val="21"/>
              </w:rPr>
              <w:t>9</w:t>
            </w:r>
          </w:p>
        </w:tc>
        <w:tc>
          <w:tcPr>
            <w:tcW w:w="987"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065" w:type="pct"/>
            <w:gridSpan w:val="2"/>
            <w:noWrap w:val="0"/>
            <w:vAlign w:val="center"/>
          </w:tcPr>
          <w:p>
            <w:pPr>
              <w:jc w:val="center"/>
              <w:rPr>
                <w:rFonts w:ascii="Times New Roman" w:hAnsi="Times New Roman"/>
                <w:szCs w:val="21"/>
              </w:rPr>
            </w:pPr>
            <w:r>
              <w:rPr>
                <w:rFonts w:ascii="Times New Roman" w:hAnsi="Times New Roman"/>
                <w:szCs w:val="21"/>
              </w:rPr>
              <w:t>合计</w:t>
            </w:r>
          </w:p>
        </w:tc>
        <w:tc>
          <w:tcPr>
            <w:tcW w:w="948" w:type="pct"/>
            <w:noWrap w:val="0"/>
            <w:vAlign w:val="top"/>
          </w:tcPr>
          <w:p>
            <w:pPr>
              <w:jc w:val="center"/>
              <w:rPr>
                <w:rFonts w:ascii="Times New Roman" w:hAnsi="Times New Roman"/>
                <w:szCs w:val="21"/>
              </w:rPr>
            </w:pPr>
            <w:r>
              <w:rPr>
                <w:rFonts w:hint="eastAsia" w:ascii="Times New Roman" w:hAnsi="Times New Roman"/>
                <w:szCs w:val="21"/>
              </w:rPr>
              <w:t>9</w:t>
            </w:r>
          </w:p>
        </w:tc>
        <w:tc>
          <w:tcPr>
            <w:tcW w:w="987"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jc w:val="center"/>
              <w:rPr>
                <w:rFonts w:ascii="Times New Roman" w:hAnsi="Times New Roman"/>
                <w:bCs/>
                <w:szCs w:val="21"/>
              </w:rPr>
            </w:pPr>
            <w:r>
              <w:rPr>
                <w:rFonts w:ascii="Times New Roman" w:hAnsi="Times New Roman"/>
                <w:bCs/>
                <w:szCs w:val="21"/>
              </w:rPr>
              <w:t>类型</w:t>
            </w:r>
          </w:p>
        </w:tc>
        <w:tc>
          <w:tcPr>
            <w:tcW w:w="2576" w:type="pct"/>
            <w:noWrap w:val="0"/>
            <w:vAlign w:val="top"/>
          </w:tcPr>
          <w:p>
            <w:pPr>
              <w:jc w:val="center"/>
              <w:rPr>
                <w:rFonts w:ascii="Times New Roman" w:hAnsi="Times New Roman"/>
                <w:bCs/>
                <w:szCs w:val="21"/>
              </w:rPr>
            </w:pPr>
            <w:r>
              <w:rPr>
                <w:rFonts w:ascii="Times New Roman" w:hAnsi="Times New Roman"/>
                <w:bCs/>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是否</w:t>
            </w:r>
            <w:r>
              <w:rPr>
                <w:rFonts w:ascii="Times New Roman" w:hAnsi="Times New Roman"/>
                <w:szCs w:val="21"/>
              </w:rPr>
              <w:t>使用成品水箱</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成品水箱</w:t>
            </w:r>
            <w:r>
              <w:rPr>
                <w:rFonts w:ascii="Times New Roman" w:hAnsi="Times New Roman"/>
                <w:szCs w:val="21"/>
              </w:rPr>
              <w:t>的技术参数</w:t>
            </w:r>
          </w:p>
        </w:tc>
        <w:tc>
          <w:tcPr>
            <w:tcW w:w="2576" w:type="pct"/>
            <w:noWrap w:val="0"/>
            <w:vAlign w:val="top"/>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424" w:type="pct"/>
            <w:noWrap w:val="0"/>
            <w:vAlign w:val="top"/>
          </w:tcPr>
          <w:p>
            <w:pPr>
              <w:rPr>
                <w:rFonts w:ascii="Times New Roman" w:hAnsi="Times New Roman"/>
                <w:szCs w:val="21"/>
              </w:rPr>
            </w:pPr>
            <w:r>
              <w:rPr>
                <w:rFonts w:hint="eastAsia" w:ascii="Times New Roman" w:hAnsi="Times New Roman"/>
                <w:szCs w:val="21"/>
              </w:rPr>
              <w:t>成品水箱</w:t>
            </w:r>
            <w:r>
              <w:rPr>
                <w:rFonts w:ascii="Times New Roman" w:hAnsi="Times New Roman"/>
                <w:szCs w:val="21"/>
              </w:rPr>
              <w:t>是否符合标准</w:t>
            </w:r>
          </w:p>
        </w:tc>
        <w:tc>
          <w:tcPr>
            <w:tcW w:w="2576" w:type="pct"/>
            <w:noWrap w:val="0"/>
            <w:vAlign w:val="top"/>
          </w:tcPr>
          <w:p>
            <w:pPr>
              <w:rPr>
                <w:rFonts w:ascii="Times New Roman" w:hAnsi="Times New Roman"/>
                <w:szCs w:val="21"/>
              </w:rPr>
            </w:pPr>
          </w:p>
        </w:tc>
      </w:tr>
    </w:tbl>
    <w:p>
      <w:pPr>
        <w:rPr>
          <w:rFonts w:ascii="Times New Roman" w:hAnsi="Times New Roman"/>
          <w:szCs w:val="21"/>
        </w:rPr>
      </w:pPr>
    </w:p>
    <w:p>
      <w:pPr>
        <w:rPr>
          <w:rFonts w:ascii="Times New Roman" w:hAnsi="Times New Roman"/>
          <w:szCs w:val="21"/>
        </w:rPr>
      </w:pPr>
      <w:r>
        <w:rPr>
          <w:rFonts w:hint="eastAsia" w:ascii="Times New Roman" w:hAnsi="Times New Roman"/>
          <w:szCs w:val="21"/>
        </w:rPr>
        <w:t>请对保证储水不变质的措施进行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）给排水</w:t>
      </w:r>
      <w:r>
        <w:rPr>
          <w:rFonts w:ascii="Times New Roman" w:hAnsi="Times New Roman"/>
          <w:szCs w:val="21"/>
        </w:rPr>
        <w:t>竣工图纸，</w:t>
      </w:r>
      <w:r>
        <w:rPr>
          <w:rFonts w:hint="eastAsia" w:ascii="Times New Roman" w:hAnsi="Times New Roman"/>
          <w:szCs w:val="21"/>
        </w:rPr>
        <w:t>含</w:t>
      </w:r>
      <w:r>
        <w:rPr>
          <w:rFonts w:ascii="Times New Roman" w:hAnsi="Times New Roman"/>
          <w:szCs w:val="21"/>
        </w:rPr>
        <w:t>设计说明、储水设施详图、设备材料表</w:t>
      </w:r>
      <w:r>
        <w:rPr>
          <w:rFonts w:hint="eastAsia" w:ascii="Times New Roman" w:hAnsi="Times New Roman"/>
          <w:szCs w:val="21"/>
        </w:rPr>
        <w:t>；</w:t>
      </w:r>
    </w:p>
    <w:p>
      <w:pPr>
        <w:rPr>
          <w:rFonts w:ascii="Times New Roman" w:hAnsi="Times New Roman"/>
          <w:szCs w:val="21"/>
        </w:rPr>
      </w:pPr>
      <w:r>
        <w:rPr>
          <w:rFonts w:ascii="Times New Roman" w:hAnsi="Times New Roman"/>
          <w:szCs w:val="21"/>
        </w:rPr>
        <w:t>2</w:t>
      </w:r>
      <w:r>
        <w:rPr>
          <w:rFonts w:hint="eastAsia" w:ascii="Times New Roman" w:hAnsi="Times New Roman"/>
          <w:szCs w:val="21"/>
        </w:rPr>
        <w:t>）生活饮用水储水设施设备材料采购清单、成品水箱产品说明书；</w:t>
      </w:r>
    </w:p>
    <w:p>
      <w:pPr>
        <w:rPr>
          <w:rFonts w:ascii="Times New Roman" w:hAnsi="Times New Roman"/>
          <w:szCs w:val="21"/>
        </w:rPr>
      </w:pPr>
      <w:r>
        <w:rPr>
          <w:rFonts w:ascii="Times New Roman" w:hAnsi="Times New Roman"/>
          <w:szCs w:val="21"/>
        </w:rPr>
        <w:t>3</w:t>
      </w:r>
      <w:r>
        <w:rPr>
          <w:rFonts w:hint="eastAsia" w:ascii="Times New Roman" w:hAnsi="Times New Roman"/>
          <w:szCs w:val="21"/>
        </w:rPr>
        <w:t>）生活饮用水储水设施清洗消毒后的水质检测报告及清洗消毒记录。</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bCs w:val="0"/>
        </w:rPr>
      </w:pPr>
      <w:r>
        <w:rPr>
          <w:sz w:val="24"/>
          <w:szCs w:val="40"/>
        </w:rPr>
        <w:t>5.2.5</w:t>
      </w:r>
      <w:r>
        <w:rPr>
          <w:rFonts w:hint="eastAsia"/>
          <w:sz w:val="24"/>
          <w:szCs w:val="40"/>
        </w:rPr>
        <w:t xml:space="preserve"> </w:t>
      </w:r>
      <w:r>
        <w:rPr>
          <w:sz w:val="24"/>
          <w:szCs w:val="40"/>
        </w:rPr>
        <w:t>所有给排水管道、设备、设施设置明确、清晰的永久性标识。（8分）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4364"/>
        <w:gridCol w:w="157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7" w:type="pct"/>
            <w:noWrap w:val="0"/>
            <w:vAlign w:val="top"/>
          </w:tcPr>
          <w:p>
            <w:pPr>
              <w:jc w:val="center"/>
              <w:rPr>
                <w:rFonts w:ascii="Times New Roman" w:hAnsi="Times New Roman"/>
                <w:szCs w:val="21"/>
              </w:rPr>
            </w:pPr>
            <w:r>
              <w:rPr>
                <w:rFonts w:ascii="Times New Roman" w:hAnsi="Times New Roman"/>
                <w:szCs w:val="21"/>
              </w:rPr>
              <w:t>序号</w:t>
            </w:r>
          </w:p>
        </w:tc>
        <w:tc>
          <w:tcPr>
            <w:tcW w:w="2726"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3"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7" w:type="pct"/>
            <w:noWrap w:val="0"/>
            <w:vAlign w:val="top"/>
          </w:tcPr>
          <w:p>
            <w:pPr>
              <w:jc w:val="center"/>
              <w:rPr>
                <w:rFonts w:ascii="Times New Roman" w:hAnsi="Times New Roman"/>
                <w:szCs w:val="21"/>
              </w:rPr>
            </w:pPr>
            <w:r>
              <w:rPr>
                <w:rFonts w:ascii="Times New Roman" w:hAnsi="Times New Roman"/>
                <w:szCs w:val="21"/>
              </w:rPr>
              <w:t>1</w:t>
            </w:r>
          </w:p>
        </w:tc>
        <w:tc>
          <w:tcPr>
            <w:tcW w:w="2726" w:type="pct"/>
            <w:noWrap w:val="0"/>
            <w:vAlign w:val="top"/>
          </w:tcPr>
          <w:p>
            <w:pPr>
              <w:rPr>
                <w:rFonts w:ascii="Times New Roman" w:hAnsi="Times New Roman"/>
                <w:szCs w:val="21"/>
              </w:rPr>
            </w:pPr>
            <w:r>
              <w:rPr>
                <w:rFonts w:hint="eastAsia" w:ascii="Times New Roman" w:hAnsi="Times New Roman"/>
                <w:szCs w:val="21"/>
              </w:rPr>
              <w:t>设置明确、清晰的永久性标识</w:t>
            </w:r>
          </w:p>
        </w:tc>
        <w:tc>
          <w:tcPr>
            <w:tcW w:w="984" w:type="pct"/>
            <w:noWrap w:val="0"/>
            <w:vAlign w:val="top"/>
          </w:tcPr>
          <w:p>
            <w:pPr>
              <w:jc w:val="center"/>
              <w:rPr>
                <w:rFonts w:ascii="Times New Roman" w:hAnsi="Times New Roman"/>
                <w:szCs w:val="21"/>
              </w:rPr>
            </w:pPr>
            <w:r>
              <w:rPr>
                <w:rFonts w:hint="eastAsia" w:ascii="Times New Roman" w:hAnsi="Times New Roman"/>
                <w:szCs w:val="21"/>
              </w:rPr>
              <w:t>8</w:t>
            </w:r>
          </w:p>
        </w:tc>
        <w:tc>
          <w:tcPr>
            <w:tcW w:w="833"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ascii="Times New Roman" w:hAnsi="Times New Roman"/>
          <w:szCs w:val="21"/>
        </w:rPr>
        <w:t>请对永久性</w:t>
      </w:r>
      <w:r>
        <w:rPr>
          <w:rFonts w:ascii="Times New Roman" w:hAnsi="Times New Roman"/>
          <w:szCs w:val="21"/>
        </w:rPr>
        <w:t>标识的</w:t>
      </w:r>
      <w:r>
        <w:rPr>
          <w:rFonts w:hint="eastAsia" w:ascii="Times New Roman" w:hAnsi="Times New Roman"/>
          <w:szCs w:val="21"/>
        </w:rPr>
        <w:t>设置情况进行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）给排水</w:t>
      </w:r>
      <w:r>
        <w:rPr>
          <w:rFonts w:ascii="Times New Roman" w:hAnsi="Times New Roman"/>
          <w:szCs w:val="21"/>
        </w:rPr>
        <w:t>竣工图</w:t>
      </w:r>
      <w:r>
        <w:rPr>
          <w:rFonts w:hint="eastAsia" w:ascii="Times New Roman" w:hAnsi="Times New Roman"/>
          <w:szCs w:val="21"/>
        </w:rPr>
        <w:t>、管道标识设置说明；</w:t>
      </w:r>
    </w:p>
    <w:p>
      <w:pPr>
        <w:rPr>
          <w:rFonts w:ascii="Times New Roman" w:hAnsi="Times New Roman"/>
          <w:szCs w:val="21"/>
        </w:rPr>
      </w:pPr>
      <w:r>
        <w:rPr>
          <w:rFonts w:hint="eastAsia" w:ascii="Times New Roman" w:hAnsi="Times New Roman"/>
          <w:szCs w:val="21"/>
        </w:rPr>
        <w:t>2）设备、设施相关</w:t>
      </w:r>
      <w:r>
        <w:rPr>
          <w:rFonts w:ascii="Times New Roman" w:hAnsi="Times New Roman"/>
          <w:szCs w:val="21"/>
        </w:rPr>
        <w:t>标识设置说明</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3）现场</w:t>
      </w:r>
      <w:r>
        <w:rPr>
          <w:rFonts w:ascii="Times New Roman" w:hAnsi="Times New Roman"/>
          <w:szCs w:val="21"/>
        </w:rPr>
        <w:t>照片</w:t>
      </w:r>
      <w:r>
        <w:rPr>
          <w:rFonts w:hint="eastAsia" w:ascii="Times New Roman" w:hAnsi="Times New Roman"/>
          <w:szCs w:val="21"/>
        </w:rPr>
        <w:t>。</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5.2.6</w:t>
      </w:r>
      <w:r>
        <w:rPr>
          <w:rFonts w:hint="eastAsia"/>
          <w:sz w:val="24"/>
          <w:szCs w:val="40"/>
        </w:rPr>
        <w:t xml:space="preserve"> </w:t>
      </w:r>
      <w:r>
        <w:rPr>
          <w:sz w:val="24"/>
          <w:szCs w:val="40"/>
        </w:rPr>
        <w:t>采取措施优化主要功能房间的室内声环境。（8分）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7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333"/>
        <w:gridCol w:w="3084"/>
        <w:gridCol w:w="157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3" w:type="pct"/>
            <w:noWrap w:val="0"/>
            <w:vAlign w:val="center"/>
          </w:tcPr>
          <w:p>
            <w:pPr>
              <w:jc w:val="center"/>
              <w:rPr>
                <w:rFonts w:ascii="Times New Roman" w:hAnsi="Times New Roman"/>
                <w:szCs w:val="21"/>
              </w:rPr>
            </w:pPr>
            <w:r>
              <w:rPr>
                <w:rFonts w:ascii="Times New Roman" w:hAnsi="Times New Roman"/>
                <w:szCs w:val="21"/>
              </w:rPr>
              <w:t>序号</w:t>
            </w:r>
          </w:p>
        </w:tc>
        <w:tc>
          <w:tcPr>
            <w:tcW w:w="2737" w:type="pct"/>
            <w:gridSpan w:val="2"/>
            <w:noWrap w:val="0"/>
            <w:vAlign w:val="center"/>
          </w:tcPr>
          <w:p>
            <w:pPr>
              <w:jc w:val="center"/>
              <w:rPr>
                <w:rFonts w:ascii="Times New Roman" w:hAnsi="Times New Roman"/>
                <w:szCs w:val="21"/>
              </w:rPr>
            </w:pPr>
            <w:r>
              <w:rPr>
                <w:rFonts w:ascii="Times New Roman" w:hAnsi="Times New Roman"/>
                <w:szCs w:val="21"/>
              </w:rPr>
              <w:t>评价内容</w:t>
            </w:r>
          </w:p>
        </w:tc>
        <w:tc>
          <w:tcPr>
            <w:tcW w:w="976" w:type="pct"/>
            <w:noWrap w:val="0"/>
            <w:vAlign w:val="center"/>
          </w:tcPr>
          <w:p>
            <w:pPr>
              <w:jc w:val="center"/>
              <w:rPr>
                <w:rFonts w:ascii="Times New Roman" w:hAnsi="Times New Roman"/>
                <w:szCs w:val="21"/>
              </w:rPr>
            </w:pPr>
            <w:r>
              <w:rPr>
                <w:rFonts w:ascii="Times New Roman" w:hAnsi="Times New Roman"/>
                <w:szCs w:val="21"/>
              </w:rPr>
              <w:t>评价分值</w:t>
            </w:r>
          </w:p>
        </w:tc>
        <w:tc>
          <w:tcPr>
            <w:tcW w:w="844"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3" w:type="pct"/>
            <w:noWrap w:val="0"/>
            <w:vAlign w:val="center"/>
          </w:tcPr>
          <w:p>
            <w:pPr>
              <w:jc w:val="center"/>
              <w:rPr>
                <w:rFonts w:ascii="Times New Roman" w:hAnsi="Times New Roman"/>
                <w:szCs w:val="21"/>
              </w:rPr>
            </w:pPr>
            <w:r>
              <w:rPr>
                <w:rFonts w:ascii="Times New Roman" w:hAnsi="Times New Roman"/>
                <w:szCs w:val="21"/>
              </w:rPr>
              <w:t>1</w:t>
            </w:r>
          </w:p>
        </w:tc>
        <w:tc>
          <w:tcPr>
            <w:tcW w:w="826" w:type="pct"/>
            <w:vMerge w:val="restart"/>
            <w:noWrap w:val="0"/>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室内噪声级</w:t>
            </w:r>
          </w:p>
        </w:tc>
        <w:tc>
          <w:tcPr>
            <w:tcW w:w="1911" w:type="pct"/>
            <w:noWrap w:val="0"/>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达到低限标准限值和高要求标准限值的平均值</w:t>
            </w:r>
          </w:p>
        </w:tc>
        <w:tc>
          <w:tcPr>
            <w:tcW w:w="976" w:type="pct"/>
            <w:noWrap w:val="0"/>
            <w:vAlign w:val="center"/>
          </w:tcPr>
          <w:p>
            <w:pPr>
              <w:jc w:val="center"/>
              <w:rPr>
                <w:rFonts w:ascii="Times New Roman" w:hAnsi="Times New Roman"/>
                <w:szCs w:val="21"/>
              </w:rPr>
            </w:pPr>
            <w:r>
              <w:rPr>
                <w:rFonts w:hint="eastAsia" w:ascii="Times New Roman" w:hAnsi="Times New Roman"/>
                <w:szCs w:val="21"/>
              </w:rPr>
              <w:t>4</w:t>
            </w:r>
          </w:p>
        </w:tc>
        <w:tc>
          <w:tcPr>
            <w:tcW w:w="844" w:type="pct"/>
            <w:vMerge w:val="restar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3" w:type="pct"/>
            <w:noWrap w:val="0"/>
            <w:vAlign w:val="center"/>
          </w:tcPr>
          <w:p>
            <w:pPr>
              <w:jc w:val="center"/>
              <w:rPr>
                <w:rFonts w:ascii="Times New Roman" w:hAnsi="Times New Roman"/>
                <w:szCs w:val="21"/>
              </w:rPr>
            </w:pPr>
            <w:r>
              <w:rPr>
                <w:rFonts w:ascii="Times New Roman" w:hAnsi="Times New Roman"/>
                <w:szCs w:val="21"/>
              </w:rPr>
              <w:t>2</w:t>
            </w:r>
          </w:p>
        </w:tc>
        <w:tc>
          <w:tcPr>
            <w:tcW w:w="826" w:type="pct"/>
            <w:vMerge w:val="continue"/>
            <w:noWrap w:val="0"/>
            <w:vAlign w:val="center"/>
          </w:tcPr>
          <w:p>
            <w:pPr>
              <w:jc w:val="center"/>
              <w:rPr>
                <w:rFonts w:ascii="Times New Roman" w:hAnsi="Times New Roman"/>
                <w:szCs w:val="21"/>
              </w:rPr>
            </w:pPr>
          </w:p>
        </w:tc>
        <w:tc>
          <w:tcPr>
            <w:tcW w:w="1911" w:type="pct"/>
            <w:noWrap w:val="0"/>
            <w:vAlign w:val="center"/>
          </w:tcPr>
          <w:p>
            <w:pPr>
              <w:jc w:val="left"/>
              <w:rPr>
                <w:rFonts w:ascii="Times New Roman" w:hAnsi="Times New Roman"/>
                <w:szCs w:val="21"/>
              </w:rPr>
            </w:pPr>
            <w:r>
              <w:rPr>
                <w:rFonts w:hint="eastAsia" w:ascii="宋体" w:hAnsi="宋体" w:cs="宋体"/>
                <w:kern w:val="0"/>
                <w:szCs w:val="21"/>
              </w:rPr>
              <w:t>达到高要求标准限值</w:t>
            </w:r>
          </w:p>
        </w:tc>
        <w:tc>
          <w:tcPr>
            <w:tcW w:w="976" w:type="pct"/>
            <w:noWrap w:val="0"/>
            <w:vAlign w:val="center"/>
          </w:tcPr>
          <w:p>
            <w:pPr>
              <w:jc w:val="center"/>
              <w:rPr>
                <w:rFonts w:ascii="Times New Roman" w:hAnsi="Times New Roman"/>
                <w:szCs w:val="21"/>
              </w:rPr>
            </w:pPr>
            <w:r>
              <w:rPr>
                <w:rFonts w:hint="eastAsia" w:ascii="Times New Roman" w:hAnsi="Times New Roman"/>
                <w:szCs w:val="21"/>
              </w:rPr>
              <w:t>8</w:t>
            </w:r>
          </w:p>
        </w:tc>
        <w:tc>
          <w:tcPr>
            <w:tcW w:w="844" w:type="pct"/>
            <w:vMerge w:val="continue"/>
            <w:noWrap w:val="0"/>
            <w:vAlign w:val="center"/>
          </w:tcPr>
          <w:p>
            <w:pPr>
              <w:jc w:val="center"/>
              <w:rPr>
                <w:rFonts w:ascii="Times New Roman" w:hAnsi="Times New Roman"/>
                <w:szCs w:val="21"/>
              </w:rPr>
            </w:pPr>
          </w:p>
        </w:tc>
      </w:tr>
    </w:tbl>
    <w:p>
      <w:pPr>
        <w:spacing w:before="156" w:beforeLines="50" w:after="156" w:afterLines="50"/>
        <w:rPr>
          <w:rFonts w:ascii="Times New Roman" w:hAnsi="Times New Roman"/>
          <w:b/>
          <w:szCs w:val="21"/>
        </w:rPr>
      </w:pPr>
      <w:bookmarkStart w:id="0" w:name="_Toc9944690"/>
      <w:bookmarkStart w:id="1" w:name="_Toc9944970"/>
      <w:bookmarkStart w:id="2" w:name="_Toc9945114"/>
      <w:bookmarkStart w:id="3" w:name="_Toc9945256"/>
      <w:bookmarkStart w:id="4" w:name="_Toc9945397"/>
      <w:r>
        <w:rPr>
          <w:rFonts w:ascii="Times New Roman" w:hAnsi="Times New Roman"/>
          <w:b/>
          <w:szCs w:val="21"/>
        </w:rPr>
        <w:t>2 评价要点</w:t>
      </w:r>
    </w:p>
    <w:p>
      <w:pPr>
        <w:rPr>
          <w:rFonts w:ascii="Times New Roman" w:hAnsi="Times New Roman"/>
          <w:szCs w:val="21"/>
        </w:rPr>
      </w:pPr>
      <w:r>
        <w:rPr>
          <w:rFonts w:hint="eastAsia"/>
        </w:rPr>
        <w:t>请简要说明建筑室内、外主要噪声源类型，传播途径以及采取的降噪措施</w:t>
      </w:r>
      <w:bookmarkEnd w:id="0"/>
      <w:bookmarkEnd w:id="1"/>
      <w:bookmarkEnd w:id="2"/>
      <w:bookmarkEnd w:id="3"/>
      <w:bookmarkEnd w:id="4"/>
      <w:r>
        <w:rPr>
          <w:rFonts w:hint="eastAsia"/>
        </w:rPr>
        <w:t>：</w:t>
      </w:r>
      <w:bookmarkStart w:id="5" w:name="OLE_LINK230"/>
      <w:bookmarkStart w:id="6" w:name="OLE_LINK231"/>
      <w:bookmarkStart w:id="7" w:name="_Toc9944691"/>
      <w:bookmarkStart w:id="8" w:name="_Toc9944971"/>
      <w:bookmarkStart w:id="9" w:name="_Toc9945115"/>
      <w:bookmarkStart w:id="10" w:name="_Toc9945257"/>
      <w:bookmarkStart w:id="11" w:name="_Toc994539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1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本项目主要噪声室内噪声来源：为室内空调设备、卫生器具、管道等，可通过给设备添加减震措施避免噪声传播。</w:t>
            </w:r>
          </w:p>
          <w:p>
            <w:pPr>
              <w:ind w:firstLine="400" w:firstLineChars="200"/>
              <w:rPr>
                <w:rFonts w:ascii="Times New Roman" w:hAnsi="Times New Roman"/>
                <w:kern w:val="0"/>
                <w:sz w:val="20"/>
                <w:szCs w:val="21"/>
              </w:rPr>
            </w:pPr>
            <w:r>
              <w:rPr>
                <w:rFonts w:hint="eastAsia" w:ascii="Times New Roman" w:hAnsi="Times New Roman"/>
                <w:kern w:val="0"/>
                <w:sz w:val="20"/>
                <w:szCs w:val="21"/>
              </w:rPr>
              <w:t xml:space="preserve"> 室外噪声源主要为公路的交通噪声。室内噪声源主要为生活噪声。传播途径：空气传播、楼板共振。降噪措施：经过距离和绿化、围护结构衰减，达到规范要求。</w:t>
            </w:r>
          </w:p>
          <w:p>
            <w:pPr>
              <w:ind w:firstLine="400" w:firstLineChars="200"/>
              <w:rPr>
                <w:rFonts w:ascii="Times New Roman" w:hAnsi="Times New Roman"/>
                <w:kern w:val="0"/>
                <w:sz w:val="20"/>
                <w:szCs w:val="21"/>
              </w:rPr>
            </w:pPr>
            <w:r>
              <w:rPr>
                <w:rFonts w:hint="eastAsia" w:ascii="Times New Roman" w:hAnsi="Times New Roman"/>
                <w:kern w:val="0"/>
                <w:sz w:val="20"/>
                <w:szCs w:val="21"/>
              </w:rPr>
              <w:t>围护结构降噪措施：内墙为200厚钢筋混凝土墙。楼板为100厚钢筋混凝土板、豆石混凝土、面层。室外噪声的降噪措施主要依靠外墙和外门窗的隔断。外墙采用200厚钢筋混凝土墙，外门窗为断桥铝框，玻璃采用5+12A+5 +12A+5，很好的阻断室外噪声的传播。车辆进出禁止鸣笛、减速慢行。为提高楼板撞击声隔声性能楼板增加挤塑聚苯板。</w:t>
            </w:r>
          </w:p>
        </w:tc>
      </w:tr>
    </w:tbl>
    <w:p>
      <w:r>
        <w:rPr>
          <w:rFonts w:hint="eastAsia"/>
        </w:rPr>
        <w:t>主要功能房间室内噪声值列表</w:t>
      </w:r>
      <w:bookmarkEnd w:id="5"/>
      <w:bookmarkEnd w:id="6"/>
      <w:r>
        <w:rPr>
          <w:rFonts w:hint="eastAsia"/>
        </w:rPr>
        <w:t>：</w:t>
      </w:r>
      <w:bookmarkEnd w:id="7"/>
      <w:bookmarkEnd w:id="8"/>
      <w:bookmarkEnd w:id="9"/>
      <w:bookmarkEnd w:id="10"/>
      <w:bookmarkEnd w:id="11"/>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26"/>
        <w:gridCol w:w="2829"/>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7" w:type="dxa"/>
            <w:noWrap w:val="0"/>
            <w:vAlign w:val="center"/>
          </w:tcPr>
          <w:p>
            <w:pPr>
              <w:jc w:val="center"/>
            </w:pPr>
            <w:r>
              <w:rPr>
                <w:rFonts w:hint="eastAsia"/>
              </w:rPr>
              <w:t>主要功能房间</w:t>
            </w:r>
          </w:p>
        </w:tc>
        <w:tc>
          <w:tcPr>
            <w:tcW w:w="2126" w:type="dxa"/>
            <w:noWrap w:val="0"/>
            <w:vAlign w:val="center"/>
          </w:tcPr>
          <w:p>
            <w:pPr>
              <w:jc w:val="center"/>
            </w:pPr>
            <w:r>
              <w:rPr>
                <w:rFonts w:hint="eastAsia"/>
              </w:rPr>
              <w:t>室内噪声值</w:t>
            </w:r>
            <w:r>
              <w:t>[dB(A)]</w:t>
            </w:r>
          </w:p>
        </w:tc>
        <w:tc>
          <w:tcPr>
            <w:tcW w:w="2829" w:type="dxa"/>
            <w:noWrap w:val="0"/>
            <w:vAlign w:val="top"/>
          </w:tcPr>
          <w:p>
            <w:pPr>
              <w:jc w:val="center"/>
            </w:pPr>
            <w:r>
              <w:rPr>
                <w:rFonts w:hint="eastAsia"/>
                <w:kern w:val="0"/>
              </w:rPr>
              <w:t>高、低限值平均值</w:t>
            </w:r>
            <w:r>
              <w:t>[dB(A)]</w:t>
            </w:r>
          </w:p>
        </w:tc>
        <w:tc>
          <w:tcPr>
            <w:tcW w:w="2548" w:type="dxa"/>
            <w:noWrap w:val="0"/>
            <w:vAlign w:val="top"/>
          </w:tcPr>
          <w:p>
            <w:pPr>
              <w:jc w:val="center"/>
            </w:pPr>
            <w:r>
              <w:rPr>
                <w:rFonts w:hint="eastAsia"/>
              </w:rPr>
              <w:t>高要求</w:t>
            </w:r>
            <w:r>
              <w:rPr>
                <w:rFonts w:hint="eastAsia"/>
                <w:kern w:val="0"/>
              </w:rPr>
              <w:t>标准限值</w:t>
            </w:r>
            <w: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7" w:type="dxa"/>
            <w:noWrap w:val="0"/>
            <w:vAlign w:val="top"/>
          </w:tcPr>
          <w:p>
            <w:pPr>
              <w:jc w:val="center"/>
              <w:rPr>
                <w:rFonts w:ascii="宋体" w:hAnsi="宋体"/>
              </w:rPr>
            </w:pPr>
            <w:r>
              <w:rPr>
                <w:rFonts w:hint="eastAsia" w:ascii="宋体" w:hAnsi="宋体"/>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829" w:type="dxa"/>
            <w:noWrap w:val="0"/>
            <w:vAlign w:val="top"/>
          </w:tcPr>
          <w:p>
            <w:pPr>
              <w:jc w:val="center"/>
            </w:pPr>
            <w:r>
              <w:rPr>
                <w:rFonts w:hint="eastAsia" w:ascii="Times New Roman" w:hAnsi="Times New Roman"/>
                <w:szCs w:val="21"/>
              </w:rPr>
              <w:t xml:space="preserve">  </w:t>
            </w:r>
          </w:p>
        </w:tc>
        <w:tc>
          <w:tcPr>
            <w:tcW w:w="254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7" w:type="dxa"/>
            <w:noWrap w:val="0"/>
            <w:vAlign w:val="top"/>
          </w:tcPr>
          <w:p>
            <w:pPr>
              <w:jc w:val="center"/>
              <w:rPr>
                <w:rFonts w:ascii="宋体" w:hAnsi="宋体"/>
              </w:rPr>
            </w:pPr>
            <w:r>
              <w:rPr>
                <w:rFonts w:hint="eastAsia" w:ascii="宋体" w:hAnsi="宋体"/>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829" w:type="dxa"/>
            <w:noWrap w:val="0"/>
            <w:vAlign w:val="top"/>
          </w:tcPr>
          <w:p>
            <w:pPr>
              <w:jc w:val="center"/>
            </w:pPr>
            <w:r>
              <w:rPr>
                <w:rFonts w:hint="eastAsia" w:ascii="Times New Roman" w:hAnsi="Times New Roman"/>
                <w:szCs w:val="21"/>
              </w:rPr>
              <w:t xml:space="preserve">  </w:t>
            </w:r>
          </w:p>
        </w:tc>
        <w:tc>
          <w:tcPr>
            <w:tcW w:w="254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7" w:type="dxa"/>
            <w:noWrap w:val="0"/>
            <w:vAlign w:val="top"/>
          </w:tcPr>
          <w:p>
            <w:pPr>
              <w:jc w:val="center"/>
              <w:rPr>
                <w:rFonts w:ascii="宋体" w:hAnsi="宋体"/>
              </w:rPr>
            </w:pPr>
            <w:r>
              <w:rPr>
                <w:rFonts w:hint="eastAsia" w:ascii="宋体" w:hAnsi="宋体"/>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829" w:type="dxa"/>
            <w:noWrap w:val="0"/>
            <w:vAlign w:val="top"/>
          </w:tcPr>
          <w:p>
            <w:pPr>
              <w:jc w:val="center"/>
            </w:pPr>
            <w:r>
              <w:rPr>
                <w:rFonts w:hint="eastAsia" w:ascii="Times New Roman" w:hAnsi="Times New Roman"/>
                <w:szCs w:val="21"/>
              </w:rPr>
              <w:t xml:space="preserve">  </w:t>
            </w:r>
          </w:p>
        </w:tc>
        <w:tc>
          <w:tcPr>
            <w:tcW w:w="254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7" w:type="dxa"/>
            <w:noWrap w:val="0"/>
            <w:vAlign w:val="top"/>
          </w:tcPr>
          <w:p>
            <w:pPr>
              <w:jc w:val="center"/>
              <w:rPr>
                <w:rFonts w:ascii="宋体" w:hAnsi="宋体"/>
              </w:rPr>
            </w:pPr>
            <w:r>
              <w:rPr>
                <w:rFonts w:hint="eastAsia" w:ascii="宋体" w:hAnsi="宋体"/>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829" w:type="dxa"/>
            <w:noWrap w:val="0"/>
            <w:vAlign w:val="top"/>
          </w:tcPr>
          <w:p>
            <w:pPr>
              <w:jc w:val="center"/>
            </w:pPr>
            <w:r>
              <w:rPr>
                <w:rFonts w:hint="eastAsia" w:ascii="Times New Roman" w:hAnsi="Times New Roman"/>
                <w:szCs w:val="21"/>
              </w:rPr>
              <w:t xml:space="preserve">  </w:t>
            </w:r>
          </w:p>
        </w:tc>
        <w:tc>
          <w:tcPr>
            <w:tcW w:w="254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7" w:type="dxa"/>
            <w:noWrap w:val="0"/>
            <w:vAlign w:val="top"/>
          </w:tcPr>
          <w:p>
            <w:pPr>
              <w:jc w:val="center"/>
              <w:rPr>
                <w:rFonts w:ascii="宋体" w:hAnsi="宋体"/>
              </w:rPr>
            </w:pPr>
            <w:r>
              <w:rPr>
                <w:rFonts w:hint="eastAsia" w:ascii="宋体" w:hAnsi="宋体"/>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829" w:type="dxa"/>
            <w:noWrap w:val="0"/>
            <w:vAlign w:val="top"/>
          </w:tcPr>
          <w:p>
            <w:pPr>
              <w:jc w:val="center"/>
            </w:pPr>
            <w:r>
              <w:rPr>
                <w:rFonts w:hint="eastAsia" w:ascii="Times New Roman" w:hAnsi="Times New Roman"/>
                <w:szCs w:val="21"/>
              </w:rPr>
              <w:t xml:space="preserve">  </w:t>
            </w:r>
          </w:p>
        </w:tc>
        <w:tc>
          <w:tcPr>
            <w:tcW w:w="254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97" w:type="dxa"/>
            <w:noWrap w:val="0"/>
            <w:vAlign w:val="top"/>
          </w:tcPr>
          <w:p>
            <w:pPr>
              <w:jc w:val="center"/>
              <w:rPr>
                <w:rFonts w:ascii="宋体" w:hAnsi="宋体"/>
              </w:rPr>
            </w:pPr>
            <w:r>
              <w:rPr>
                <w:rFonts w:hint="eastAsia" w:ascii="宋体" w:hAnsi="宋体"/>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829" w:type="dxa"/>
            <w:noWrap w:val="0"/>
            <w:vAlign w:val="top"/>
          </w:tcPr>
          <w:p>
            <w:pPr>
              <w:jc w:val="center"/>
            </w:pPr>
            <w:r>
              <w:rPr>
                <w:rFonts w:hint="eastAsia" w:ascii="Times New Roman" w:hAnsi="Times New Roman"/>
                <w:szCs w:val="21"/>
              </w:rPr>
              <w:t xml:space="preserve">  </w:t>
            </w:r>
          </w:p>
        </w:tc>
        <w:tc>
          <w:tcPr>
            <w:tcW w:w="2548" w:type="dxa"/>
            <w:noWrap w:val="0"/>
            <w:vAlign w:val="top"/>
          </w:tcPr>
          <w:p>
            <w:pPr>
              <w:jc w:val="cente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spacing w:line="300" w:lineRule="exact"/>
        <w:rPr>
          <w:rFonts w:ascii="Times New Roman" w:hAnsi="Times New Roman"/>
          <w:szCs w:val="21"/>
        </w:rPr>
      </w:pPr>
      <w:r>
        <w:rPr>
          <w:rFonts w:ascii="Times New Roman" w:hAnsi="Times New Roman"/>
          <w:szCs w:val="21"/>
        </w:rPr>
        <w:t>提交材料及要求：</w:t>
      </w:r>
    </w:p>
    <w:p>
      <w:pPr>
        <w:spacing w:line="300" w:lineRule="exact"/>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建筑竣工图</w:t>
      </w:r>
      <w:r>
        <w:rPr>
          <w:rFonts w:hint="eastAsia" w:ascii="Times New Roman" w:hAnsi="Times New Roman"/>
          <w:szCs w:val="21"/>
        </w:rPr>
        <w:t>、建筑围护结构的构造说明、施工大样；</w:t>
      </w:r>
    </w:p>
    <w:p>
      <w:pPr>
        <w:spacing w:line="3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构件隔声性能</w:t>
      </w:r>
      <w:r>
        <w:rPr>
          <w:rFonts w:hint="eastAsia" w:ascii="Times New Roman" w:hAnsi="Times New Roman"/>
          <w:szCs w:val="21"/>
        </w:rPr>
        <w:t>检测</w:t>
      </w:r>
      <w:r>
        <w:rPr>
          <w:rFonts w:ascii="Times New Roman" w:hAnsi="Times New Roman"/>
          <w:szCs w:val="21"/>
        </w:rPr>
        <w:t>报告</w:t>
      </w:r>
      <w:r>
        <w:rPr>
          <w:rFonts w:hint="eastAsia" w:ascii="Times New Roman" w:hAnsi="Times New Roman"/>
          <w:szCs w:val="21"/>
        </w:rPr>
        <w:t>；</w:t>
      </w:r>
    </w:p>
    <w:p>
      <w:pPr>
        <w:spacing w:line="300" w:lineRule="exact"/>
      </w:pPr>
      <w:r>
        <w:rPr>
          <w:rFonts w:ascii="Times New Roman" w:hAnsi="Times New Roman"/>
          <w:szCs w:val="21"/>
        </w:rPr>
        <w:t>3</w:t>
      </w:r>
      <w:r>
        <w:rPr>
          <w:rFonts w:hint="eastAsia" w:ascii="Times New Roman" w:hAnsi="Times New Roman"/>
          <w:szCs w:val="21"/>
        </w:rPr>
        <w:t>）</w:t>
      </w:r>
      <w:r>
        <w:rPr>
          <w:rFonts w:ascii="Times New Roman" w:hAnsi="Times New Roman"/>
          <w:szCs w:val="21"/>
        </w:rPr>
        <w:t>噪声分析报告</w:t>
      </w:r>
      <w:r>
        <w:rPr>
          <w:rFonts w:hint="eastAsia" w:ascii="Times New Roman" w:hAnsi="Times New Roman"/>
          <w:szCs w:val="21"/>
        </w:rPr>
        <w:t>，</w:t>
      </w:r>
      <w:r>
        <w:rPr>
          <w:rFonts w:hint="eastAsia"/>
        </w:rPr>
        <w:t>（室外噪声源类型、场地环境噪声测试结果以及防护降噪措施等）；</w:t>
      </w:r>
    </w:p>
    <w:p>
      <w:pPr>
        <w:spacing w:line="300" w:lineRule="exact"/>
        <w:rPr>
          <w:rFonts w:ascii="Times New Roman" w:hAnsi="Times New Roman"/>
          <w:szCs w:val="21"/>
        </w:rPr>
      </w:pPr>
      <w:r>
        <w:rPr>
          <w:rFonts w:hint="eastAsia"/>
        </w:rPr>
        <w:t>4）</w:t>
      </w:r>
      <w:r>
        <w:rPr>
          <w:rFonts w:ascii="Times New Roman" w:hAnsi="Times New Roman"/>
          <w:szCs w:val="21"/>
        </w:rPr>
        <w:t>室内噪声级检测报告</w:t>
      </w:r>
      <w:r>
        <w:rPr>
          <w:rFonts w:hint="eastAsia" w:ascii="Times New Roman" w:hAnsi="Times New Roman"/>
          <w:szCs w:val="21"/>
        </w:rPr>
        <w:t>（典型时间、主要功能房间）。</w:t>
      </w:r>
    </w:p>
    <w:p>
      <w:pPr>
        <w:spacing w:line="300" w:lineRule="exact"/>
        <w:rPr>
          <w:rFonts w:ascii="Times New Roman" w:hAnsi="Times New Roman"/>
          <w:szCs w:val="21"/>
        </w:rPr>
      </w:pPr>
    </w:p>
    <w:p>
      <w:pPr>
        <w:widowControl/>
        <w:spacing w:line="300" w:lineRule="exact"/>
        <w:jc w:val="lef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79"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bCs w:val="0"/>
          <w:sz w:val="24"/>
          <w:szCs w:val="24"/>
        </w:rPr>
      </w:pPr>
      <w:r>
        <w:rPr>
          <w:sz w:val="24"/>
          <w:szCs w:val="40"/>
        </w:rPr>
        <w:t>5.2.7</w:t>
      </w:r>
      <w:r>
        <w:rPr>
          <w:rFonts w:hint="eastAsia"/>
          <w:sz w:val="24"/>
          <w:szCs w:val="40"/>
        </w:rPr>
        <w:t xml:space="preserve"> </w:t>
      </w:r>
      <w:r>
        <w:rPr>
          <w:sz w:val="24"/>
          <w:szCs w:val="40"/>
        </w:rPr>
        <w:t>主要功能房间的隔声性能良好。（10分）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846"/>
        <w:gridCol w:w="3257"/>
        <w:gridCol w:w="18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 w:hRule="atLeast"/>
          <w:jc w:val="center"/>
        </w:trPr>
        <w:tc>
          <w:tcPr>
            <w:tcW w:w="895" w:type="dxa"/>
            <w:noWrap w:val="0"/>
            <w:vAlign w:val="center"/>
          </w:tcPr>
          <w:p>
            <w:pPr>
              <w:jc w:val="center"/>
              <w:rPr>
                <w:rFonts w:ascii="Times New Roman" w:hAnsi="Times New Roman"/>
                <w:b/>
              </w:rPr>
            </w:pPr>
            <w:r>
              <w:rPr>
                <w:rFonts w:ascii="Times New Roman" w:hAnsi="Times New Roman"/>
                <w:szCs w:val="21"/>
              </w:rPr>
              <w:t>序号</w:t>
            </w:r>
          </w:p>
        </w:tc>
        <w:tc>
          <w:tcPr>
            <w:tcW w:w="5103" w:type="dxa"/>
            <w:gridSpan w:val="2"/>
            <w:noWrap w:val="0"/>
            <w:vAlign w:val="center"/>
          </w:tcPr>
          <w:p>
            <w:pPr>
              <w:jc w:val="center"/>
              <w:rPr>
                <w:rFonts w:ascii="Times New Roman" w:hAnsi="Times New Roman"/>
                <w:b/>
              </w:rPr>
            </w:pPr>
            <w:r>
              <w:rPr>
                <w:rFonts w:ascii="Times New Roman" w:hAnsi="Times New Roman"/>
                <w:szCs w:val="21"/>
              </w:rPr>
              <w:t>评价内容</w:t>
            </w:r>
          </w:p>
        </w:tc>
        <w:tc>
          <w:tcPr>
            <w:tcW w:w="1842" w:type="dxa"/>
            <w:noWrap w:val="0"/>
            <w:vAlign w:val="center"/>
          </w:tcPr>
          <w:p>
            <w:pPr>
              <w:jc w:val="center"/>
              <w:rPr>
                <w:rFonts w:ascii="Times New Roman" w:hAnsi="Times New Roman"/>
                <w:b/>
              </w:rPr>
            </w:pPr>
            <w:r>
              <w:rPr>
                <w:rFonts w:ascii="Times New Roman" w:hAnsi="Times New Roman"/>
                <w:szCs w:val="21"/>
              </w:rPr>
              <w:t>评价分值</w:t>
            </w:r>
          </w:p>
        </w:tc>
        <w:tc>
          <w:tcPr>
            <w:tcW w:w="1560" w:type="dxa"/>
            <w:noWrap w:val="0"/>
            <w:vAlign w:val="center"/>
          </w:tcPr>
          <w:p>
            <w:pPr>
              <w:jc w:val="center"/>
              <w:rPr>
                <w:rFonts w:ascii="Times New Roman" w:hAnsi="Times New Roman"/>
                <w:b/>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5" w:type="dxa"/>
            <w:vMerge w:val="restart"/>
            <w:noWrap w:val="0"/>
            <w:vAlign w:val="center"/>
          </w:tcPr>
          <w:p>
            <w:pPr>
              <w:jc w:val="center"/>
              <w:rPr>
                <w:rFonts w:ascii="Times New Roman" w:hAnsi="Times New Roman"/>
              </w:rPr>
            </w:pPr>
            <w:r>
              <w:rPr>
                <w:rFonts w:ascii="Times New Roman" w:hAnsi="Times New Roman"/>
              </w:rPr>
              <w:t>1</w:t>
            </w:r>
          </w:p>
        </w:tc>
        <w:tc>
          <w:tcPr>
            <w:tcW w:w="1846" w:type="dxa"/>
            <w:vMerge w:val="restart"/>
            <w:noWrap w:val="0"/>
            <w:vAlign w:val="center"/>
          </w:tcPr>
          <w:p>
            <w:pPr>
              <w:jc w:val="left"/>
              <w:rPr>
                <w:rFonts w:ascii="Times New Roman" w:hAnsi="Times New Roman"/>
              </w:rPr>
            </w:pPr>
            <w:r>
              <w:rPr>
                <w:rFonts w:ascii="Times New Roman" w:hAnsi="Times New Roman"/>
              </w:rPr>
              <w:t>构件及相邻房间之间的空气声隔声性能</w:t>
            </w:r>
          </w:p>
        </w:tc>
        <w:tc>
          <w:tcPr>
            <w:tcW w:w="3257" w:type="dxa"/>
            <w:noWrap w:val="0"/>
            <w:vAlign w:val="center"/>
          </w:tcPr>
          <w:p>
            <w:pPr>
              <w:jc w:val="left"/>
              <w:rPr>
                <w:rFonts w:ascii="Times New Roman" w:hAnsi="Times New Roman"/>
              </w:rPr>
            </w:pPr>
            <w:r>
              <w:rPr>
                <w:rFonts w:ascii="Times New Roman" w:hAnsi="Times New Roman"/>
              </w:rPr>
              <w:t>高于低限标准限值和高要求标准限值的平均值</w:t>
            </w:r>
          </w:p>
        </w:tc>
        <w:tc>
          <w:tcPr>
            <w:tcW w:w="1842" w:type="dxa"/>
            <w:noWrap w:val="0"/>
            <w:vAlign w:val="center"/>
          </w:tcPr>
          <w:p>
            <w:pPr>
              <w:jc w:val="center"/>
              <w:rPr>
                <w:rFonts w:ascii="Times New Roman" w:hAnsi="Times New Roman"/>
              </w:rPr>
            </w:pPr>
            <w:r>
              <w:rPr>
                <w:rFonts w:ascii="Times New Roman" w:hAnsi="Times New Roman"/>
              </w:rPr>
              <w:t>3</w:t>
            </w:r>
          </w:p>
        </w:tc>
        <w:tc>
          <w:tcPr>
            <w:tcW w:w="1560" w:type="dxa"/>
            <w:vMerge w:val="restart"/>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5" w:type="dxa"/>
            <w:vMerge w:val="continue"/>
            <w:noWrap w:val="0"/>
            <w:vAlign w:val="center"/>
          </w:tcPr>
          <w:p>
            <w:pPr>
              <w:jc w:val="center"/>
              <w:rPr>
                <w:rFonts w:ascii="Times New Roman" w:hAnsi="Times New Roman"/>
              </w:rPr>
            </w:pPr>
          </w:p>
        </w:tc>
        <w:tc>
          <w:tcPr>
            <w:tcW w:w="1846" w:type="dxa"/>
            <w:vMerge w:val="continue"/>
            <w:noWrap w:val="0"/>
            <w:vAlign w:val="center"/>
          </w:tcPr>
          <w:p>
            <w:pPr>
              <w:jc w:val="left"/>
              <w:rPr>
                <w:rFonts w:ascii="Times New Roman" w:hAnsi="Times New Roman"/>
              </w:rPr>
            </w:pPr>
          </w:p>
        </w:tc>
        <w:tc>
          <w:tcPr>
            <w:tcW w:w="3257" w:type="dxa"/>
            <w:noWrap w:val="0"/>
            <w:vAlign w:val="center"/>
          </w:tcPr>
          <w:p>
            <w:pPr>
              <w:jc w:val="left"/>
              <w:rPr>
                <w:rFonts w:ascii="Times New Roman" w:hAnsi="Times New Roman"/>
              </w:rPr>
            </w:pPr>
            <w:r>
              <w:rPr>
                <w:rFonts w:ascii="Times New Roman" w:hAnsi="Times New Roman"/>
              </w:rPr>
              <w:t>高要求标准限值</w:t>
            </w:r>
          </w:p>
        </w:tc>
        <w:tc>
          <w:tcPr>
            <w:tcW w:w="1842" w:type="dxa"/>
            <w:noWrap w:val="0"/>
            <w:vAlign w:val="center"/>
          </w:tcPr>
          <w:p>
            <w:pPr>
              <w:jc w:val="center"/>
              <w:rPr>
                <w:rFonts w:ascii="Times New Roman" w:hAnsi="Times New Roman"/>
              </w:rPr>
            </w:pPr>
            <w:r>
              <w:rPr>
                <w:rFonts w:ascii="Times New Roman" w:hAnsi="Times New Roman"/>
              </w:rPr>
              <w:t>5</w:t>
            </w:r>
          </w:p>
        </w:tc>
        <w:tc>
          <w:tcPr>
            <w:tcW w:w="1560" w:type="dxa"/>
            <w:vMerge w:val="continue"/>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5" w:type="dxa"/>
            <w:vMerge w:val="restart"/>
            <w:noWrap w:val="0"/>
            <w:vAlign w:val="center"/>
          </w:tcPr>
          <w:p>
            <w:pPr>
              <w:jc w:val="center"/>
              <w:rPr>
                <w:rFonts w:ascii="Times New Roman" w:hAnsi="Times New Roman"/>
              </w:rPr>
            </w:pPr>
            <w:r>
              <w:rPr>
                <w:rFonts w:ascii="Times New Roman" w:hAnsi="Times New Roman"/>
              </w:rPr>
              <w:t>2</w:t>
            </w:r>
          </w:p>
        </w:tc>
        <w:tc>
          <w:tcPr>
            <w:tcW w:w="1846" w:type="dxa"/>
            <w:vMerge w:val="restart"/>
            <w:noWrap w:val="0"/>
            <w:vAlign w:val="center"/>
          </w:tcPr>
          <w:p>
            <w:pPr>
              <w:jc w:val="left"/>
              <w:rPr>
                <w:rFonts w:ascii="Times New Roman" w:hAnsi="Times New Roman"/>
              </w:rPr>
            </w:pPr>
            <w:r>
              <w:rPr>
                <w:rFonts w:ascii="Times New Roman" w:hAnsi="Times New Roman"/>
              </w:rPr>
              <w:t>楼板的撞击声隔声性能</w:t>
            </w:r>
          </w:p>
        </w:tc>
        <w:tc>
          <w:tcPr>
            <w:tcW w:w="3257" w:type="dxa"/>
            <w:noWrap w:val="0"/>
            <w:vAlign w:val="center"/>
          </w:tcPr>
          <w:p>
            <w:pPr>
              <w:jc w:val="left"/>
              <w:rPr>
                <w:rFonts w:ascii="Times New Roman" w:hAnsi="Times New Roman"/>
              </w:rPr>
            </w:pPr>
            <w:r>
              <w:rPr>
                <w:rFonts w:ascii="Times New Roman" w:hAnsi="Times New Roman"/>
              </w:rPr>
              <w:t>低限标准限值和高要求标准限值的平均值</w:t>
            </w:r>
          </w:p>
        </w:tc>
        <w:tc>
          <w:tcPr>
            <w:tcW w:w="1842" w:type="dxa"/>
            <w:noWrap w:val="0"/>
            <w:vAlign w:val="center"/>
          </w:tcPr>
          <w:p>
            <w:pPr>
              <w:jc w:val="center"/>
              <w:rPr>
                <w:rFonts w:ascii="Times New Roman" w:hAnsi="Times New Roman"/>
              </w:rPr>
            </w:pPr>
            <w:r>
              <w:rPr>
                <w:rFonts w:ascii="Times New Roman" w:hAnsi="Times New Roman"/>
              </w:rPr>
              <w:t>3</w:t>
            </w:r>
          </w:p>
        </w:tc>
        <w:tc>
          <w:tcPr>
            <w:tcW w:w="1560" w:type="dxa"/>
            <w:vMerge w:val="restart"/>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5" w:type="dxa"/>
            <w:vMerge w:val="continue"/>
            <w:noWrap w:val="0"/>
            <w:vAlign w:val="center"/>
          </w:tcPr>
          <w:p>
            <w:pPr>
              <w:jc w:val="center"/>
              <w:rPr>
                <w:rFonts w:ascii="Times New Roman" w:hAnsi="Times New Roman"/>
              </w:rPr>
            </w:pPr>
          </w:p>
        </w:tc>
        <w:tc>
          <w:tcPr>
            <w:tcW w:w="1846" w:type="dxa"/>
            <w:vMerge w:val="continue"/>
            <w:noWrap w:val="0"/>
            <w:vAlign w:val="center"/>
          </w:tcPr>
          <w:p>
            <w:pPr>
              <w:jc w:val="center"/>
              <w:rPr>
                <w:rFonts w:ascii="Times New Roman" w:hAnsi="Times New Roman"/>
              </w:rPr>
            </w:pPr>
          </w:p>
        </w:tc>
        <w:tc>
          <w:tcPr>
            <w:tcW w:w="3257" w:type="dxa"/>
            <w:noWrap w:val="0"/>
            <w:vAlign w:val="center"/>
          </w:tcPr>
          <w:p>
            <w:pPr>
              <w:jc w:val="left"/>
              <w:rPr>
                <w:rFonts w:ascii="Times New Roman" w:hAnsi="Times New Roman"/>
              </w:rPr>
            </w:pPr>
            <w:r>
              <w:rPr>
                <w:rFonts w:ascii="Times New Roman" w:hAnsi="Times New Roman"/>
              </w:rPr>
              <w:t>高要求标准限值</w:t>
            </w:r>
          </w:p>
        </w:tc>
        <w:tc>
          <w:tcPr>
            <w:tcW w:w="1842" w:type="dxa"/>
            <w:noWrap w:val="0"/>
            <w:vAlign w:val="center"/>
          </w:tcPr>
          <w:p>
            <w:pPr>
              <w:jc w:val="center"/>
              <w:rPr>
                <w:rFonts w:ascii="Times New Roman" w:hAnsi="Times New Roman"/>
              </w:rPr>
            </w:pPr>
            <w:r>
              <w:rPr>
                <w:rFonts w:ascii="Times New Roman" w:hAnsi="Times New Roman"/>
              </w:rPr>
              <w:t>5</w:t>
            </w:r>
          </w:p>
        </w:tc>
        <w:tc>
          <w:tcPr>
            <w:tcW w:w="1560" w:type="dxa"/>
            <w:vMerge w:val="continue"/>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5" w:type="dxa"/>
            <w:noWrap w:val="0"/>
            <w:vAlign w:val="center"/>
          </w:tcPr>
          <w:p>
            <w:pPr>
              <w:jc w:val="center"/>
              <w:rPr>
                <w:rFonts w:ascii="Times New Roman" w:hAnsi="Times New Roman"/>
              </w:rPr>
            </w:pPr>
            <w:r>
              <w:rPr>
                <w:rFonts w:ascii="Times New Roman" w:hAnsi="Times New Roman"/>
              </w:rPr>
              <w:t>3</w:t>
            </w:r>
          </w:p>
        </w:tc>
        <w:tc>
          <w:tcPr>
            <w:tcW w:w="5103" w:type="dxa"/>
            <w:gridSpan w:val="2"/>
            <w:noWrap w:val="0"/>
            <w:vAlign w:val="center"/>
          </w:tcPr>
          <w:p>
            <w:pPr>
              <w:jc w:val="center"/>
              <w:rPr>
                <w:rFonts w:ascii="Times New Roman" w:hAnsi="Times New Roman"/>
              </w:rPr>
            </w:pPr>
            <w:r>
              <w:rPr>
                <w:rFonts w:ascii="Times New Roman" w:hAnsi="Times New Roman"/>
              </w:rPr>
              <w:t>商业建筑无噪声敏感房间</w:t>
            </w:r>
          </w:p>
        </w:tc>
        <w:tc>
          <w:tcPr>
            <w:tcW w:w="1842" w:type="dxa"/>
            <w:noWrap w:val="0"/>
            <w:vAlign w:val="center"/>
          </w:tcPr>
          <w:p>
            <w:pPr>
              <w:jc w:val="center"/>
              <w:rPr>
                <w:rFonts w:ascii="Times New Roman" w:hAnsi="Times New Roman"/>
              </w:rPr>
            </w:pPr>
            <w:r>
              <w:rPr>
                <w:rFonts w:ascii="Times New Roman" w:hAnsi="Times New Roman"/>
              </w:rPr>
              <w:t>不参评</w:t>
            </w:r>
          </w:p>
        </w:tc>
        <w:tc>
          <w:tcPr>
            <w:tcW w:w="1560"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998" w:type="dxa"/>
            <w:gridSpan w:val="3"/>
            <w:noWrap w:val="0"/>
            <w:vAlign w:val="center"/>
          </w:tcPr>
          <w:p>
            <w:pPr>
              <w:jc w:val="center"/>
              <w:rPr>
                <w:rFonts w:ascii="Times New Roman" w:hAnsi="Times New Roman"/>
              </w:rPr>
            </w:pPr>
            <w:r>
              <w:rPr>
                <w:rFonts w:ascii="Times New Roman" w:hAnsi="Times New Roman"/>
              </w:rPr>
              <w:t>合计</w:t>
            </w:r>
          </w:p>
        </w:tc>
        <w:tc>
          <w:tcPr>
            <w:tcW w:w="1842" w:type="dxa"/>
            <w:noWrap w:val="0"/>
            <w:vAlign w:val="center"/>
          </w:tcPr>
          <w:p>
            <w:pPr>
              <w:jc w:val="center"/>
              <w:rPr>
                <w:rFonts w:ascii="Times New Roman" w:hAnsi="Times New Roman"/>
              </w:rPr>
            </w:pPr>
            <w:r>
              <w:rPr>
                <w:rFonts w:ascii="Times New Roman" w:hAnsi="Times New Roman"/>
              </w:rPr>
              <w:t>10</w:t>
            </w:r>
          </w:p>
        </w:tc>
        <w:tc>
          <w:tcPr>
            <w:tcW w:w="1560" w:type="dxa"/>
            <w:noWrap w:val="0"/>
            <w:vAlign w:val="center"/>
          </w:tcPr>
          <w:p>
            <w:pPr>
              <w:jc w:val="center"/>
              <w:rPr>
                <w:rFonts w:ascii="Times New Roman" w:hAnsi="Times New Roma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rPr>
        <w:t>请简要说明建筑围护结构的构造做法和隔声效果。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r>
        <w:rPr>
          <w:rFonts w:hint="eastAsia"/>
        </w:rPr>
        <w:t>主要功能房间外墙、隔墙、楼板以及门窗隔声性能列表</w:t>
      </w:r>
    </w:p>
    <w:tbl>
      <w:tblPr>
        <w:tblStyle w:val="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841"/>
        <w:gridCol w:w="1843"/>
        <w:gridCol w:w="1732"/>
        <w:gridCol w:w="1530"/>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restart"/>
            <w:noWrap w:val="0"/>
            <w:vAlign w:val="center"/>
          </w:tcPr>
          <w:p>
            <w:pPr>
              <w:adjustRightInd w:val="0"/>
              <w:snapToGrid w:val="0"/>
              <w:jc w:val="center"/>
              <w:rPr>
                <w:kern w:val="0"/>
              </w:rPr>
            </w:pPr>
            <w:r>
              <w:rPr>
                <w:rFonts w:hint="eastAsia"/>
                <w:kern w:val="0"/>
              </w:rPr>
              <w:t>空气声隔声性能</w:t>
            </w:r>
          </w:p>
        </w:tc>
        <w:tc>
          <w:tcPr>
            <w:tcW w:w="976" w:type="pct"/>
            <w:noWrap w:val="0"/>
            <w:vAlign w:val="center"/>
          </w:tcPr>
          <w:p>
            <w:pPr>
              <w:jc w:val="center"/>
              <w:rPr>
                <w:kern w:val="0"/>
              </w:rPr>
            </w:pPr>
            <w:r>
              <w:rPr>
                <w:rFonts w:hint="eastAsia"/>
                <w:kern w:val="0"/>
              </w:rPr>
              <w:t>主要功能房间</w:t>
            </w:r>
          </w:p>
        </w:tc>
        <w:tc>
          <w:tcPr>
            <w:tcW w:w="977" w:type="pct"/>
            <w:noWrap w:val="0"/>
            <w:vAlign w:val="center"/>
          </w:tcPr>
          <w:p>
            <w:pPr>
              <w:jc w:val="center"/>
              <w:rPr>
                <w:kern w:val="0"/>
              </w:rPr>
            </w:pPr>
            <w:r>
              <w:rPr>
                <w:rFonts w:hint="eastAsia"/>
                <w:kern w:val="0"/>
              </w:rPr>
              <w:t>构件类型</w:t>
            </w:r>
          </w:p>
        </w:tc>
        <w:tc>
          <w:tcPr>
            <w:tcW w:w="918" w:type="pct"/>
            <w:noWrap w:val="0"/>
            <w:vAlign w:val="center"/>
          </w:tcPr>
          <w:p>
            <w:pPr>
              <w:jc w:val="center"/>
              <w:rPr>
                <w:kern w:val="0"/>
              </w:rPr>
            </w:pPr>
            <w:r>
              <w:rPr>
                <w:rFonts w:hint="eastAsia"/>
                <w:kern w:val="0"/>
              </w:rPr>
              <w:t>隔声值</w:t>
            </w:r>
          </w:p>
          <w:p>
            <w:pPr>
              <w:jc w:val="center"/>
              <w:rPr>
                <w:kern w:val="0"/>
              </w:rPr>
            </w:pPr>
            <w:r>
              <w:t>[dB(A</w:t>
            </w:r>
            <w:r>
              <w:rPr>
                <w:rFonts w:hint="eastAsia"/>
              </w:rPr>
              <w:t>)</w:t>
            </w:r>
            <w:r>
              <w:t>]</w:t>
            </w:r>
          </w:p>
        </w:tc>
        <w:tc>
          <w:tcPr>
            <w:tcW w:w="811" w:type="pct"/>
            <w:noWrap w:val="0"/>
            <w:vAlign w:val="top"/>
          </w:tcPr>
          <w:p>
            <w:pPr>
              <w:jc w:val="center"/>
              <w:rPr>
                <w:kern w:val="0"/>
              </w:rPr>
            </w:pPr>
            <w:r>
              <w:rPr>
                <w:rFonts w:hint="eastAsia"/>
                <w:kern w:val="0"/>
              </w:rPr>
              <w:t>高、低限值平均值</w:t>
            </w:r>
            <w:r>
              <w:t>[dB(A</w:t>
            </w:r>
            <w:r>
              <w:rPr>
                <w:rFonts w:hint="eastAsia"/>
              </w:rPr>
              <w:t>)</w:t>
            </w:r>
            <w:r>
              <w:t>]</w:t>
            </w:r>
          </w:p>
        </w:tc>
        <w:tc>
          <w:tcPr>
            <w:tcW w:w="874" w:type="pct"/>
            <w:noWrap w:val="0"/>
            <w:vAlign w:val="center"/>
          </w:tcPr>
          <w:p>
            <w:pPr>
              <w:jc w:val="center"/>
              <w:rPr>
                <w:kern w:val="0"/>
              </w:rPr>
            </w:pPr>
            <w:r>
              <w:rPr>
                <w:rFonts w:hint="eastAsia"/>
              </w:rPr>
              <w:t>高要求</w:t>
            </w:r>
            <w:r>
              <w:rPr>
                <w:rFonts w:hint="eastAsia"/>
                <w:kern w:val="0"/>
              </w:rPr>
              <w:t>标准限值</w:t>
            </w:r>
            <w:r>
              <w:t>[dB(A</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continue"/>
            <w:noWrap w:val="0"/>
            <w:vAlign w:val="center"/>
          </w:tcPr>
          <w:p>
            <w:pPr>
              <w:adjustRightInd w:val="0"/>
              <w:snapToGrid w:val="0"/>
              <w:jc w:val="center"/>
              <w:rPr>
                <w:kern w:val="0"/>
              </w:rPr>
            </w:pPr>
          </w:p>
        </w:tc>
        <w:tc>
          <w:tcPr>
            <w:tcW w:w="976"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77"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18" w:type="pct"/>
            <w:noWrap w:val="0"/>
            <w:vAlign w:val="top"/>
          </w:tcPr>
          <w:p>
            <w:pPr>
              <w:adjustRightInd w:val="0"/>
              <w:snapToGrid w:val="0"/>
              <w:jc w:val="center"/>
              <w:rPr>
                <w:kern w:val="0"/>
              </w:rPr>
            </w:pPr>
            <w:r>
              <w:rPr>
                <w:rFonts w:hint="eastAsia" w:ascii="Times New Roman" w:hAnsi="Times New Roman"/>
                <w:szCs w:val="21"/>
              </w:rPr>
              <w:t xml:space="preserve">  </w:t>
            </w:r>
          </w:p>
        </w:tc>
        <w:tc>
          <w:tcPr>
            <w:tcW w:w="811" w:type="pct"/>
            <w:noWrap w:val="0"/>
            <w:vAlign w:val="top"/>
          </w:tcPr>
          <w:p>
            <w:pPr>
              <w:adjustRightInd w:val="0"/>
              <w:snapToGrid w:val="0"/>
              <w:jc w:val="center"/>
              <w:rPr>
                <w:kern w:val="0"/>
              </w:rPr>
            </w:pPr>
            <w:r>
              <w:rPr>
                <w:rFonts w:hint="eastAsia" w:ascii="Times New Roman" w:hAnsi="Times New Roman"/>
                <w:szCs w:val="21"/>
              </w:rPr>
              <w:t xml:space="preserve">  </w:t>
            </w:r>
          </w:p>
        </w:tc>
        <w:tc>
          <w:tcPr>
            <w:tcW w:w="874" w:type="pct"/>
            <w:noWrap w:val="0"/>
            <w:vAlign w:val="top"/>
          </w:tcPr>
          <w:p>
            <w:pPr>
              <w:adjustRightInd w:val="0"/>
              <w:snapToGrid w:val="0"/>
              <w:jc w:val="center"/>
              <w:rPr>
                <w:kern w:val="0"/>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continue"/>
            <w:noWrap w:val="0"/>
            <w:vAlign w:val="center"/>
          </w:tcPr>
          <w:p>
            <w:pPr>
              <w:adjustRightInd w:val="0"/>
              <w:snapToGrid w:val="0"/>
              <w:jc w:val="center"/>
              <w:rPr>
                <w:kern w:val="0"/>
              </w:rPr>
            </w:pPr>
          </w:p>
        </w:tc>
        <w:tc>
          <w:tcPr>
            <w:tcW w:w="976"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77"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18" w:type="pct"/>
            <w:noWrap w:val="0"/>
            <w:vAlign w:val="top"/>
          </w:tcPr>
          <w:p>
            <w:pPr>
              <w:adjustRightInd w:val="0"/>
              <w:snapToGrid w:val="0"/>
              <w:jc w:val="center"/>
              <w:rPr>
                <w:kern w:val="0"/>
              </w:rPr>
            </w:pPr>
            <w:r>
              <w:rPr>
                <w:rFonts w:hint="eastAsia" w:ascii="Times New Roman" w:hAnsi="Times New Roman"/>
                <w:szCs w:val="21"/>
              </w:rPr>
              <w:t xml:space="preserve">  </w:t>
            </w:r>
          </w:p>
        </w:tc>
        <w:tc>
          <w:tcPr>
            <w:tcW w:w="811" w:type="pct"/>
            <w:noWrap w:val="0"/>
            <w:vAlign w:val="top"/>
          </w:tcPr>
          <w:p>
            <w:pPr>
              <w:adjustRightInd w:val="0"/>
              <w:snapToGrid w:val="0"/>
              <w:jc w:val="center"/>
              <w:rPr>
                <w:kern w:val="0"/>
              </w:rPr>
            </w:pPr>
            <w:r>
              <w:rPr>
                <w:rFonts w:hint="eastAsia" w:ascii="Times New Roman" w:hAnsi="Times New Roman"/>
                <w:szCs w:val="21"/>
              </w:rPr>
              <w:t xml:space="preserve">  </w:t>
            </w:r>
          </w:p>
        </w:tc>
        <w:tc>
          <w:tcPr>
            <w:tcW w:w="874" w:type="pct"/>
            <w:noWrap w:val="0"/>
            <w:vAlign w:val="top"/>
          </w:tcPr>
          <w:p>
            <w:pPr>
              <w:adjustRightInd w:val="0"/>
              <w:snapToGrid w:val="0"/>
              <w:jc w:val="center"/>
              <w:rPr>
                <w:kern w:val="0"/>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continue"/>
            <w:noWrap w:val="0"/>
            <w:vAlign w:val="center"/>
          </w:tcPr>
          <w:p>
            <w:pPr>
              <w:adjustRightInd w:val="0"/>
              <w:snapToGrid w:val="0"/>
              <w:jc w:val="center"/>
              <w:rPr>
                <w:kern w:val="0"/>
              </w:rPr>
            </w:pPr>
          </w:p>
        </w:tc>
        <w:tc>
          <w:tcPr>
            <w:tcW w:w="976"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77"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18" w:type="pct"/>
            <w:noWrap w:val="0"/>
            <w:vAlign w:val="top"/>
          </w:tcPr>
          <w:p>
            <w:pPr>
              <w:adjustRightInd w:val="0"/>
              <w:snapToGrid w:val="0"/>
              <w:jc w:val="center"/>
              <w:rPr>
                <w:kern w:val="0"/>
              </w:rPr>
            </w:pPr>
            <w:r>
              <w:rPr>
                <w:rFonts w:hint="eastAsia" w:ascii="Times New Roman" w:hAnsi="Times New Roman"/>
                <w:szCs w:val="21"/>
              </w:rPr>
              <w:t xml:space="preserve">  </w:t>
            </w:r>
          </w:p>
        </w:tc>
        <w:tc>
          <w:tcPr>
            <w:tcW w:w="811" w:type="pct"/>
            <w:noWrap w:val="0"/>
            <w:vAlign w:val="top"/>
          </w:tcPr>
          <w:p>
            <w:pPr>
              <w:adjustRightInd w:val="0"/>
              <w:snapToGrid w:val="0"/>
              <w:jc w:val="center"/>
              <w:rPr>
                <w:kern w:val="0"/>
              </w:rPr>
            </w:pPr>
            <w:r>
              <w:rPr>
                <w:rFonts w:hint="eastAsia" w:ascii="Times New Roman" w:hAnsi="Times New Roman"/>
                <w:szCs w:val="21"/>
              </w:rPr>
              <w:t xml:space="preserve">  </w:t>
            </w:r>
          </w:p>
        </w:tc>
        <w:tc>
          <w:tcPr>
            <w:tcW w:w="874" w:type="pct"/>
            <w:noWrap w:val="0"/>
            <w:vAlign w:val="top"/>
          </w:tcPr>
          <w:p>
            <w:pPr>
              <w:adjustRightInd w:val="0"/>
              <w:snapToGrid w:val="0"/>
              <w:jc w:val="center"/>
              <w:rPr>
                <w:kern w:val="0"/>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continue"/>
            <w:noWrap w:val="0"/>
            <w:vAlign w:val="center"/>
          </w:tcPr>
          <w:p>
            <w:pPr>
              <w:adjustRightInd w:val="0"/>
              <w:snapToGrid w:val="0"/>
              <w:jc w:val="center"/>
              <w:rPr>
                <w:kern w:val="0"/>
              </w:rPr>
            </w:pPr>
          </w:p>
        </w:tc>
        <w:tc>
          <w:tcPr>
            <w:tcW w:w="976"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77"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18" w:type="pct"/>
            <w:noWrap w:val="0"/>
            <w:vAlign w:val="top"/>
          </w:tcPr>
          <w:p>
            <w:pPr>
              <w:adjustRightInd w:val="0"/>
              <w:snapToGrid w:val="0"/>
              <w:jc w:val="center"/>
              <w:rPr>
                <w:kern w:val="0"/>
              </w:rPr>
            </w:pPr>
            <w:r>
              <w:rPr>
                <w:rFonts w:hint="eastAsia" w:ascii="Times New Roman" w:hAnsi="Times New Roman"/>
                <w:szCs w:val="21"/>
              </w:rPr>
              <w:t xml:space="preserve">  </w:t>
            </w:r>
          </w:p>
        </w:tc>
        <w:tc>
          <w:tcPr>
            <w:tcW w:w="811" w:type="pct"/>
            <w:noWrap w:val="0"/>
            <w:vAlign w:val="top"/>
          </w:tcPr>
          <w:p>
            <w:pPr>
              <w:adjustRightInd w:val="0"/>
              <w:snapToGrid w:val="0"/>
              <w:jc w:val="center"/>
              <w:rPr>
                <w:kern w:val="0"/>
              </w:rPr>
            </w:pPr>
            <w:r>
              <w:rPr>
                <w:rFonts w:hint="eastAsia" w:ascii="Times New Roman" w:hAnsi="Times New Roman"/>
                <w:szCs w:val="21"/>
              </w:rPr>
              <w:t xml:space="preserve">  </w:t>
            </w:r>
          </w:p>
        </w:tc>
        <w:tc>
          <w:tcPr>
            <w:tcW w:w="874" w:type="pct"/>
            <w:noWrap w:val="0"/>
            <w:vAlign w:val="top"/>
          </w:tcPr>
          <w:p>
            <w:pPr>
              <w:adjustRightInd w:val="0"/>
              <w:snapToGrid w:val="0"/>
              <w:jc w:val="center"/>
              <w:rPr>
                <w:kern w:val="0"/>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restart"/>
            <w:noWrap w:val="0"/>
            <w:vAlign w:val="center"/>
          </w:tcPr>
          <w:p>
            <w:pPr>
              <w:adjustRightInd w:val="0"/>
              <w:snapToGrid w:val="0"/>
              <w:jc w:val="center"/>
              <w:rPr>
                <w:kern w:val="0"/>
              </w:rPr>
            </w:pPr>
            <w:r>
              <w:rPr>
                <w:rFonts w:hint="eastAsia"/>
              </w:rPr>
              <w:t>楼板撞击声性能</w:t>
            </w:r>
          </w:p>
        </w:tc>
        <w:tc>
          <w:tcPr>
            <w:tcW w:w="976" w:type="pct"/>
            <w:noWrap w:val="0"/>
            <w:vAlign w:val="center"/>
          </w:tcPr>
          <w:p>
            <w:pPr>
              <w:jc w:val="center"/>
              <w:rPr>
                <w:kern w:val="0"/>
              </w:rPr>
            </w:pPr>
            <w:r>
              <w:rPr>
                <w:rFonts w:hint="eastAsia"/>
                <w:kern w:val="0"/>
              </w:rPr>
              <w:t>主要功能房间</w:t>
            </w:r>
          </w:p>
        </w:tc>
        <w:tc>
          <w:tcPr>
            <w:tcW w:w="977" w:type="pct"/>
            <w:noWrap w:val="0"/>
            <w:vAlign w:val="center"/>
          </w:tcPr>
          <w:p>
            <w:pPr>
              <w:jc w:val="center"/>
              <w:rPr>
                <w:kern w:val="0"/>
              </w:rPr>
            </w:pPr>
            <w:r>
              <w:rPr>
                <w:rFonts w:hint="eastAsia"/>
                <w:kern w:val="0"/>
              </w:rPr>
              <w:t>楼板部位</w:t>
            </w:r>
          </w:p>
        </w:tc>
        <w:tc>
          <w:tcPr>
            <w:tcW w:w="918" w:type="pct"/>
            <w:noWrap w:val="0"/>
            <w:vAlign w:val="top"/>
          </w:tcPr>
          <w:p>
            <w:pPr>
              <w:jc w:val="center"/>
              <w:rPr>
                <w:kern w:val="0"/>
              </w:rPr>
            </w:pPr>
            <w:r>
              <w:rPr>
                <w:rFonts w:hint="eastAsia"/>
                <w:kern w:val="0"/>
              </w:rPr>
              <w:t>撞击声隔声值</w:t>
            </w:r>
          </w:p>
          <w:p>
            <w:pPr>
              <w:jc w:val="center"/>
              <w:rPr>
                <w:kern w:val="0"/>
              </w:rPr>
            </w:pPr>
            <w:r>
              <w:rPr>
                <w:rFonts w:hint="eastAsia"/>
                <w:kern w:val="0"/>
              </w:rPr>
              <w:t>（</w:t>
            </w:r>
            <w:r>
              <w:rPr>
                <w:kern w:val="0"/>
              </w:rPr>
              <w:t>dB</w:t>
            </w:r>
            <w:r>
              <w:rPr>
                <w:rFonts w:hint="eastAsia"/>
                <w:kern w:val="0"/>
              </w:rPr>
              <w:t>）</w:t>
            </w:r>
          </w:p>
        </w:tc>
        <w:tc>
          <w:tcPr>
            <w:tcW w:w="811" w:type="pct"/>
            <w:noWrap w:val="0"/>
            <w:vAlign w:val="top"/>
          </w:tcPr>
          <w:p>
            <w:pPr>
              <w:jc w:val="center"/>
              <w:rPr>
                <w:kern w:val="0"/>
              </w:rPr>
            </w:pPr>
            <w:r>
              <w:rPr>
                <w:rFonts w:hint="eastAsia"/>
                <w:kern w:val="0"/>
              </w:rPr>
              <w:t>高、低限值平均值（</w:t>
            </w:r>
            <w:r>
              <w:rPr>
                <w:kern w:val="0"/>
              </w:rPr>
              <w:t>dB</w:t>
            </w:r>
            <w:r>
              <w:rPr>
                <w:rFonts w:hint="eastAsia"/>
                <w:kern w:val="0"/>
              </w:rPr>
              <w:t>）</w:t>
            </w:r>
          </w:p>
        </w:tc>
        <w:tc>
          <w:tcPr>
            <w:tcW w:w="874" w:type="pct"/>
            <w:noWrap w:val="0"/>
            <w:vAlign w:val="top"/>
          </w:tcPr>
          <w:p>
            <w:pPr>
              <w:jc w:val="center"/>
              <w:rPr>
                <w:kern w:val="0"/>
              </w:rPr>
            </w:pPr>
            <w:r>
              <w:rPr>
                <w:rFonts w:hint="eastAsia"/>
              </w:rPr>
              <w:t>高要求</w:t>
            </w:r>
            <w:r>
              <w:rPr>
                <w:rFonts w:hint="eastAsia"/>
                <w:kern w:val="0"/>
              </w:rPr>
              <w:t>标准限值（</w:t>
            </w:r>
            <w:r>
              <w:rPr>
                <w:kern w:val="0"/>
              </w:rPr>
              <w:t>dB</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continue"/>
            <w:noWrap w:val="0"/>
            <w:vAlign w:val="top"/>
          </w:tcPr>
          <w:p>
            <w:pPr>
              <w:adjustRightInd w:val="0"/>
              <w:snapToGrid w:val="0"/>
              <w:rPr>
                <w:kern w:val="0"/>
              </w:rPr>
            </w:pPr>
          </w:p>
        </w:tc>
        <w:tc>
          <w:tcPr>
            <w:tcW w:w="976"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77"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18" w:type="pct"/>
            <w:noWrap w:val="0"/>
            <w:vAlign w:val="top"/>
          </w:tcPr>
          <w:p>
            <w:pPr>
              <w:adjustRightInd w:val="0"/>
              <w:snapToGrid w:val="0"/>
              <w:jc w:val="center"/>
              <w:rPr>
                <w:kern w:val="0"/>
              </w:rPr>
            </w:pPr>
            <w:r>
              <w:rPr>
                <w:rFonts w:hint="eastAsia" w:ascii="Times New Roman" w:hAnsi="Times New Roman"/>
                <w:szCs w:val="21"/>
              </w:rPr>
              <w:t xml:space="preserve">  </w:t>
            </w:r>
          </w:p>
        </w:tc>
        <w:tc>
          <w:tcPr>
            <w:tcW w:w="811" w:type="pct"/>
            <w:noWrap w:val="0"/>
            <w:vAlign w:val="top"/>
          </w:tcPr>
          <w:p>
            <w:pPr>
              <w:adjustRightInd w:val="0"/>
              <w:snapToGrid w:val="0"/>
              <w:jc w:val="center"/>
              <w:rPr>
                <w:kern w:val="0"/>
              </w:rPr>
            </w:pPr>
            <w:r>
              <w:rPr>
                <w:rFonts w:hint="eastAsia" w:ascii="Times New Roman" w:hAnsi="Times New Roman"/>
                <w:szCs w:val="21"/>
              </w:rPr>
              <w:t xml:space="preserve">  </w:t>
            </w:r>
          </w:p>
        </w:tc>
        <w:tc>
          <w:tcPr>
            <w:tcW w:w="874" w:type="pct"/>
            <w:noWrap w:val="0"/>
            <w:vAlign w:val="top"/>
          </w:tcPr>
          <w:p>
            <w:pPr>
              <w:adjustRightInd w:val="0"/>
              <w:snapToGrid w:val="0"/>
              <w:jc w:val="center"/>
              <w:rPr>
                <w:kern w:val="0"/>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continue"/>
            <w:noWrap w:val="0"/>
            <w:vAlign w:val="top"/>
          </w:tcPr>
          <w:p>
            <w:pPr>
              <w:adjustRightInd w:val="0"/>
              <w:snapToGrid w:val="0"/>
              <w:rPr>
                <w:kern w:val="0"/>
              </w:rPr>
            </w:pPr>
          </w:p>
        </w:tc>
        <w:tc>
          <w:tcPr>
            <w:tcW w:w="976"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77"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18" w:type="pct"/>
            <w:noWrap w:val="0"/>
            <w:vAlign w:val="top"/>
          </w:tcPr>
          <w:p>
            <w:pPr>
              <w:adjustRightInd w:val="0"/>
              <w:snapToGrid w:val="0"/>
              <w:jc w:val="center"/>
              <w:rPr>
                <w:kern w:val="0"/>
              </w:rPr>
            </w:pPr>
            <w:r>
              <w:rPr>
                <w:rFonts w:hint="eastAsia" w:ascii="Times New Roman" w:hAnsi="Times New Roman"/>
                <w:szCs w:val="21"/>
              </w:rPr>
              <w:t xml:space="preserve">  </w:t>
            </w:r>
          </w:p>
        </w:tc>
        <w:tc>
          <w:tcPr>
            <w:tcW w:w="811" w:type="pct"/>
            <w:noWrap w:val="0"/>
            <w:vAlign w:val="top"/>
          </w:tcPr>
          <w:p>
            <w:pPr>
              <w:adjustRightInd w:val="0"/>
              <w:snapToGrid w:val="0"/>
              <w:jc w:val="center"/>
              <w:rPr>
                <w:kern w:val="0"/>
              </w:rPr>
            </w:pPr>
            <w:r>
              <w:rPr>
                <w:rFonts w:hint="eastAsia" w:ascii="Times New Roman" w:hAnsi="Times New Roman"/>
                <w:szCs w:val="21"/>
              </w:rPr>
              <w:t xml:space="preserve">  </w:t>
            </w:r>
          </w:p>
        </w:tc>
        <w:tc>
          <w:tcPr>
            <w:tcW w:w="874" w:type="pct"/>
            <w:noWrap w:val="0"/>
            <w:vAlign w:val="top"/>
          </w:tcPr>
          <w:p>
            <w:pPr>
              <w:adjustRightInd w:val="0"/>
              <w:snapToGrid w:val="0"/>
              <w:jc w:val="center"/>
              <w:rPr>
                <w:kern w:val="0"/>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continue"/>
            <w:noWrap w:val="0"/>
            <w:vAlign w:val="top"/>
          </w:tcPr>
          <w:p>
            <w:pPr>
              <w:adjustRightInd w:val="0"/>
              <w:snapToGrid w:val="0"/>
              <w:rPr>
                <w:kern w:val="0"/>
              </w:rPr>
            </w:pPr>
          </w:p>
        </w:tc>
        <w:tc>
          <w:tcPr>
            <w:tcW w:w="976"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77"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18" w:type="pct"/>
            <w:noWrap w:val="0"/>
            <w:vAlign w:val="top"/>
          </w:tcPr>
          <w:p>
            <w:pPr>
              <w:adjustRightInd w:val="0"/>
              <w:snapToGrid w:val="0"/>
              <w:jc w:val="center"/>
              <w:rPr>
                <w:kern w:val="0"/>
              </w:rPr>
            </w:pPr>
            <w:r>
              <w:rPr>
                <w:rFonts w:hint="eastAsia" w:ascii="Times New Roman" w:hAnsi="Times New Roman"/>
                <w:szCs w:val="21"/>
              </w:rPr>
              <w:t xml:space="preserve">  </w:t>
            </w:r>
          </w:p>
        </w:tc>
        <w:tc>
          <w:tcPr>
            <w:tcW w:w="811" w:type="pct"/>
            <w:noWrap w:val="0"/>
            <w:vAlign w:val="top"/>
          </w:tcPr>
          <w:p>
            <w:pPr>
              <w:adjustRightInd w:val="0"/>
              <w:snapToGrid w:val="0"/>
              <w:jc w:val="center"/>
              <w:rPr>
                <w:kern w:val="0"/>
              </w:rPr>
            </w:pPr>
            <w:r>
              <w:rPr>
                <w:rFonts w:hint="eastAsia" w:ascii="Times New Roman" w:hAnsi="Times New Roman"/>
                <w:szCs w:val="21"/>
              </w:rPr>
              <w:t xml:space="preserve">  </w:t>
            </w:r>
          </w:p>
        </w:tc>
        <w:tc>
          <w:tcPr>
            <w:tcW w:w="874" w:type="pct"/>
            <w:noWrap w:val="0"/>
            <w:vAlign w:val="top"/>
          </w:tcPr>
          <w:p>
            <w:pPr>
              <w:adjustRightInd w:val="0"/>
              <w:snapToGrid w:val="0"/>
              <w:jc w:val="center"/>
              <w:rPr>
                <w:kern w:val="0"/>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444" w:type="pct"/>
            <w:vMerge w:val="continue"/>
            <w:noWrap w:val="0"/>
            <w:vAlign w:val="top"/>
          </w:tcPr>
          <w:p>
            <w:pPr>
              <w:adjustRightInd w:val="0"/>
              <w:snapToGrid w:val="0"/>
              <w:rPr>
                <w:kern w:val="0"/>
              </w:rPr>
            </w:pPr>
          </w:p>
        </w:tc>
        <w:tc>
          <w:tcPr>
            <w:tcW w:w="976"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77" w:type="pct"/>
            <w:noWrap w:val="0"/>
            <w:vAlign w:val="top"/>
          </w:tcPr>
          <w:p>
            <w:pPr>
              <w:adjustRightInd w:val="0"/>
              <w:snapToGrid w:val="0"/>
              <w:jc w:val="center"/>
              <w:rPr>
                <w:rFonts w:ascii="宋体" w:hAnsi="宋体"/>
                <w:kern w:val="0"/>
              </w:rPr>
            </w:pPr>
            <w:r>
              <w:rPr>
                <w:rFonts w:hint="eastAsia" w:ascii="宋体" w:hAnsi="宋体"/>
                <w:szCs w:val="21"/>
              </w:rPr>
              <w:t xml:space="preserve">  </w:t>
            </w:r>
          </w:p>
        </w:tc>
        <w:tc>
          <w:tcPr>
            <w:tcW w:w="918" w:type="pct"/>
            <w:noWrap w:val="0"/>
            <w:vAlign w:val="top"/>
          </w:tcPr>
          <w:p>
            <w:pPr>
              <w:adjustRightInd w:val="0"/>
              <w:snapToGrid w:val="0"/>
              <w:jc w:val="center"/>
              <w:rPr>
                <w:kern w:val="0"/>
              </w:rPr>
            </w:pPr>
            <w:r>
              <w:rPr>
                <w:rFonts w:hint="eastAsia" w:ascii="Times New Roman" w:hAnsi="Times New Roman"/>
                <w:szCs w:val="21"/>
              </w:rPr>
              <w:t xml:space="preserve">  </w:t>
            </w:r>
          </w:p>
        </w:tc>
        <w:tc>
          <w:tcPr>
            <w:tcW w:w="811" w:type="pct"/>
            <w:noWrap w:val="0"/>
            <w:vAlign w:val="top"/>
          </w:tcPr>
          <w:p>
            <w:pPr>
              <w:adjustRightInd w:val="0"/>
              <w:snapToGrid w:val="0"/>
              <w:jc w:val="center"/>
              <w:rPr>
                <w:kern w:val="0"/>
              </w:rPr>
            </w:pPr>
            <w:r>
              <w:rPr>
                <w:rFonts w:hint="eastAsia" w:ascii="Times New Roman" w:hAnsi="Times New Roman"/>
                <w:szCs w:val="21"/>
              </w:rPr>
              <w:t xml:space="preserve">  </w:t>
            </w:r>
          </w:p>
        </w:tc>
        <w:tc>
          <w:tcPr>
            <w:tcW w:w="874" w:type="pct"/>
            <w:noWrap w:val="0"/>
            <w:vAlign w:val="top"/>
          </w:tcPr>
          <w:p>
            <w:pPr>
              <w:adjustRightInd w:val="0"/>
              <w:snapToGrid w:val="0"/>
              <w:jc w:val="center"/>
              <w:rPr>
                <w:kern w:val="0"/>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bookmarkStart w:id="12" w:name="_Toc9944692"/>
      <w:bookmarkStart w:id="13" w:name="_Toc9944972"/>
      <w:bookmarkStart w:id="14" w:name="_Toc9945116"/>
      <w:bookmarkStart w:id="15" w:name="_Toc9945258"/>
      <w:bookmarkStart w:id="16" w:name="_Toc9945399"/>
      <w:r>
        <w:rPr>
          <w:rFonts w:ascii="Times New Roman" w:hAnsi="Times New Roman"/>
          <w:szCs w:val="21"/>
        </w:rPr>
        <w:t>1</w:t>
      </w:r>
      <w:r>
        <w:rPr>
          <w:rFonts w:hint="eastAsia" w:ascii="Times New Roman" w:hAnsi="Times New Roman"/>
          <w:szCs w:val="21"/>
        </w:rPr>
        <w:t>）建筑设计说明：应说明建筑围护结构类型，包括外墙构造形式、楼板构造形式，门窗类型</w:t>
      </w:r>
      <w:bookmarkEnd w:id="12"/>
      <w:bookmarkEnd w:id="13"/>
      <w:bookmarkEnd w:id="14"/>
      <w:bookmarkEnd w:id="15"/>
      <w:bookmarkEnd w:id="16"/>
      <w:r>
        <w:rPr>
          <w:rFonts w:hint="eastAsia" w:ascii="Times New Roman" w:hAnsi="Times New Roman"/>
          <w:szCs w:val="21"/>
        </w:rPr>
        <w:t>；</w:t>
      </w:r>
    </w:p>
    <w:p>
      <w:pPr>
        <w:rPr>
          <w:rFonts w:ascii="Times New Roman" w:hAnsi="Times New Roman"/>
          <w:szCs w:val="21"/>
        </w:rPr>
      </w:pPr>
      <w:bookmarkStart w:id="17" w:name="_Toc9944695"/>
      <w:bookmarkStart w:id="18" w:name="_Toc9944975"/>
      <w:bookmarkStart w:id="19" w:name="_Toc9945119"/>
      <w:bookmarkStart w:id="20" w:name="_Toc9945261"/>
      <w:bookmarkStart w:id="21" w:name="_Toc9945402"/>
      <w:r>
        <w:rPr>
          <w:rFonts w:hint="eastAsia" w:ascii="Times New Roman" w:hAnsi="Times New Roman"/>
          <w:szCs w:val="21"/>
        </w:rPr>
        <w:t>2）围护结构隔声性能检测和分析报告：其中门、窗应提供所选门窗隔声性能型式检验报告；外墙、隔墙以及楼板应提供隔声性能计算分析报告或者现场检验报告。</w:t>
      </w:r>
      <w:bookmarkEnd w:id="17"/>
      <w:bookmarkEnd w:id="18"/>
      <w:bookmarkEnd w:id="19"/>
      <w:bookmarkEnd w:id="20"/>
      <w:bookmarkEnd w:id="21"/>
    </w:p>
    <w:p/>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5.2.8</w:t>
      </w:r>
      <w:r>
        <w:rPr>
          <w:rFonts w:hint="eastAsia"/>
          <w:sz w:val="24"/>
          <w:szCs w:val="40"/>
        </w:rPr>
        <w:t xml:space="preserve"> </w:t>
      </w:r>
      <w:r>
        <w:rPr>
          <w:sz w:val="24"/>
          <w:szCs w:val="40"/>
        </w:rPr>
        <w:t>充分利用天然光。（12分）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7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063"/>
        <w:gridCol w:w="3187"/>
        <w:gridCol w:w="1533"/>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noWrap w:val="0"/>
            <w:vAlign w:val="center"/>
          </w:tcPr>
          <w:p>
            <w:pPr>
              <w:jc w:val="center"/>
              <w:rPr>
                <w:rFonts w:ascii="Times New Roman" w:hAnsi="Times New Roman"/>
                <w:szCs w:val="21"/>
              </w:rPr>
            </w:pPr>
            <w:r>
              <w:rPr>
                <w:rFonts w:ascii="Times New Roman" w:hAnsi="Times New Roman"/>
                <w:szCs w:val="21"/>
              </w:rPr>
              <w:t>序号</w:t>
            </w:r>
          </w:p>
        </w:tc>
        <w:tc>
          <w:tcPr>
            <w:tcW w:w="4251" w:type="dxa"/>
            <w:gridSpan w:val="2"/>
            <w:noWrap w:val="0"/>
            <w:vAlign w:val="center"/>
          </w:tcPr>
          <w:p>
            <w:pPr>
              <w:jc w:val="center"/>
              <w:rPr>
                <w:rFonts w:ascii="Times New Roman" w:hAnsi="Times New Roman"/>
                <w:szCs w:val="21"/>
              </w:rPr>
            </w:pPr>
            <w:r>
              <w:rPr>
                <w:rFonts w:ascii="Times New Roman" w:hAnsi="Times New Roman"/>
                <w:szCs w:val="21"/>
              </w:rPr>
              <w:t>评价内容</w:t>
            </w:r>
          </w:p>
        </w:tc>
        <w:tc>
          <w:tcPr>
            <w:tcW w:w="1533" w:type="dxa"/>
            <w:noWrap w:val="0"/>
            <w:vAlign w:val="center"/>
          </w:tcPr>
          <w:p>
            <w:pPr>
              <w:jc w:val="center"/>
              <w:rPr>
                <w:rFonts w:ascii="Times New Roman" w:hAnsi="Times New Roman"/>
                <w:szCs w:val="21"/>
              </w:rPr>
            </w:pPr>
            <w:r>
              <w:rPr>
                <w:rFonts w:ascii="Times New Roman" w:hAnsi="Times New Roman"/>
                <w:szCs w:val="21"/>
              </w:rPr>
              <w:t>评价分值</w:t>
            </w:r>
          </w:p>
        </w:tc>
        <w:tc>
          <w:tcPr>
            <w:tcW w:w="1300" w:type="dxa"/>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9" w:hRule="atLeast"/>
          <w:jc w:val="center"/>
        </w:trPr>
        <w:tc>
          <w:tcPr>
            <w:tcW w:w="709" w:type="dxa"/>
            <w:noWrap w:val="0"/>
            <w:vAlign w:val="center"/>
          </w:tcPr>
          <w:p>
            <w:pPr>
              <w:jc w:val="center"/>
              <w:rPr>
                <w:rFonts w:ascii="Times New Roman" w:hAnsi="Times New Roman"/>
                <w:szCs w:val="21"/>
              </w:rPr>
            </w:pPr>
            <w:r>
              <w:rPr>
                <w:rFonts w:ascii="Times New Roman" w:hAnsi="Times New Roman"/>
                <w:szCs w:val="21"/>
              </w:rPr>
              <w:t>1</w:t>
            </w:r>
          </w:p>
        </w:tc>
        <w:tc>
          <w:tcPr>
            <w:tcW w:w="4251" w:type="dxa"/>
            <w:gridSpan w:val="2"/>
            <w:noWrap w:val="0"/>
            <w:vAlign w:val="center"/>
          </w:tcPr>
          <w:p>
            <w:pPr>
              <w:jc w:val="left"/>
              <w:rPr>
                <w:rFonts w:ascii="Times New Roman" w:hAnsi="Times New Roman"/>
                <w:szCs w:val="21"/>
              </w:rPr>
            </w:pPr>
            <w:r>
              <w:rPr>
                <w:rFonts w:ascii="Times New Roman" w:hAnsi="Times New Roman"/>
                <w:szCs w:val="21"/>
              </w:rPr>
              <w:t>住宅建筑：主要功能空间至少60%面积比例区域采光照度值不低于300lx的小时数平均不少于8h/d</w:t>
            </w:r>
          </w:p>
        </w:tc>
        <w:tc>
          <w:tcPr>
            <w:tcW w:w="1533" w:type="dxa"/>
            <w:noWrap w:val="0"/>
            <w:vAlign w:val="center"/>
          </w:tcPr>
          <w:p>
            <w:pPr>
              <w:jc w:val="center"/>
              <w:rPr>
                <w:rFonts w:ascii="Times New Roman" w:hAnsi="Times New Roman"/>
                <w:szCs w:val="21"/>
              </w:rPr>
            </w:pPr>
            <w:r>
              <w:rPr>
                <w:rFonts w:ascii="Times New Roman" w:hAnsi="Times New Roman"/>
                <w:szCs w:val="21"/>
              </w:rPr>
              <w:t>9</w:t>
            </w:r>
          </w:p>
        </w:tc>
        <w:tc>
          <w:tcPr>
            <w:tcW w:w="1300" w:type="dxa"/>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jc w:val="center"/>
        </w:trPr>
        <w:tc>
          <w:tcPr>
            <w:tcW w:w="709" w:type="dxa"/>
            <w:vMerge w:val="restart"/>
            <w:noWrap w:val="0"/>
            <w:vAlign w:val="center"/>
          </w:tcPr>
          <w:p>
            <w:pPr>
              <w:jc w:val="center"/>
              <w:rPr>
                <w:rFonts w:ascii="Times New Roman" w:hAnsi="Times New Roman"/>
                <w:szCs w:val="21"/>
              </w:rPr>
            </w:pPr>
            <w:r>
              <w:rPr>
                <w:rFonts w:ascii="Times New Roman" w:hAnsi="Times New Roman"/>
                <w:szCs w:val="21"/>
              </w:rPr>
              <w:t>2</w:t>
            </w:r>
          </w:p>
        </w:tc>
        <w:tc>
          <w:tcPr>
            <w:tcW w:w="1063" w:type="dxa"/>
            <w:vMerge w:val="restart"/>
            <w:noWrap w:val="0"/>
            <w:vAlign w:val="center"/>
          </w:tcPr>
          <w:p>
            <w:pPr>
              <w:jc w:val="left"/>
              <w:rPr>
                <w:rFonts w:ascii="Times New Roman" w:hAnsi="Times New Roman"/>
                <w:szCs w:val="21"/>
              </w:rPr>
            </w:pPr>
            <w:r>
              <w:rPr>
                <w:rFonts w:ascii="Times New Roman" w:hAnsi="Times New Roman"/>
                <w:szCs w:val="21"/>
              </w:rPr>
              <w:t>公共建筑</w:t>
            </w:r>
          </w:p>
        </w:tc>
        <w:tc>
          <w:tcPr>
            <w:tcW w:w="3188" w:type="dxa"/>
            <w:noWrap w:val="0"/>
            <w:vAlign w:val="center"/>
          </w:tcPr>
          <w:p>
            <w:pPr>
              <w:jc w:val="left"/>
              <w:rPr>
                <w:rFonts w:ascii="Times New Roman" w:hAnsi="Times New Roman"/>
              </w:rPr>
            </w:pPr>
            <w:r>
              <w:rPr>
                <w:rFonts w:ascii="Times New Roman" w:hAnsi="Times New Roman"/>
              </w:rPr>
              <w:t>内区采光系数满足采光要求的面积比例达到60%</w:t>
            </w:r>
          </w:p>
        </w:tc>
        <w:tc>
          <w:tcPr>
            <w:tcW w:w="1533" w:type="dxa"/>
            <w:noWrap w:val="0"/>
            <w:vAlign w:val="center"/>
          </w:tcPr>
          <w:p>
            <w:pPr>
              <w:jc w:val="center"/>
              <w:rPr>
                <w:rFonts w:ascii="Times New Roman" w:hAnsi="Times New Roman"/>
                <w:szCs w:val="21"/>
              </w:rPr>
            </w:pPr>
            <w:r>
              <w:rPr>
                <w:rFonts w:ascii="Times New Roman" w:hAnsi="Times New Roman"/>
                <w:szCs w:val="21"/>
              </w:rPr>
              <w:t>3</w:t>
            </w:r>
          </w:p>
        </w:tc>
        <w:tc>
          <w:tcPr>
            <w:tcW w:w="1300" w:type="dxa"/>
            <w:vMerge w:val="restar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jc w:val="center"/>
        </w:trPr>
        <w:tc>
          <w:tcPr>
            <w:tcW w:w="709" w:type="dxa"/>
            <w:vMerge w:val="continue"/>
            <w:noWrap w:val="0"/>
            <w:vAlign w:val="center"/>
          </w:tcPr>
          <w:p>
            <w:pPr>
              <w:jc w:val="center"/>
              <w:rPr>
                <w:rFonts w:ascii="Times New Roman" w:hAnsi="Times New Roman"/>
                <w:szCs w:val="21"/>
              </w:rPr>
            </w:pPr>
          </w:p>
        </w:tc>
        <w:tc>
          <w:tcPr>
            <w:tcW w:w="1063" w:type="dxa"/>
            <w:vMerge w:val="continue"/>
            <w:noWrap w:val="0"/>
            <w:vAlign w:val="center"/>
          </w:tcPr>
          <w:p>
            <w:pPr>
              <w:jc w:val="left"/>
              <w:rPr>
                <w:rFonts w:ascii="Times New Roman" w:hAnsi="Times New Roman"/>
                <w:szCs w:val="21"/>
              </w:rPr>
            </w:pPr>
          </w:p>
        </w:tc>
        <w:tc>
          <w:tcPr>
            <w:tcW w:w="3188" w:type="dxa"/>
            <w:noWrap w:val="0"/>
            <w:vAlign w:val="center"/>
          </w:tcPr>
          <w:p>
            <w:pPr>
              <w:jc w:val="left"/>
              <w:rPr>
                <w:rFonts w:ascii="Times New Roman" w:hAnsi="Times New Roman"/>
                <w:szCs w:val="21"/>
              </w:rPr>
            </w:pPr>
            <w:r>
              <w:rPr>
                <w:rFonts w:ascii="Times New Roman" w:hAnsi="Times New Roman"/>
                <w:szCs w:val="21"/>
              </w:rPr>
              <w:t>地下空间平均采光系数≥0.5%的面积与首层地下室面积的比例达到10%以上</w:t>
            </w:r>
          </w:p>
        </w:tc>
        <w:tc>
          <w:tcPr>
            <w:tcW w:w="1533" w:type="dxa"/>
            <w:noWrap w:val="0"/>
            <w:vAlign w:val="center"/>
          </w:tcPr>
          <w:p>
            <w:pPr>
              <w:jc w:val="center"/>
              <w:rPr>
                <w:rFonts w:ascii="Times New Roman" w:hAnsi="Times New Roman"/>
                <w:szCs w:val="21"/>
              </w:rPr>
            </w:pPr>
            <w:r>
              <w:rPr>
                <w:rFonts w:ascii="Times New Roman" w:hAnsi="Times New Roman"/>
                <w:szCs w:val="21"/>
              </w:rPr>
              <w:t>3</w:t>
            </w:r>
          </w:p>
        </w:tc>
        <w:tc>
          <w:tcPr>
            <w:tcW w:w="1300"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jc w:val="center"/>
        </w:trPr>
        <w:tc>
          <w:tcPr>
            <w:tcW w:w="709" w:type="dxa"/>
            <w:vMerge w:val="continue"/>
            <w:noWrap w:val="0"/>
            <w:vAlign w:val="center"/>
          </w:tcPr>
          <w:p>
            <w:pPr>
              <w:jc w:val="center"/>
              <w:rPr>
                <w:rFonts w:ascii="Times New Roman" w:hAnsi="Times New Roman"/>
                <w:szCs w:val="21"/>
              </w:rPr>
            </w:pPr>
          </w:p>
        </w:tc>
        <w:tc>
          <w:tcPr>
            <w:tcW w:w="1063" w:type="dxa"/>
            <w:vMerge w:val="continue"/>
            <w:noWrap w:val="0"/>
            <w:vAlign w:val="center"/>
          </w:tcPr>
          <w:p>
            <w:pPr>
              <w:jc w:val="left"/>
              <w:rPr>
                <w:rFonts w:ascii="Times New Roman" w:hAnsi="Times New Roman"/>
                <w:szCs w:val="21"/>
              </w:rPr>
            </w:pPr>
          </w:p>
        </w:tc>
        <w:tc>
          <w:tcPr>
            <w:tcW w:w="3188" w:type="dxa"/>
            <w:noWrap w:val="0"/>
            <w:vAlign w:val="center"/>
          </w:tcPr>
          <w:p>
            <w:pPr>
              <w:jc w:val="left"/>
              <w:rPr>
                <w:rFonts w:ascii="Times New Roman" w:hAnsi="Times New Roman"/>
                <w:szCs w:val="21"/>
              </w:rPr>
            </w:pPr>
            <w:r>
              <w:rPr>
                <w:rFonts w:ascii="Times New Roman" w:hAnsi="Times New Roman"/>
                <w:szCs w:val="21"/>
              </w:rPr>
              <w:t>主要功能空间至少60%面积比例区域采光照度值不低于采光要求的小时数平均不少于4h/d</w:t>
            </w:r>
          </w:p>
        </w:tc>
        <w:tc>
          <w:tcPr>
            <w:tcW w:w="1298" w:type="dxa"/>
            <w:noWrap w:val="0"/>
            <w:vAlign w:val="center"/>
          </w:tcPr>
          <w:p>
            <w:pPr>
              <w:jc w:val="center"/>
              <w:rPr>
                <w:rFonts w:ascii="Times New Roman" w:hAnsi="Times New Roman"/>
                <w:szCs w:val="21"/>
              </w:rPr>
            </w:pPr>
            <w:r>
              <w:rPr>
                <w:rFonts w:ascii="Times New Roman" w:hAnsi="Times New Roman"/>
                <w:szCs w:val="21"/>
              </w:rPr>
              <w:t>3</w:t>
            </w:r>
          </w:p>
        </w:tc>
        <w:tc>
          <w:tcPr>
            <w:tcW w:w="1300"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noWrap w:val="0"/>
            <w:vAlign w:val="center"/>
          </w:tcPr>
          <w:p>
            <w:pPr>
              <w:jc w:val="center"/>
              <w:rPr>
                <w:rFonts w:ascii="Times New Roman" w:hAnsi="Times New Roman"/>
                <w:szCs w:val="21"/>
              </w:rPr>
            </w:pPr>
            <w:r>
              <w:rPr>
                <w:rFonts w:ascii="Times New Roman" w:hAnsi="Times New Roman"/>
                <w:szCs w:val="21"/>
              </w:rPr>
              <w:t>3</w:t>
            </w:r>
          </w:p>
        </w:tc>
        <w:tc>
          <w:tcPr>
            <w:tcW w:w="4251" w:type="dxa"/>
            <w:gridSpan w:val="2"/>
            <w:noWrap w:val="0"/>
            <w:vAlign w:val="center"/>
          </w:tcPr>
          <w:p>
            <w:pPr>
              <w:jc w:val="left"/>
              <w:rPr>
                <w:rFonts w:ascii="Times New Roman" w:hAnsi="Times New Roman"/>
                <w:szCs w:val="21"/>
              </w:rPr>
            </w:pPr>
            <w:r>
              <w:rPr>
                <w:rFonts w:ascii="Times New Roman" w:hAnsi="Times New Roman"/>
                <w:szCs w:val="21"/>
              </w:rPr>
              <w:t>主要功能房间有眩光控制措施</w:t>
            </w:r>
          </w:p>
        </w:tc>
        <w:tc>
          <w:tcPr>
            <w:tcW w:w="1533" w:type="dxa"/>
            <w:noWrap w:val="0"/>
            <w:vAlign w:val="center"/>
          </w:tcPr>
          <w:p>
            <w:pPr>
              <w:jc w:val="center"/>
              <w:rPr>
                <w:rFonts w:ascii="Times New Roman" w:hAnsi="Times New Roman"/>
                <w:szCs w:val="21"/>
              </w:rPr>
            </w:pPr>
            <w:r>
              <w:rPr>
                <w:rFonts w:ascii="Times New Roman" w:hAnsi="Times New Roman"/>
                <w:szCs w:val="21"/>
              </w:rPr>
              <w:t>3</w:t>
            </w:r>
          </w:p>
        </w:tc>
        <w:tc>
          <w:tcPr>
            <w:tcW w:w="1298" w:type="dxa"/>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gridSpan w:val="3"/>
            <w:noWrap w:val="0"/>
            <w:vAlign w:val="center"/>
          </w:tcPr>
          <w:p>
            <w:pPr>
              <w:jc w:val="center"/>
              <w:rPr>
                <w:rFonts w:ascii="Times New Roman" w:hAnsi="Times New Roman"/>
                <w:szCs w:val="21"/>
              </w:rPr>
            </w:pPr>
            <w:r>
              <w:rPr>
                <w:rFonts w:ascii="Times New Roman" w:hAnsi="Times New Roman"/>
                <w:szCs w:val="21"/>
              </w:rPr>
              <w:t>合计</w:t>
            </w:r>
          </w:p>
        </w:tc>
        <w:tc>
          <w:tcPr>
            <w:tcW w:w="1533" w:type="dxa"/>
            <w:noWrap w:val="0"/>
            <w:vAlign w:val="center"/>
          </w:tcPr>
          <w:p>
            <w:pPr>
              <w:jc w:val="center"/>
              <w:rPr>
                <w:rFonts w:ascii="Times New Roman" w:hAnsi="Times New Roman"/>
                <w:szCs w:val="21"/>
              </w:rPr>
            </w:pPr>
            <w:r>
              <w:rPr>
                <w:rFonts w:ascii="Times New Roman" w:hAnsi="Times New Roman"/>
                <w:szCs w:val="21"/>
              </w:rPr>
              <w:t>12</w:t>
            </w:r>
          </w:p>
        </w:tc>
        <w:tc>
          <w:tcPr>
            <w:tcW w:w="1300" w:type="dxa"/>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ascii="Times New Roman" w:hAnsi="Times New Roman"/>
        </w:rPr>
        <w:t>概述改善室内防眩光采用的措施。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本项目主要功能房间采用下列措施控制不舒适眩光：</w:t>
            </w:r>
          </w:p>
          <w:p>
            <w:pPr>
              <w:ind w:firstLine="400" w:firstLineChars="200"/>
              <w:rPr>
                <w:rFonts w:ascii="Times New Roman" w:hAnsi="Times New Roman"/>
                <w:kern w:val="0"/>
                <w:sz w:val="20"/>
                <w:szCs w:val="21"/>
              </w:rPr>
            </w:pPr>
            <w:r>
              <w:rPr>
                <w:rFonts w:hint="eastAsia" w:ascii="Times New Roman" w:hAnsi="Times New Roman"/>
                <w:kern w:val="0"/>
                <w:sz w:val="20"/>
                <w:szCs w:val="21"/>
              </w:rPr>
              <w:t>1、作业区域避免直射阳光。</w:t>
            </w:r>
          </w:p>
          <w:p>
            <w:pPr>
              <w:ind w:firstLine="400" w:firstLineChars="200"/>
              <w:rPr>
                <w:rFonts w:ascii="Times New Roman" w:hAnsi="Times New Roman"/>
                <w:kern w:val="0"/>
                <w:sz w:val="20"/>
                <w:szCs w:val="21"/>
              </w:rPr>
            </w:pPr>
            <w:r>
              <w:rPr>
                <w:rFonts w:hint="eastAsia" w:ascii="Times New Roman" w:hAnsi="Times New Roman"/>
                <w:kern w:val="0"/>
                <w:sz w:val="20"/>
                <w:szCs w:val="21"/>
              </w:rPr>
              <w:t>2、室内人员的视觉背景不为窗口。</w:t>
            </w:r>
          </w:p>
          <w:p>
            <w:pPr>
              <w:ind w:firstLine="400" w:firstLineChars="200"/>
              <w:rPr>
                <w:rFonts w:ascii="Times New Roman" w:hAnsi="Times New Roman"/>
                <w:kern w:val="0"/>
                <w:sz w:val="20"/>
                <w:szCs w:val="21"/>
              </w:rPr>
            </w:pPr>
            <w:r>
              <w:rPr>
                <w:rFonts w:hint="eastAsia" w:ascii="Times New Roman" w:hAnsi="Times New Roman"/>
                <w:kern w:val="0"/>
                <w:sz w:val="20"/>
                <w:szCs w:val="21"/>
              </w:rPr>
              <w:t>3、采用室内遮挡措施。</w:t>
            </w:r>
          </w:p>
          <w:p>
            <w:pPr>
              <w:ind w:firstLine="400" w:firstLineChars="200"/>
              <w:rPr>
                <w:rFonts w:ascii="Times New Roman" w:hAnsi="Times New Roman"/>
                <w:kern w:val="0"/>
                <w:sz w:val="20"/>
                <w:szCs w:val="21"/>
              </w:rPr>
            </w:pPr>
            <w:r>
              <w:rPr>
                <w:rFonts w:hint="eastAsia" w:ascii="Times New Roman" w:hAnsi="Times New Roman"/>
                <w:kern w:val="0"/>
                <w:sz w:val="20"/>
                <w:szCs w:val="21"/>
              </w:rPr>
              <w:t>4、窗结构的内表面或窗周围的内墙面采用浅色饰面。</w:t>
            </w:r>
          </w:p>
        </w:tc>
      </w:tr>
    </w:tbl>
    <w:p>
      <w:r>
        <w:rPr>
          <w:rFonts w:hint="eastAsia"/>
        </w:rPr>
        <w:t>采光达标统计</w:t>
      </w:r>
    </w:p>
    <w:tbl>
      <w:tblPr>
        <w:tblStyle w:val="7"/>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62"/>
        <w:gridCol w:w="2268"/>
        <w:gridCol w:w="1860"/>
        <w:gridCol w:w="198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4" w:hRule="atLeast"/>
          <w:tblHeader/>
          <w:jc w:val="center"/>
        </w:trPr>
        <w:tc>
          <w:tcPr>
            <w:tcW w:w="716" w:type="dxa"/>
            <w:vMerge w:val="restart"/>
            <w:noWrap w:val="0"/>
            <w:vAlign w:val="center"/>
          </w:tcPr>
          <w:p>
            <w:r>
              <w:rPr>
                <w:rFonts w:hint="eastAsia"/>
              </w:rPr>
              <w:t>内区</w:t>
            </w:r>
          </w:p>
        </w:tc>
        <w:tc>
          <w:tcPr>
            <w:tcW w:w="1262" w:type="dxa"/>
            <w:noWrap w:val="0"/>
            <w:vAlign w:val="center"/>
          </w:tcPr>
          <w:p>
            <w:pPr>
              <w:jc w:val="center"/>
            </w:pPr>
            <w:r>
              <w:rPr>
                <w:rFonts w:hint="eastAsia"/>
              </w:rPr>
              <w:t>分析区域</w:t>
            </w:r>
          </w:p>
        </w:tc>
        <w:tc>
          <w:tcPr>
            <w:tcW w:w="2268" w:type="dxa"/>
            <w:noWrap w:val="0"/>
            <w:vAlign w:val="center"/>
          </w:tcPr>
          <w:p>
            <w:pPr>
              <w:jc w:val="center"/>
            </w:pPr>
            <w:r>
              <w:rPr>
                <w:rFonts w:hint="eastAsia"/>
              </w:rPr>
              <w:t>主要功能空间面积</w:t>
            </w:r>
          </w:p>
          <w:p>
            <w:pPr>
              <w:jc w:val="center"/>
            </w:pPr>
            <w:r>
              <w:rPr>
                <w:rFonts w:hint="eastAsia"/>
              </w:rPr>
              <w:t>（</w:t>
            </w:r>
            <w:r>
              <w:t>m</w:t>
            </w:r>
            <w:r>
              <w:rPr>
                <w:vertAlign w:val="superscript"/>
              </w:rPr>
              <w:t>2</w:t>
            </w:r>
            <w:r>
              <w:rPr>
                <w:rFonts w:hint="eastAsia"/>
              </w:rPr>
              <w:t>）</w:t>
            </w:r>
          </w:p>
        </w:tc>
        <w:tc>
          <w:tcPr>
            <w:tcW w:w="1860" w:type="dxa"/>
            <w:noWrap w:val="0"/>
            <w:vAlign w:val="top"/>
          </w:tcPr>
          <w:p>
            <w:pPr>
              <w:jc w:val="center"/>
            </w:pPr>
            <w:r>
              <w:rPr>
                <w:rFonts w:hint="eastAsia"/>
              </w:rPr>
              <w:t>内区面积</w:t>
            </w:r>
          </w:p>
          <w:p>
            <w:pPr>
              <w:jc w:val="center"/>
            </w:pPr>
            <w:r>
              <w:rPr>
                <w:rFonts w:hint="eastAsia"/>
              </w:rPr>
              <w:t>（</w:t>
            </w:r>
            <w:r>
              <w:t>m</w:t>
            </w:r>
            <w:r>
              <w:rPr>
                <w:vertAlign w:val="superscript"/>
              </w:rPr>
              <w:t>2</w:t>
            </w:r>
            <w:r>
              <w:rPr>
                <w:rFonts w:hint="eastAsia"/>
              </w:rPr>
              <w:t>）</w:t>
            </w:r>
          </w:p>
        </w:tc>
        <w:tc>
          <w:tcPr>
            <w:tcW w:w="1986" w:type="dxa"/>
            <w:noWrap w:val="0"/>
            <w:vAlign w:val="center"/>
          </w:tcPr>
          <w:p>
            <w:pPr>
              <w:jc w:val="center"/>
            </w:pPr>
            <w:r>
              <w:rPr>
                <w:rFonts w:hint="eastAsia"/>
              </w:rPr>
              <w:t>采光达标面积</w:t>
            </w:r>
          </w:p>
          <w:p>
            <w:pPr>
              <w:jc w:val="center"/>
            </w:pPr>
            <w:r>
              <w:rPr>
                <w:rFonts w:hint="eastAsia"/>
              </w:rPr>
              <w:t>（</w:t>
            </w:r>
            <w:r>
              <w:t>m</w:t>
            </w:r>
            <w:r>
              <w:rPr>
                <w:vertAlign w:val="superscript"/>
              </w:rPr>
              <w:t>2</w:t>
            </w:r>
            <w:r>
              <w:rPr>
                <w:rFonts w:hint="eastAsia"/>
              </w:rPr>
              <w:t>）</w:t>
            </w:r>
          </w:p>
        </w:tc>
        <w:tc>
          <w:tcPr>
            <w:tcW w:w="1357" w:type="dxa"/>
            <w:noWrap w:val="0"/>
            <w:vAlign w:val="center"/>
          </w:tcPr>
          <w:p>
            <w:pPr>
              <w:jc w:val="center"/>
            </w:pPr>
            <w:r>
              <w:rPr>
                <w:rFonts w:hint="eastAsia"/>
              </w:rPr>
              <w:t>达标比例（</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8" w:hRule="atLeast"/>
          <w:jc w:val="center"/>
        </w:trPr>
        <w:tc>
          <w:tcPr>
            <w:tcW w:w="716" w:type="dxa"/>
            <w:vMerge w:val="continue"/>
            <w:noWrap w:val="0"/>
            <w:vAlign w:val="center"/>
          </w:tcPr>
          <w:p/>
        </w:tc>
        <w:tc>
          <w:tcPr>
            <w:tcW w:w="1262"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860" w:type="dxa"/>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8" w:hRule="atLeast"/>
          <w:jc w:val="center"/>
        </w:trPr>
        <w:tc>
          <w:tcPr>
            <w:tcW w:w="716" w:type="dxa"/>
            <w:vMerge w:val="continue"/>
            <w:noWrap w:val="0"/>
            <w:vAlign w:val="center"/>
          </w:tcPr>
          <w:p/>
        </w:tc>
        <w:tc>
          <w:tcPr>
            <w:tcW w:w="1262"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860" w:type="dxa"/>
            <w:noWrap w:val="0"/>
            <w:vAlign w:val="top"/>
          </w:tcPr>
          <w:p>
            <w:pPr>
              <w:jc w:val="center"/>
            </w:pPr>
            <w:r>
              <w:rPr>
                <w:rFonts w:hint="eastAsia" w:ascii="Times New Roman" w:hAnsi="Times New Roman"/>
                <w:szCs w:val="21"/>
              </w:rPr>
              <w:t xml:space="preserve">  </w:t>
            </w:r>
          </w:p>
        </w:tc>
        <w:tc>
          <w:tcPr>
            <w:tcW w:w="1986" w:type="dxa"/>
            <w:noWrap w:val="0"/>
            <w:vAlign w:val="center"/>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8" w:hRule="atLeast"/>
          <w:jc w:val="center"/>
        </w:trPr>
        <w:tc>
          <w:tcPr>
            <w:tcW w:w="716" w:type="dxa"/>
            <w:vMerge w:val="continue"/>
            <w:noWrap w:val="0"/>
            <w:vAlign w:val="center"/>
          </w:tcPr>
          <w:p/>
        </w:tc>
        <w:tc>
          <w:tcPr>
            <w:tcW w:w="1262"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860" w:type="dxa"/>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8" w:hRule="atLeast"/>
          <w:jc w:val="center"/>
        </w:trPr>
        <w:tc>
          <w:tcPr>
            <w:tcW w:w="716" w:type="dxa"/>
            <w:vMerge w:val="continue"/>
            <w:noWrap w:val="0"/>
            <w:vAlign w:val="center"/>
          </w:tcPr>
          <w:p/>
        </w:tc>
        <w:tc>
          <w:tcPr>
            <w:tcW w:w="1262" w:type="dxa"/>
            <w:noWrap w:val="0"/>
            <w:vAlign w:val="center"/>
          </w:tcPr>
          <w:p>
            <w:pPr>
              <w:jc w:val="center"/>
              <w:rPr>
                <w:color w:val="FF0000"/>
              </w:rPr>
            </w:pPr>
            <w:r>
              <w:rPr>
                <w:rFonts w:hint="eastAsia"/>
              </w:rPr>
              <w:t>合计</w:t>
            </w:r>
          </w:p>
        </w:tc>
        <w:tc>
          <w:tcPr>
            <w:tcW w:w="2268" w:type="dxa"/>
            <w:noWrap w:val="0"/>
            <w:vAlign w:val="top"/>
          </w:tcPr>
          <w:p>
            <w:pPr>
              <w:jc w:val="center"/>
            </w:pPr>
            <w:r>
              <w:rPr>
                <w:rFonts w:hint="eastAsia" w:ascii="Times New Roman" w:hAnsi="Times New Roman"/>
                <w:szCs w:val="21"/>
              </w:rPr>
              <w:t xml:space="preserve">  </w:t>
            </w:r>
          </w:p>
        </w:tc>
        <w:tc>
          <w:tcPr>
            <w:tcW w:w="1860" w:type="dxa"/>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16" w:type="dxa"/>
            <w:vMerge w:val="restart"/>
            <w:noWrap w:val="0"/>
            <w:vAlign w:val="center"/>
          </w:tcPr>
          <w:p>
            <w:r>
              <w:rPr>
                <w:rFonts w:hint="eastAsia"/>
              </w:rPr>
              <w:t>住宅主要功能空间</w:t>
            </w:r>
          </w:p>
        </w:tc>
        <w:tc>
          <w:tcPr>
            <w:tcW w:w="1262" w:type="dxa"/>
            <w:noWrap w:val="0"/>
            <w:vAlign w:val="center"/>
          </w:tcPr>
          <w:p>
            <w:pPr>
              <w:jc w:val="center"/>
            </w:pPr>
            <w:r>
              <w:rPr>
                <w:rFonts w:hint="eastAsia"/>
              </w:rPr>
              <w:t>分析区域</w:t>
            </w:r>
          </w:p>
        </w:tc>
        <w:tc>
          <w:tcPr>
            <w:tcW w:w="1860" w:type="dxa"/>
            <w:gridSpan w:val="2"/>
            <w:noWrap w:val="0"/>
            <w:vAlign w:val="center"/>
          </w:tcPr>
          <w:p>
            <w:pPr>
              <w:jc w:val="center"/>
            </w:pPr>
            <w:r>
              <w:rPr>
                <w:rFonts w:hint="eastAsia"/>
              </w:rPr>
              <w:t>采光照度值不低于300lx的小时数平均不少于8h/d面积（m</w:t>
            </w:r>
            <w:r>
              <w:rPr>
                <w:rFonts w:hint="eastAsia"/>
                <w:vertAlign w:val="superscript"/>
              </w:rPr>
              <w:t>2</w:t>
            </w:r>
            <w:r>
              <w:rPr>
                <w:rFonts w:hint="eastAsia"/>
              </w:rPr>
              <w:t>）</w:t>
            </w:r>
          </w:p>
        </w:tc>
        <w:tc>
          <w:tcPr>
            <w:tcW w:w="1986" w:type="dxa"/>
            <w:noWrap w:val="0"/>
            <w:vAlign w:val="center"/>
          </w:tcPr>
          <w:p>
            <w:pPr>
              <w:jc w:val="center"/>
            </w:pPr>
            <w:r>
              <w:rPr>
                <w:rFonts w:hint="eastAsia"/>
              </w:rPr>
              <w:t>主要功能空间面积（m</w:t>
            </w:r>
            <w:r>
              <w:rPr>
                <w:rFonts w:hint="eastAsia"/>
                <w:vertAlign w:val="superscript"/>
              </w:rPr>
              <w:t>2</w:t>
            </w:r>
            <w:r>
              <w:rPr>
                <w:rFonts w:hint="eastAsia"/>
              </w:rPr>
              <w:t>）</w:t>
            </w:r>
          </w:p>
        </w:tc>
        <w:tc>
          <w:tcPr>
            <w:tcW w:w="1357" w:type="dxa"/>
            <w:noWrap w:val="0"/>
            <w:vAlign w:val="center"/>
          </w:tcPr>
          <w:p>
            <w:pPr>
              <w:jc w:val="center"/>
            </w:pPr>
            <w:r>
              <w:rPr>
                <w:rFonts w:hint="eastAsia"/>
              </w:rPr>
              <w:t>达标比例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16" w:type="dxa"/>
            <w:vMerge w:val="continue"/>
            <w:noWrap w:val="0"/>
            <w:vAlign w:val="center"/>
          </w:tcPr>
          <w:p/>
        </w:tc>
        <w:tc>
          <w:tcPr>
            <w:tcW w:w="1262" w:type="dxa"/>
            <w:noWrap w:val="0"/>
            <w:vAlign w:val="top"/>
          </w:tcPr>
          <w:p>
            <w:pPr>
              <w:jc w:val="center"/>
            </w:pPr>
            <w:r>
              <w:rPr>
                <w:rFonts w:hint="eastAsia" w:ascii="Times New Roman" w:hAnsi="Times New Roman"/>
                <w:szCs w:val="21"/>
              </w:rPr>
              <w:t xml:space="preserve">  </w:t>
            </w:r>
          </w:p>
        </w:tc>
        <w:tc>
          <w:tcPr>
            <w:tcW w:w="1860" w:type="dxa"/>
            <w:gridSpan w:val="2"/>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16" w:type="dxa"/>
            <w:vMerge w:val="continue"/>
            <w:noWrap w:val="0"/>
            <w:vAlign w:val="center"/>
          </w:tcPr>
          <w:p/>
        </w:tc>
        <w:tc>
          <w:tcPr>
            <w:tcW w:w="1262" w:type="dxa"/>
            <w:noWrap w:val="0"/>
            <w:vAlign w:val="top"/>
          </w:tcPr>
          <w:p>
            <w:pPr>
              <w:jc w:val="center"/>
            </w:pPr>
            <w:r>
              <w:rPr>
                <w:rFonts w:hint="eastAsia" w:ascii="Times New Roman" w:hAnsi="Times New Roman"/>
                <w:szCs w:val="21"/>
              </w:rPr>
              <w:t xml:space="preserve">  </w:t>
            </w:r>
          </w:p>
        </w:tc>
        <w:tc>
          <w:tcPr>
            <w:tcW w:w="1860" w:type="dxa"/>
            <w:gridSpan w:val="2"/>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16" w:type="dxa"/>
            <w:vMerge w:val="continue"/>
            <w:noWrap w:val="0"/>
            <w:vAlign w:val="center"/>
          </w:tcPr>
          <w:p/>
        </w:tc>
        <w:tc>
          <w:tcPr>
            <w:tcW w:w="1262" w:type="dxa"/>
            <w:noWrap w:val="0"/>
            <w:vAlign w:val="top"/>
          </w:tcPr>
          <w:p>
            <w:pPr>
              <w:jc w:val="center"/>
            </w:pPr>
            <w:r>
              <w:rPr>
                <w:rFonts w:hint="eastAsia" w:ascii="Times New Roman" w:hAnsi="Times New Roman"/>
                <w:szCs w:val="21"/>
              </w:rPr>
              <w:t xml:space="preserve">  </w:t>
            </w:r>
          </w:p>
        </w:tc>
        <w:tc>
          <w:tcPr>
            <w:tcW w:w="1860" w:type="dxa"/>
            <w:gridSpan w:val="2"/>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16" w:type="dxa"/>
            <w:vMerge w:val="continue"/>
            <w:noWrap w:val="0"/>
            <w:vAlign w:val="center"/>
          </w:tcPr>
          <w:p/>
        </w:tc>
        <w:tc>
          <w:tcPr>
            <w:tcW w:w="1262" w:type="dxa"/>
            <w:noWrap w:val="0"/>
            <w:vAlign w:val="center"/>
          </w:tcPr>
          <w:p>
            <w:pPr>
              <w:jc w:val="center"/>
            </w:pPr>
            <w:r>
              <w:rPr>
                <w:rFonts w:hint="eastAsia"/>
              </w:rPr>
              <w:t>合计</w:t>
            </w:r>
          </w:p>
        </w:tc>
        <w:tc>
          <w:tcPr>
            <w:tcW w:w="1860" w:type="dxa"/>
            <w:gridSpan w:val="2"/>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16" w:type="dxa"/>
            <w:vMerge w:val="restart"/>
            <w:noWrap w:val="0"/>
            <w:vAlign w:val="center"/>
          </w:tcPr>
          <w:p>
            <w:r>
              <w:rPr>
                <w:rFonts w:hint="eastAsia"/>
              </w:rPr>
              <w:t>公建主要功能空间</w:t>
            </w:r>
          </w:p>
        </w:tc>
        <w:tc>
          <w:tcPr>
            <w:tcW w:w="1262" w:type="dxa"/>
            <w:noWrap w:val="0"/>
            <w:vAlign w:val="center"/>
          </w:tcPr>
          <w:p>
            <w:pPr>
              <w:jc w:val="center"/>
            </w:pPr>
            <w:r>
              <w:rPr>
                <w:rFonts w:hint="eastAsia"/>
              </w:rPr>
              <w:t>分析区域</w:t>
            </w:r>
          </w:p>
        </w:tc>
        <w:tc>
          <w:tcPr>
            <w:tcW w:w="1860" w:type="dxa"/>
            <w:gridSpan w:val="2"/>
            <w:noWrap w:val="0"/>
            <w:vAlign w:val="center"/>
          </w:tcPr>
          <w:p>
            <w:pPr>
              <w:jc w:val="center"/>
            </w:pPr>
            <w:r>
              <w:rPr>
                <w:rFonts w:hint="eastAsia"/>
              </w:rPr>
              <w:t>采光照度值不低于采光要求的小时数平均不少于8h/d面积（m</w:t>
            </w:r>
            <w:r>
              <w:rPr>
                <w:rFonts w:hint="eastAsia"/>
                <w:vertAlign w:val="superscript"/>
              </w:rPr>
              <w:t>2</w:t>
            </w:r>
            <w:r>
              <w:rPr>
                <w:rFonts w:hint="eastAsia"/>
              </w:rPr>
              <w:t>）</w:t>
            </w:r>
          </w:p>
        </w:tc>
        <w:tc>
          <w:tcPr>
            <w:tcW w:w="1986" w:type="dxa"/>
            <w:noWrap w:val="0"/>
            <w:vAlign w:val="center"/>
          </w:tcPr>
          <w:p>
            <w:pPr>
              <w:jc w:val="center"/>
            </w:pPr>
            <w:r>
              <w:rPr>
                <w:rFonts w:hint="eastAsia"/>
              </w:rPr>
              <w:t>主要功能空间面积（m</w:t>
            </w:r>
            <w:r>
              <w:rPr>
                <w:rFonts w:hint="eastAsia"/>
                <w:vertAlign w:val="superscript"/>
              </w:rPr>
              <w:t>2</w:t>
            </w:r>
            <w:r>
              <w:rPr>
                <w:rFonts w:hint="eastAsia"/>
              </w:rPr>
              <w:t>）</w:t>
            </w:r>
          </w:p>
        </w:tc>
        <w:tc>
          <w:tcPr>
            <w:tcW w:w="1357" w:type="dxa"/>
            <w:noWrap w:val="0"/>
            <w:vAlign w:val="center"/>
          </w:tcPr>
          <w:p>
            <w:pPr>
              <w:jc w:val="center"/>
            </w:pPr>
            <w:r>
              <w:rPr>
                <w:rFonts w:hint="eastAsia"/>
              </w:rPr>
              <w:t>达标比例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716" w:type="dxa"/>
            <w:vMerge w:val="continue"/>
            <w:noWrap w:val="0"/>
            <w:vAlign w:val="top"/>
          </w:tcPr>
          <w:p/>
        </w:tc>
        <w:tc>
          <w:tcPr>
            <w:tcW w:w="1262" w:type="dxa"/>
            <w:noWrap w:val="0"/>
            <w:vAlign w:val="top"/>
          </w:tcPr>
          <w:p>
            <w:pPr>
              <w:jc w:val="center"/>
            </w:pPr>
            <w:r>
              <w:rPr>
                <w:rFonts w:hint="eastAsia" w:ascii="Times New Roman" w:hAnsi="Times New Roman"/>
                <w:szCs w:val="21"/>
              </w:rPr>
              <w:t xml:space="preserve">  </w:t>
            </w:r>
          </w:p>
        </w:tc>
        <w:tc>
          <w:tcPr>
            <w:tcW w:w="1860" w:type="dxa"/>
            <w:gridSpan w:val="2"/>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16" w:type="dxa"/>
            <w:vMerge w:val="continue"/>
            <w:noWrap w:val="0"/>
            <w:vAlign w:val="top"/>
          </w:tcPr>
          <w:p/>
        </w:tc>
        <w:tc>
          <w:tcPr>
            <w:tcW w:w="1262" w:type="dxa"/>
            <w:noWrap w:val="0"/>
            <w:vAlign w:val="top"/>
          </w:tcPr>
          <w:p>
            <w:pPr>
              <w:jc w:val="center"/>
            </w:pPr>
            <w:r>
              <w:rPr>
                <w:rFonts w:hint="eastAsia" w:ascii="Times New Roman" w:hAnsi="Times New Roman"/>
                <w:szCs w:val="21"/>
              </w:rPr>
              <w:t xml:space="preserve">  </w:t>
            </w:r>
          </w:p>
        </w:tc>
        <w:tc>
          <w:tcPr>
            <w:tcW w:w="1860" w:type="dxa"/>
            <w:gridSpan w:val="2"/>
            <w:noWrap w:val="0"/>
            <w:vAlign w:val="top"/>
          </w:tcPr>
          <w:p>
            <w:pPr>
              <w:jc w:val="center"/>
            </w:pPr>
            <w:r>
              <w:rPr>
                <w:rFonts w:hint="eastAsia" w:ascii="Times New Roman" w:hAnsi="Times New Roman"/>
                <w:szCs w:val="21"/>
              </w:rPr>
              <w:t xml:space="preserve">  </w:t>
            </w:r>
          </w:p>
        </w:tc>
        <w:tc>
          <w:tcPr>
            <w:tcW w:w="1986" w:type="dxa"/>
            <w:noWrap w:val="0"/>
            <w:vAlign w:val="top"/>
          </w:tcPr>
          <w:p>
            <w:pPr>
              <w:jc w:val="center"/>
            </w:pPr>
            <w:r>
              <w:rPr>
                <w:rFonts w:hint="eastAsia" w:ascii="Times New Roman" w:hAnsi="Times New Roman"/>
                <w:szCs w:val="21"/>
              </w:rPr>
              <w:t xml:space="preserve">  </w:t>
            </w:r>
          </w:p>
        </w:tc>
        <w:tc>
          <w:tcPr>
            <w:tcW w:w="1357" w:type="dxa"/>
            <w:noWrap w:val="0"/>
            <w:vAlign w:val="top"/>
          </w:tcPr>
          <w:p>
            <w:pPr>
              <w:jc w:val="cente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bookmarkStart w:id="22" w:name="_Toc9944696"/>
      <w:bookmarkStart w:id="23" w:name="_Toc9944976"/>
      <w:bookmarkStart w:id="24" w:name="_Toc9945120"/>
      <w:bookmarkStart w:id="25" w:name="_Toc9945262"/>
      <w:bookmarkStart w:id="26" w:name="_Toc9945403"/>
      <w:r>
        <w:rPr>
          <w:rFonts w:ascii="Times New Roman" w:hAnsi="Times New Roman"/>
          <w:szCs w:val="21"/>
        </w:rPr>
        <w:t>1</w:t>
      </w:r>
      <w:r>
        <w:rPr>
          <w:rFonts w:hint="eastAsia" w:ascii="Times New Roman" w:hAnsi="Times New Roman"/>
          <w:szCs w:val="21"/>
        </w:rPr>
        <w:t>）建筑竣工图及说明文件，应体现室内防眩光设计措施</w:t>
      </w:r>
      <w:bookmarkEnd w:id="22"/>
      <w:bookmarkEnd w:id="23"/>
      <w:bookmarkEnd w:id="24"/>
      <w:bookmarkEnd w:id="25"/>
      <w:bookmarkEnd w:id="26"/>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2）动态采光计算书、采光系数及面积比例计算书；</w:t>
      </w:r>
    </w:p>
    <w:p>
      <w:pPr>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公共建筑内</w:t>
      </w:r>
      <w:r>
        <w:rPr>
          <w:rFonts w:hint="eastAsia" w:ascii="Times New Roman" w:hAnsi="Times New Roman"/>
          <w:szCs w:val="21"/>
        </w:rPr>
        <w:t>区</w:t>
      </w:r>
      <w:r>
        <w:rPr>
          <w:rFonts w:ascii="Times New Roman" w:hAnsi="Times New Roman"/>
          <w:szCs w:val="21"/>
        </w:rPr>
        <w:t>及地下空间采光系数计算书或检测报告</w:t>
      </w:r>
      <w:r>
        <w:rPr>
          <w:rFonts w:hint="eastAsia" w:ascii="Times New Roman" w:hAnsi="Times New Roman"/>
          <w:szCs w:val="21"/>
        </w:rPr>
        <w:t>。</w:t>
      </w:r>
    </w:p>
    <w:p/>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spacing w:before="0" w:after="0"/>
        <w:rPr>
          <w:sz w:val="24"/>
          <w:szCs w:val="40"/>
        </w:rPr>
      </w:pPr>
      <w:r>
        <w:rPr>
          <w:sz w:val="24"/>
          <w:szCs w:val="40"/>
        </w:rPr>
        <w:t>5.2.9</w:t>
      </w:r>
      <w:r>
        <w:rPr>
          <w:rFonts w:hint="eastAsia"/>
          <w:sz w:val="24"/>
          <w:szCs w:val="40"/>
        </w:rPr>
        <w:t xml:space="preserve"> </w:t>
      </w:r>
      <w:r>
        <w:rPr>
          <w:sz w:val="24"/>
          <w:szCs w:val="40"/>
        </w:rPr>
        <w:t>具有良好的室内热湿环境。（8分）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7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211"/>
        <w:gridCol w:w="1077"/>
        <w:gridCol w:w="157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90" w:type="pct"/>
            <w:noWrap w:val="0"/>
            <w:vAlign w:val="center"/>
          </w:tcPr>
          <w:p>
            <w:pPr>
              <w:jc w:val="center"/>
              <w:rPr>
                <w:rFonts w:ascii="Times New Roman" w:hAnsi="Times New Roman"/>
                <w:szCs w:val="21"/>
              </w:rPr>
            </w:pPr>
            <w:r>
              <w:rPr>
                <w:rFonts w:ascii="Times New Roman" w:hAnsi="Times New Roman"/>
                <w:szCs w:val="21"/>
              </w:rPr>
              <w:t>序号</w:t>
            </w:r>
          </w:p>
        </w:tc>
        <w:tc>
          <w:tcPr>
            <w:tcW w:w="2659" w:type="pct"/>
            <w:gridSpan w:val="2"/>
            <w:noWrap w:val="0"/>
            <w:vAlign w:val="center"/>
          </w:tcPr>
          <w:p>
            <w:pPr>
              <w:jc w:val="center"/>
              <w:rPr>
                <w:rFonts w:ascii="Times New Roman" w:hAnsi="Times New Roman"/>
                <w:szCs w:val="21"/>
              </w:rPr>
            </w:pPr>
            <w:r>
              <w:rPr>
                <w:rFonts w:ascii="Times New Roman" w:hAnsi="Times New Roman"/>
                <w:szCs w:val="21"/>
              </w:rPr>
              <w:t>评价内容</w:t>
            </w:r>
          </w:p>
        </w:tc>
        <w:tc>
          <w:tcPr>
            <w:tcW w:w="977" w:type="pct"/>
            <w:noWrap w:val="0"/>
            <w:vAlign w:val="center"/>
          </w:tcPr>
          <w:p>
            <w:pPr>
              <w:jc w:val="center"/>
              <w:rPr>
                <w:rFonts w:ascii="Times New Roman" w:hAnsi="Times New Roman"/>
                <w:szCs w:val="21"/>
              </w:rPr>
            </w:pPr>
            <w:r>
              <w:rPr>
                <w:rFonts w:ascii="Times New Roman" w:hAnsi="Times New Roman"/>
                <w:szCs w:val="21"/>
              </w:rPr>
              <w:t>评价分值</w:t>
            </w:r>
          </w:p>
        </w:tc>
        <w:tc>
          <w:tcPr>
            <w:tcW w:w="874"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8" w:hRule="atLeast"/>
          <w:jc w:val="center"/>
        </w:trPr>
        <w:tc>
          <w:tcPr>
            <w:tcW w:w="490" w:type="pct"/>
            <w:vMerge w:val="restart"/>
            <w:noWrap w:val="0"/>
            <w:vAlign w:val="center"/>
          </w:tcPr>
          <w:p>
            <w:pPr>
              <w:jc w:val="center"/>
              <w:rPr>
                <w:rFonts w:ascii="Times New Roman" w:hAnsi="Times New Roman"/>
                <w:szCs w:val="21"/>
              </w:rPr>
            </w:pPr>
            <w:r>
              <w:rPr>
                <w:rFonts w:ascii="Times New Roman" w:hAnsi="Times New Roman"/>
                <w:szCs w:val="21"/>
              </w:rPr>
              <w:t>1</w:t>
            </w:r>
          </w:p>
        </w:tc>
        <w:tc>
          <w:tcPr>
            <w:tcW w:w="1991" w:type="pct"/>
            <w:vMerge w:val="restart"/>
            <w:noWrap w:val="0"/>
            <w:vAlign w:val="center"/>
          </w:tcPr>
          <w:p>
            <w:pPr>
              <w:jc w:val="left"/>
              <w:rPr>
                <w:rFonts w:ascii="Times New Roman" w:hAnsi="Times New Roman"/>
                <w:szCs w:val="21"/>
              </w:rPr>
            </w:pPr>
            <w:r>
              <w:rPr>
                <w:rFonts w:hint="eastAsia" w:ascii="宋体" w:hAnsi="宋体"/>
                <w:szCs w:val="21"/>
              </w:rPr>
              <w:t>□</w:t>
            </w:r>
            <w:r>
              <w:rPr>
                <w:rFonts w:ascii="Times New Roman" w:hAnsi="Times New Roman"/>
                <w:szCs w:val="21"/>
              </w:rPr>
              <w:t>自然通风、复合通风：</w:t>
            </w:r>
          </w:p>
          <w:p>
            <w:pPr>
              <w:jc w:val="left"/>
              <w:rPr>
                <w:rFonts w:ascii="Times New Roman" w:hAnsi="Times New Roman"/>
                <w:szCs w:val="21"/>
              </w:rPr>
            </w:pPr>
            <w:r>
              <w:rPr>
                <w:rFonts w:ascii="Times New Roman" w:hAnsi="Times New Roman"/>
                <w:szCs w:val="21"/>
              </w:rPr>
              <w:t>主要功能房间室内热环境参数在适应性热舒适区域的时间比例</w:t>
            </w:r>
          </w:p>
        </w:tc>
        <w:tc>
          <w:tcPr>
            <w:tcW w:w="668" w:type="pct"/>
            <w:noWrap w:val="0"/>
            <w:vAlign w:val="center"/>
          </w:tcPr>
          <w:p>
            <w:pPr>
              <w:jc w:val="center"/>
              <w:rPr>
                <w:rFonts w:ascii="Times New Roman" w:hAnsi="Times New Roman"/>
                <w:szCs w:val="21"/>
              </w:rPr>
            </w:pPr>
            <w:r>
              <w:rPr>
                <w:rFonts w:ascii="Times New Roman" w:hAnsi="Times New Roman"/>
                <w:szCs w:val="21"/>
              </w:rPr>
              <w:t>30%</w:t>
            </w:r>
          </w:p>
        </w:tc>
        <w:tc>
          <w:tcPr>
            <w:tcW w:w="977" w:type="pct"/>
            <w:noWrap w:val="0"/>
            <w:vAlign w:val="center"/>
          </w:tcPr>
          <w:p>
            <w:pPr>
              <w:jc w:val="center"/>
              <w:rPr>
                <w:rFonts w:ascii="Times New Roman" w:hAnsi="Times New Roman"/>
                <w:szCs w:val="21"/>
              </w:rPr>
            </w:pPr>
            <w:r>
              <w:rPr>
                <w:rFonts w:ascii="Times New Roman" w:hAnsi="Times New Roman"/>
                <w:szCs w:val="21"/>
              </w:rPr>
              <w:t>2</w:t>
            </w:r>
          </w:p>
        </w:tc>
        <w:tc>
          <w:tcPr>
            <w:tcW w:w="874" w:type="pct"/>
            <w:vMerge w:val="restar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left"/>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40%</w:t>
            </w:r>
          </w:p>
        </w:tc>
        <w:tc>
          <w:tcPr>
            <w:tcW w:w="977" w:type="pct"/>
            <w:noWrap w:val="0"/>
            <w:vAlign w:val="center"/>
          </w:tcPr>
          <w:p>
            <w:pPr>
              <w:jc w:val="center"/>
              <w:rPr>
                <w:rFonts w:ascii="Times New Roman" w:hAnsi="Times New Roman"/>
                <w:szCs w:val="21"/>
              </w:rPr>
            </w:pPr>
            <w:r>
              <w:rPr>
                <w:rFonts w:ascii="Times New Roman" w:hAnsi="Times New Roman"/>
                <w:szCs w:val="21"/>
              </w:rPr>
              <w:t>3</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left"/>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50%</w:t>
            </w:r>
          </w:p>
        </w:tc>
        <w:tc>
          <w:tcPr>
            <w:tcW w:w="977" w:type="pct"/>
            <w:noWrap w:val="0"/>
            <w:vAlign w:val="center"/>
          </w:tcPr>
          <w:p>
            <w:pPr>
              <w:jc w:val="center"/>
              <w:rPr>
                <w:rFonts w:ascii="Times New Roman" w:hAnsi="Times New Roman"/>
                <w:szCs w:val="21"/>
              </w:rPr>
            </w:pPr>
            <w:r>
              <w:rPr>
                <w:rFonts w:ascii="Times New Roman" w:hAnsi="Times New Roman"/>
                <w:szCs w:val="21"/>
              </w:rPr>
              <w:t>4</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left"/>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60%</w:t>
            </w:r>
          </w:p>
        </w:tc>
        <w:tc>
          <w:tcPr>
            <w:tcW w:w="977" w:type="pct"/>
            <w:noWrap w:val="0"/>
            <w:vAlign w:val="center"/>
          </w:tcPr>
          <w:p>
            <w:pPr>
              <w:jc w:val="center"/>
              <w:rPr>
                <w:rFonts w:ascii="Times New Roman" w:hAnsi="Times New Roman"/>
                <w:szCs w:val="21"/>
              </w:rPr>
            </w:pPr>
            <w:r>
              <w:rPr>
                <w:rFonts w:ascii="Times New Roman" w:hAnsi="Times New Roman"/>
                <w:szCs w:val="21"/>
              </w:rPr>
              <w:t>5</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left"/>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70%</w:t>
            </w:r>
          </w:p>
        </w:tc>
        <w:tc>
          <w:tcPr>
            <w:tcW w:w="977" w:type="pct"/>
            <w:noWrap w:val="0"/>
            <w:vAlign w:val="center"/>
          </w:tcPr>
          <w:p>
            <w:pPr>
              <w:jc w:val="center"/>
              <w:rPr>
                <w:rFonts w:ascii="Times New Roman" w:hAnsi="Times New Roman"/>
                <w:szCs w:val="21"/>
              </w:rPr>
            </w:pPr>
            <w:r>
              <w:rPr>
                <w:rFonts w:ascii="Times New Roman" w:hAnsi="Times New Roman"/>
                <w:szCs w:val="21"/>
              </w:rPr>
              <w:t>6</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left"/>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80%</w:t>
            </w:r>
          </w:p>
        </w:tc>
        <w:tc>
          <w:tcPr>
            <w:tcW w:w="977" w:type="pct"/>
            <w:noWrap w:val="0"/>
            <w:vAlign w:val="center"/>
          </w:tcPr>
          <w:p>
            <w:pPr>
              <w:jc w:val="center"/>
              <w:rPr>
                <w:rFonts w:ascii="Times New Roman" w:hAnsi="Times New Roman"/>
                <w:szCs w:val="21"/>
              </w:rPr>
            </w:pPr>
            <w:r>
              <w:rPr>
                <w:rFonts w:ascii="Times New Roman" w:hAnsi="Times New Roman"/>
                <w:szCs w:val="21"/>
              </w:rPr>
              <w:t>7</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left"/>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90%及以上</w:t>
            </w:r>
          </w:p>
        </w:tc>
        <w:tc>
          <w:tcPr>
            <w:tcW w:w="977" w:type="pct"/>
            <w:noWrap w:val="0"/>
            <w:vAlign w:val="center"/>
          </w:tcPr>
          <w:p>
            <w:pPr>
              <w:jc w:val="center"/>
              <w:rPr>
                <w:rFonts w:ascii="Times New Roman" w:hAnsi="Times New Roman"/>
                <w:szCs w:val="21"/>
              </w:rPr>
            </w:pPr>
            <w:r>
              <w:rPr>
                <w:rFonts w:ascii="Times New Roman" w:hAnsi="Times New Roman"/>
                <w:szCs w:val="21"/>
              </w:rPr>
              <w:t>8</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2" w:hRule="atLeast"/>
          <w:jc w:val="center"/>
        </w:trPr>
        <w:tc>
          <w:tcPr>
            <w:tcW w:w="490" w:type="pct"/>
            <w:vMerge w:val="restart"/>
            <w:noWrap w:val="0"/>
            <w:vAlign w:val="center"/>
          </w:tcPr>
          <w:p>
            <w:pPr>
              <w:jc w:val="center"/>
              <w:rPr>
                <w:rFonts w:ascii="Times New Roman" w:hAnsi="Times New Roman"/>
                <w:szCs w:val="21"/>
              </w:rPr>
            </w:pPr>
            <w:r>
              <w:rPr>
                <w:rFonts w:ascii="Times New Roman" w:hAnsi="Times New Roman"/>
                <w:szCs w:val="21"/>
              </w:rPr>
              <w:t>2</w:t>
            </w:r>
          </w:p>
        </w:tc>
        <w:tc>
          <w:tcPr>
            <w:tcW w:w="1991" w:type="pct"/>
            <w:vMerge w:val="restart"/>
            <w:noWrap w:val="0"/>
            <w:vAlign w:val="center"/>
          </w:tcPr>
          <w:p>
            <w:pPr>
              <w:jc w:val="left"/>
              <w:rPr>
                <w:rFonts w:ascii="Times New Roman" w:hAnsi="Times New Roman"/>
                <w:szCs w:val="21"/>
              </w:rPr>
            </w:pPr>
            <w:r>
              <w:rPr>
                <w:rFonts w:hint="eastAsia" w:ascii="宋体" w:hAnsi="宋体"/>
                <w:szCs w:val="21"/>
              </w:rPr>
              <w:t>□</w:t>
            </w:r>
            <w:r>
              <w:rPr>
                <w:rFonts w:ascii="Times New Roman" w:hAnsi="Times New Roman"/>
                <w:szCs w:val="21"/>
              </w:rPr>
              <w:t>人工冷热源：</w:t>
            </w:r>
          </w:p>
          <w:p>
            <w:pPr>
              <w:jc w:val="left"/>
              <w:rPr>
                <w:rFonts w:ascii="Times New Roman" w:hAnsi="Times New Roman"/>
                <w:szCs w:val="21"/>
              </w:rPr>
            </w:pPr>
            <w:r>
              <w:rPr>
                <w:rFonts w:ascii="Times New Roman" w:hAnsi="Times New Roman"/>
                <w:szCs w:val="21"/>
              </w:rPr>
              <w:t>主要功能房间达到现行国家标准《民用建筑室内热湿环境评价标准》规定的室内人工冷热源热湿环境整体评价II级面积比例</w:t>
            </w:r>
          </w:p>
        </w:tc>
        <w:tc>
          <w:tcPr>
            <w:tcW w:w="668" w:type="pct"/>
            <w:noWrap w:val="0"/>
            <w:vAlign w:val="center"/>
          </w:tcPr>
          <w:p>
            <w:pPr>
              <w:jc w:val="center"/>
              <w:rPr>
                <w:rFonts w:ascii="Times New Roman" w:hAnsi="Times New Roman"/>
                <w:szCs w:val="21"/>
              </w:rPr>
            </w:pPr>
            <w:r>
              <w:rPr>
                <w:rFonts w:ascii="Times New Roman" w:hAnsi="Times New Roman"/>
                <w:szCs w:val="21"/>
              </w:rPr>
              <w:t>60%</w:t>
            </w:r>
          </w:p>
        </w:tc>
        <w:tc>
          <w:tcPr>
            <w:tcW w:w="977" w:type="pct"/>
            <w:noWrap w:val="0"/>
            <w:vAlign w:val="center"/>
          </w:tcPr>
          <w:p>
            <w:pPr>
              <w:jc w:val="center"/>
              <w:rPr>
                <w:rFonts w:ascii="Times New Roman" w:hAnsi="Times New Roman"/>
                <w:szCs w:val="21"/>
              </w:rPr>
            </w:pPr>
            <w:r>
              <w:rPr>
                <w:rFonts w:ascii="Times New Roman" w:hAnsi="Times New Roman"/>
                <w:szCs w:val="21"/>
              </w:rPr>
              <w:t>5</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center"/>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70%</w:t>
            </w:r>
          </w:p>
        </w:tc>
        <w:tc>
          <w:tcPr>
            <w:tcW w:w="977" w:type="pct"/>
            <w:noWrap w:val="0"/>
            <w:vAlign w:val="center"/>
          </w:tcPr>
          <w:p>
            <w:pPr>
              <w:jc w:val="center"/>
              <w:rPr>
                <w:rFonts w:ascii="Times New Roman" w:hAnsi="Times New Roman"/>
                <w:szCs w:val="21"/>
              </w:rPr>
            </w:pPr>
            <w:r>
              <w:rPr>
                <w:rFonts w:ascii="Times New Roman" w:hAnsi="Times New Roman"/>
                <w:szCs w:val="21"/>
              </w:rPr>
              <w:t>6</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center"/>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80%</w:t>
            </w:r>
          </w:p>
        </w:tc>
        <w:tc>
          <w:tcPr>
            <w:tcW w:w="977" w:type="pct"/>
            <w:noWrap w:val="0"/>
            <w:vAlign w:val="center"/>
          </w:tcPr>
          <w:p>
            <w:pPr>
              <w:jc w:val="center"/>
              <w:rPr>
                <w:rFonts w:ascii="Times New Roman" w:hAnsi="Times New Roman"/>
                <w:szCs w:val="21"/>
              </w:rPr>
            </w:pPr>
            <w:r>
              <w:rPr>
                <w:rFonts w:ascii="Times New Roman" w:hAnsi="Times New Roman"/>
                <w:szCs w:val="21"/>
              </w:rPr>
              <w:t>7</w:t>
            </w:r>
          </w:p>
        </w:tc>
        <w:tc>
          <w:tcPr>
            <w:tcW w:w="874"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jc w:val="center"/>
        </w:trPr>
        <w:tc>
          <w:tcPr>
            <w:tcW w:w="490" w:type="pct"/>
            <w:vMerge w:val="continue"/>
            <w:noWrap w:val="0"/>
            <w:vAlign w:val="center"/>
          </w:tcPr>
          <w:p>
            <w:pPr>
              <w:jc w:val="center"/>
              <w:rPr>
                <w:rFonts w:ascii="Times New Roman" w:hAnsi="Times New Roman"/>
                <w:szCs w:val="21"/>
              </w:rPr>
            </w:pPr>
          </w:p>
        </w:tc>
        <w:tc>
          <w:tcPr>
            <w:tcW w:w="1991" w:type="pct"/>
            <w:vMerge w:val="continue"/>
            <w:noWrap w:val="0"/>
            <w:vAlign w:val="center"/>
          </w:tcPr>
          <w:p>
            <w:pPr>
              <w:jc w:val="center"/>
              <w:rPr>
                <w:rFonts w:ascii="Times New Roman" w:hAnsi="Times New Roman"/>
                <w:szCs w:val="21"/>
              </w:rPr>
            </w:pPr>
          </w:p>
        </w:tc>
        <w:tc>
          <w:tcPr>
            <w:tcW w:w="668" w:type="pct"/>
            <w:noWrap w:val="0"/>
            <w:vAlign w:val="center"/>
          </w:tcPr>
          <w:p>
            <w:pPr>
              <w:jc w:val="center"/>
              <w:rPr>
                <w:rFonts w:ascii="Times New Roman" w:hAnsi="Times New Roman"/>
                <w:szCs w:val="21"/>
              </w:rPr>
            </w:pPr>
            <w:r>
              <w:rPr>
                <w:rFonts w:ascii="Times New Roman" w:hAnsi="Times New Roman"/>
                <w:szCs w:val="21"/>
              </w:rPr>
              <w:t>90%</w:t>
            </w:r>
          </w:p>
        </w:tc>
        <w:tc>
          <w:tcPr>
            <w:tcW w:w="977" w:type="pct"/>
            <w:noWrap w:val="0"/>
            <w:vAlign w:val="center"/>
          </w:tcPr>
          <w:p>
            <w:pPr>
              <w:jc w:val="center"/>
              <w:rPr>
                <w:rFonts w:ascii="Times New Roman" w:hAnsi="Times New Roman"/>
                <w:szCs w:val="21"/>
              </w:rPr>
            </w:pPr>
            <w:r>
              <w:rPr>
                <w:rFonts w:ascii="Times New Roman" w:hAnsi="Times New Roman"/>
                <w:szCs w:val="21"/>
              </w:rPr>
              <w:t>8</w:t>
            </w:r>
          </w:p>
        </w:tc>
        <w:tc>
          <w:tcPr>
            <w:tcW w:w="874" w:type="pct"/>
            <w:vMerge w:val="continue"/>
            <w:noWrap w:val="0"/>
            <w:vAlign w:val="center"/>
          </w:tcPr>
          <w:p>
            <w:pPr>
              <w:jc w:val="center"/>
              <w:rPr>
                <w:rFonts w:ascii="Times New Roman" w:hAnsi="Times New Roman"/>
                <w:szCs w:val="21"/>
              </w:rPr>
            </w:pP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ascii="Times New Roman" w:hAnsi="Times New Roman"/>
          <w:szCs w:val="21"/>
        </w:rPr>
        <w:t>请对室内热湿环境及热舒适保持时间进行</w:t>
      </w:r>
      <w:r>
        <w:rPr>
          <w:rFonts w:ascii="Times New Roman" w:hAnsi="Times New Roman"/>
          <w:szCs w:val="21"/>
        </w:rPr>
        <w:t>简要说明</w:t>
      </w:r>
      <w:r>
        <w:rPr>
          <w:rFonts w:hint="eastAsia" w:ascii="Times New Roman" w:hAnsi="Times New Roman"/>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82"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）暖通</w:t>
      </w:r>
      <w:r>
        <w:rPr>
          <w:rFonts w:ascii="Times New Roman" w:hAnsi="Times New Roman"/>
          <w:szCs w:val="21"/>
        </w:rPr>
        <w:t>竣工图</w:t>
      </w:r>
      <w:r>
        <w:rPr>
          <w:rFonts w:hint="eastAsia" w:ascii="Times New Roman" w:hAnsi="Times New Roman"/>
          <w:szCs w:val="21"/>
        </w:rPr>
        <w:t>及设计说明</w:t>
      </w:r>
      <w:r>
        <w:rPr>
          <w:rFonts w:ascii="Times New Roman" w:hAnsi="Times New Roman"/>
          <w:szCs w:val="21"/>
        </w:rPr>
        <w:t>、</w:t>
      </w:r>
      <w:r>
        <w:rPr>
          <w:rFonts w:hint="eastAsia" w:ascii="Times New Roman" w:hAnsi="Times New Roman"/>
          <w:szCs w:val="21"/>
        </w:rPr>
        <w:t>室内温度模拟分析报告和舒适温度预计达标比例分析报告；</w:t>
      </w:r>
    </w:p>
    <w:p>
      <w:pPr>
        <w:rPr>
          <w:rFonts w:ascii="Times New Roman" w:hAnsi="Times New Roman"/>
          <w:szCs w:val="21"/>
        </w:rPr>
      </w:pPr>
      <w:r>
        <w:rPr>
          <w:rFonts w:hint="eastAsia" w:ascii="Times New Roman" w:hAnsi="Times New Roman"/>
          <w:szCs w:val="21"/>
        </w:rPr>
        <w:t>2）预计达标比例计算报告或室内热湿环境实测值及PMV和PPD达标比例计算报告；</w:t>
      </w:r>
    </w:p>
    <w:p>
      <w:pPr>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室内温度模拟分析报告；</w:t>
      </w:r>
    </w:p>
    <w:p>
      <w:pPr>
        <w:rPr>
          <w:rFonts w:ascii="Times New Roman" w:hAnsi="Times New Roman"/>
          <w:szCs w:val="21"/>
        </w:rPr>
      </w:pPr>
      <w:r>
        <w:rPr>
          <w:rFonts w:ascii="Times New Roman" w:hAnsi="Times New Roman"/>
          <w:szCs w:val="21"/>
        </w:rPr>
        <w:t>4</w:t>
      </w:r>
      <w:r>
        <w:rPr>
          <w:rFonts w:hint="eastAsia" w:ascii="Times New Roman" w:hAnsi="Times New Roman"/>
          <w:szCs w:val="21"/>
        </w:rPr>
        <w:t>）舒适温度预计达标比例分析报告。</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17"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bCs w:val="0"/>
        </w:rPr>
      </w:pPr>
      <w:r>
        <w:rPr>
          <w:sz w:val="24"/>
          <w:szCs w:val="40"/>
        </w:rPr>
        <w:t>5.2.10</w:t>
      </w:r>
      <w:r>
        <w:rPr>
          <w:rFonts w:hint="eastAsia"/>
          <w:sz w:val="24"/>
          <w:szCs w:val="40"/>
        </w:rPr>
        <w:t xml:space="preserve"> </w:t>
      </w:r>
      <w:r>
        <w:rPr>
          <w:sz w:val="24"/>
          <w:szCs w:val="40"/>
        </w:rPr>
        <w:t>优化建筑空间和平面布局，改善自然通风效果。（8分）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266"/>
        <w:gridCol w:w="1978"/>
        <w:gridCol w:w="157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3" w:hRule="atLeast"/>
          <w:jc w:val="center"/>
        </w:trPr>
        <w:tc>
          <w:tcPr>
            <w:tcW w:w="515" w:type="pct"/>
            <w:noWrap w:val="0"/>
            <w:vAlign w:val="center"/>
          </w:tcPr>
          <w:p>
            <w:pPr>
              <w:jc w:val="center"/>
              <w:rPr>
                <w:rFonts w:ascii="Times New Roman" w:hAnsi="Times New Roman"/>
                <w:kern w:val="0"/>
                <w:szCs w:val="21"/>
              </w:rPr>
            </w:pPr>
            <w:r>
              <w:rPr>
                <w:rFonts w:ascii="Times New Roman" w:hAnsi="Times New Roman"/>
                <w:kern w:val="0"/>
                <w:szCs w:val="21"/>
              </w:rPr>
              <w:t>类型</w:t>
            </w:r>
          </w:p>
        </w:tc>
        <w:tc>
          <w:tcPr>
            <w:tcW w:w="2661" w:type="pct"/>
            <w:gridSpan w:val="2"/>
            <w:noWrap w:val="0"/>
            <w:vAlign w:val="center"/>
          </w:tcPr>
          <w:p>
            <w:pPr>
              <w:jc w:val="center"/>
              <w:rPr>
                <w:rFonts w:ascii="Times New Roman" w:hAnsi="Times New Roman"/>
                <w:b/>
                <w:kern w:val="0"/>
                <w:szCs w:val="21"/>
              </w:rPr>
            </w:pPr>
            <w:r>
              <w:rPr>
                <w:rFonts w:ascii="Times New Roman" w:hAnsi="Times New Roman"/>
                <w:szCs w:val="21"/>
              </w:rPr>
              <w:t>评价内容</w:t>
            </w:r>
          </w:p>
        </w:tc>
        <w:tc>
          <w:tcPr>
            <w:tcW w:w="989" w:type="pct"/>
            <w:noWrap w:val="0"/>
            <w:vAlign w:val="center"/>
          </w:tcPr>
          <w:p>
            <w:pPr>
              <w:jc w:val="center"/>
              <w:rPr>
                <w:rFonts w:ascii="Times New Roman" w:hAnsi="Times New Roman"/>
                <w:b/>
                <w:kern w:val="0"/>
                <w:szCs w:val="21"/>
              </w:rPr>
            </w:pPr>
            <w:r>
              <w:rPr>
                <w:rFonts w:ascii="Times New Roman" w:hAnsi="Times New Roman"/>
                <w:szCs w:val="21"/>
              </w:rPr>
              <w:t>评价分值</w:t>
            </w:r>
          </w:p>
        </w:tc>
        <w:tc>
          <w:tcPr>
            <w:tcW w:w="835" w:type="pct"/>
            <w:noWrap w:val="0"/>
            <w:vAlign w:val="center"/>
          </w:tcPr>
          <w:p>
            <w:pPr>
              <w:jc w:val="center"/>
              <w:rPr>
                <w:rFonts w:ascii="Times New Roman" w:hAnsi="Times New Roman"/>
                <w:b/>
                <w:kern w:val="0"/>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5" w:hRule="atLeast"/>
          <w:jc w:val="center"/>
        </w:trPr>
        <w:tc>
          <w:tcPr>
            <w:tcW w:w="515" w:type="pct"/>
            <w:vMerge w:val="restart"/>
            <w:noWrap w:val="0"/>
            <w:vAlign w:val="center"/>
          </w:tcPr>
          <w:p>
            <w:pPr>
              <w:jc w:val="center"/>
              <w:rPr>
                <w:rFonts w:ascii="Times New Roman" w:hAnsi="Times New Roman"/>
                <w:kern w:val="0"/>
                <w:szCs w:val="21"/>
              </w:rPr>
            </w:pPr>
            <w:r>
              <w:rPr>
                <w:rFonts w:hint="eastAsia" w:ascii="宋体" w:hAnsi="宋体"/>
                <w:szCs w:val="21"/>
              </w:rPr>
              <w:t>□</w:t>
            </w:r>
            <w:r>
              <w:rPr>
                <w:rFonts w:ascii="Times New Roman" w:hAnsi="Times New Roman"/>
                <w:kern w:val="0"/>
                <w:szCs w:val="21"/>
              </w:rPr>
              <w:t>居住建筑</w:t>
            </w:r>
          </w:p>
        </w:tc>
        <w:tc>
          <w:tcPr>
            <w:tcW w:w="1421" w:type="pct"/>
            <w:vMerge w:val="restart"/>
            <w:noWrap w:val="0"/>
            <w:vAlign w:val="center"/>
          </w:tcPr>
          <w:p>
            <w:pPr>
              <w:jc w:val="left"/>
              <w:rPr>
                <w:rFonts w:ascii="Times New Roman" w:hAnsi="Times New Roman"/>
                <w:kern w:val="0"/>
                <w:szCs w:val="21"/>
              </w:rPr>
            </w:pPr>
            <w:r>
              <w:rPr>
                <w:rFonts w:ascii="Times New Roman" w:hAnsi="Times New Roman"/>
                <w:kern w:val="0"/>
                <w:szCs w:val="21"/>
              </w:rPr>
              <w:t>通风开口面积与房间地板面积的比例</w:t>
            </w:r>
          </w:p>
        </w:tc>
        <w:tc>
          <w:tcPr>
            <w:tcW w:w="1240" w:type="pct"/>
            <w:noWrap w:val="0"/>
            <w:vAlign w:val="center"/>
          </w:tcPr>
          <w:p>
            <w:pPr>
              <w:jc w:val="center"/>
              <w:rPr>
                <w:rFonts w:ascii="Times New Roman" w:hAnsi="Times New Roman"/>
                <w:kern w:val="0"/>
                <w:szCs w:val="21"/>
              </w:rPr>
            </w:pPr>
            <w:r>
              <w:rPr>
                <w:rFonts w:ascii="Times New Roman" w:hAnsi="Times New Roman"/>
                <w:kern w:val="0"/>
                <w:szCs w:val="21"/>
              </w:rPr>
              <w:t>夏热冬暖地区达到12%</w:t>
            </w:r>
          </w:p>
        </w:tc>
        <w:tc>
          <w:tcPr>
            <w:tcW w:w="989" w:type="pct"/>
            <w:vMerge w:val="restart"/>
            <w:noWrap w:val="0"/>
            <w:vAlign w:val="center"/>
          </w:tcPr>
          <w:p>
            <w:pPr>
              <w:jc w:val="center"/>
              <w:rPr>
                <w:rFonts w:ascii="Times New Roman" w:hAnsi="Times New Roman"/>
                <w:kern w:val="0"/>
                <w:szCs w:val="21"/>
              </w:rPr>
            </w:pPr>
            <w:r>
              <w:rPr>
                <w:rFonts w:ascii="Times New Roman" w:hAnsi="Times New Roman"/>
                <w:kern w:val="0"/>
                <w:szCs w:val="21"/>
              </w:rPr>
              <w:t>5</w:t>
            </w:r>
          </w:p>
        </w:tc>
        <w:tc>
          <w:tcPr>
            <w:tcW w:w="835" w:type="pct"/>
            <w:vMerge w:val="restart"/>
            <w:noWrap w:val="0"/>
            <w:vAlign w:val="center"/>
          </w:tcPr>
          <w:p>
            <w:pPr>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2" w:hRule="atLeast"/>
          <w:jc w:val="center"/>
        </w:trPr>
        <w:tc>
          <w:tcPr>
            <w:tcW w:w="515" w:type="pct"/>
            <w:vMerge w:val="continue"/>
            <w:noWrap w:val="0"/>
            <w:vAlign w:val="center"/>
          </w:tcPr>
          <w:p>
            <w:pPr>
              <w:jc w:val="center"/>
              <w:rPr>
                <w:rFonts w:ascii="Times New Roman" w:hAnsi="Times New Roman"/>
                <w:kern w:val="0"/>
                <w:szCs w:val="21"/>
              </w:rPr>
            </w:pPr>
          </w:p>
        </w:tc>
        <w:tc>
          <w:tcPr>
            <w:tcW w:w="1421" w:type="pct"/>
            <w:vMerge w:val="continue"/>
            <w:noWrap w:val="0"/>
            <w:vAlign w:val="center"/>
          </w:tcPr>
          <w:p>
            <w:pPr>
              <w:jc w:val="center"/>
              <w:rPr>
                <w:rFonts w:ascii="Times New Roman" w:hAnsi="Times New Roman"/>
                <w:kern w:val="0"/>
                <w:szCs w:val="21"/>
              </w:rPr>
            </w:pPr>
          </w:p>
        </w:tc>
        <w:tc>
          <w:tcPr>
            <w:tcW w:w="1240" w:type="pct"/>
            <w:noWrap w:val="0"/>
            <w:vAlign w:val="center"/>
          </w:tcPr>
          <w:p>
            <w:pPr>
              <w:jc w:val="center"/>
              <w:rPr>
                <w:rFonts w:ascii="Times New Roman" w:hAnsi="Times New Roman"/>
                <w:kern w:val="0"/>
                <w:szCs w:val="21"/>
              </w:rPr>
            </w:pPr>
            <w:r>
              <w:rPr>
                <w:rFonts w:ascii="Times New Roman" w:hAnsi="Times New Roman"/>
                <w:kern w:val="0"/>
                <w:szCs w:val="21"/>
              </w:rPr>
              <w:t>夏热冬冷地区达到8%</w:t>
            </w:r>
          </w:p>
        </w:tc>
        <w:tc>
          <w:tcPr>
            <w:tcW w:w="989" w:type="pct"/>
            <w:vMerge w:val="continue"/>
            <w:noWrap w:val="0"/>
            <w:vAlign w:val="center"/>
          </w:tcPr>
          <w:p>
            <w:pPr>
              <w:jc w:val="center"/>
              <w:rPr>
                <w:rFonts w:ascii="Times New Roman" w:hAnsi="Times New Roman"/>
                <w:kern w:val="0"/>
                <w:szCs w:val="21"/>
              </w:rPr>
            </w:pPr>
          </w:p>
        </w:tc>
        <w:tc>
          <w:tcPr>
            <w:tcW w:w="835" w:type="pct"/>
            <w:vMerge w:val="continue"/>
            <w:noWrap w:val="0"/>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2" w:hRule="atLeast"/>
          <w:jc w:val="center"/>
        </w:trPr>
        <w:tc>
          <w:tcPr>
            <w:tcW w:w="515" w:type="pct"/>
            <w:vMerge w:val="continue"/>
            <w:noWrap w:val="0"/>
            <w:vAlign w:val="center"/>
          </w:tcPr>
          <w:p>
            <w:pPr>
              <w:jc w:val="center"/>
              <w:rPr>
                <w:rFonts w:ascii="Times New Roman" w:hAnsi="Times New Roman"/>
                <w:kern w:val="0"/>
                <w:szCs w:val="21"/>
              </w:rPr>
            </w:pPr>
          </w:p>
        </w:tc>
        <w:tc>
          <w:tcPr>
            <w:tcW w:w="1421" w:type="pct"/>
            <w:vMerge w:val="continue"/>
            <w:noWrap w:val="0"/>
            <w:vAlign w:val="center"/>
          </w:tcPr>
          <w:p>
            <w:pPr>
              <w:jc w:val="center"/>
              <w:rPr>
                <w:rFonts w:ascii="Times New Roman" w:hAnsi="Times New Roman"/>
                <w:kern w:val="0"/>
                <w:szCs w:val="21"/>
              </w:rPr>
            </w:pPr>
          </w:p>
        </w:tc>
        <w:tc>
          <w:tcPr>
            <w:tcW w:w="1240" w:type="pct"/>
            <w:noWrap w:val="0"/>
            <w:vAlign w:val="center"/>
          </w:tcPr>
          <w:p>
            <w:pPr>
              <w:jc w:val="center"/>
              <w:rPr>
                <w:rFonts w:ascii="Times New Roman" w:hAnsi="Times New Roman"/>
                <w:kern w:val="0"/>
                <w:szCs w:val="21"/>
              </w:rPr>
            </w:pPr>
            <w:r>
              <w:rPr>
                <w:rFonts w:ascii="Times New Roman" w:hAnsi="Times New Roman"/>
                <w:kern w:val="0"/>
                <w:szCs w:val="21"/>
              </w:rPr>
              <w:t>其他地区达到5%</w:t>
            </w:r>
          </w:p>
        </w:tc>
        <w:tc>
          <w:tcPr>
            <w:tcW w:w="989" w:type="pct"/>
            <w:vMerge w:val="continue"/>
            <w:noWrap w:val="0"/>
            <w:vAlign w:val="center"/>
          </w:tcPr>
          <w:p>
            <w:pPr>
              <w:jc w:val="center"/>
              <w:rPr>
                <w:rFonts w:ascii="Times New Roman" w:hAnsi="Times New Roman"/>
                <w:kern w:val="0"/>
                <w:szCs w:val="21"/>
              </w:rPr>
            </w:pPr>
          </w:p>
        </w:tc>
        <w:tc>
          <w:tcPr>
            <w:tcW w:w="835" w:type="pct"/>
            <w:vMerge w:val="continue"/>
            <w:noWrap w:val="0"/>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3" w:hRule="atLeast"/>
          <w:jc w:val="center"/>
        </w:trPr>
        <w:tc>
          <w:tcPr>
            <w:tcW w:w="515" w:type="pct"/>
            <w:vMerge w:val="continue"/>
            <w:noWrap w:val="0"/>
            <w:vAlign w:val="center"/>
          </w:tcPr>
          <w:p>
            <w:pPr>
              <w:jc w:val="center"/>
              <w:rPr>
                <w:rFonts w:ascii="Times New Roman" w:hAnsi="Times New Roman"/>
                <w:kern w:val="0"/>
                <w:szCs w:val="21"/>
              </w:rPr>
            </w:pPr>
          </w:p>
        </w:tc>
        <w:tc>
          <w:tcPr>
            <w:tcW w:w="2661" w:type="pct"/>
            <w:gridSpan w:val="2"/>
            <w:noWrap w:val="0"/>
            <w:vAlign w:val="center"/>
          </w:tcPr>
          <w:p>
            <w:pPr>
              <w:jc w:val="center"/>
              <w:rPr>
                <w:rFonts w:ascii="Times New Roman" w:hAnsi="Times New Roman"/>
                <w:kern w:val="0"/>
                <w:szCs w:val="21"/>
              </w:rPr>
            </w:pPr>
            <w:r>
              <w:rPr>
                <w:rFonts w:ascii="Times New Roman" w:hAnsi="Times New Roman"/>
                <w:kern w:val="0"/>
                <w:szCs w:val="21"/>
              </w:rPr>
              <w:t>增加2%</w:t>
            </w:r>
          </w:p>
        </w:tc>
        <w:tc>
          <w:tcPr>
            <w:tcW w:w="989" w:type="pct"/>
            <w:noWrap w:val="0"/>
            <w:vAlign w:val="center"/>
          </w:tcPr>
          <w:p>
            <w:pPr>
              <w:jc w:val="center"/>
              <w:rPr>
                <w:rFonts w:ascii="Times New Roman" w:hAnsi="Times New Roman"/>
                <w:kern w:val="0"/>
                <w:szCs w:val="21"/>
              </w:rPr>
            </w:pPr>
            <w:r>
              <w:rPr>
                <w:rFonts w:ascii="Times New Roman" w:hAnsi="Times New Roman"/>
                <w:kern w:val="0"/>
                <w:szCs w:val="21"/>
              </w:rPr>
              <w:t>6</w:t>
            </w:r>
          </w:p>
        </w:tc>
        <w:tc>
          <w:tcPr>
            <w:tcW w:w="835" w:type="pct"/>
            <w:vMerge w:val="continue"/>
            <w:noWrap w:val="0"/>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2" w:hRule="atLeast"/>
          <w:jc w:val="center"/>
        </w:trPr>
        <w:tc>
          <w:tcPr>
            <w:tcW w:w="515" w:type="pct"/>
            <w:vMerge w:val="continue"/>
            <w:noWrap w:val="0"/>
            <w:vAlign w:val="center"/>
          </w:tcPr>
          <w:p>
            <w:pPr>
              <w:jc w:val="center"/>
              <w:rPr>
                <w:rFonts w:ascii="Times New Roman" w:hAnsi="Times New Roman"/>
                <w:kern w:val="0"/>
                <w:szCs w:val="21"/>
              </w:rPr>
            </w:pPr>
          </w:p>
        </w:tc>
        <w:tc>
          <w:tcPr>
            <w:tcW w:w="2661" w:type="pct"/>
            <w:gridSpan w:val="2"/>
            <w:noWrap w:val="0"/>
            <w:vAlign w:val="center"/>
          </w:tcPr>
          <w:p>
            <w:pPr>
              <w:jc w:val="center"/>
              <w:rPr>
                <w:rFonts w:ascii="Times New Roman" w:hAnsi="Times New Roman"/>
                <w:kern w:val="0"/>
                <w:szCs w:val="21"/>
              </w:rPr>
            </w:pPr>
            <w:r>
              <w:rPr>
                <w:rFonts w:ascii="Times New Roman" w:hAnsi="Times New Roman"/>
                <w:kern w:val="0"/>
                <w:szCs w:val="21"/>
              </w:rPr>
              <w:t>增加4%</w:t>
            </w:r>
          </w:p>
        </w:tc>
        <w:tc>
          <w:tcPr>
            <w:tcW w:w="989" w:type="pct"/>
            <w:noWrap w:val="0"/>
            <w:vAlign w:val="center"/>
          </w:tcPr>
          <w:p>
            <w:pPr>
              <w:jc w:val="center"/>
              <w:rPr>
                <w:rFonts w:ascii="Times New Roman" w:hAnsi="Times New Roman"/>
                <w:kern w:val="0"/>
                <w:szCs w:val="21"/>
              </w:rPr>
            </w:pPr>
            <w:r>
              <w:rPr>
                <w:rFonts w:ascii="Times New Roman" w:hAnsi="Times New Roman"/>
                <w:kern w:val="0"/>
                <w:szCs w:val="21"/>
              </w:rPr>
              <w:t>7</w:t>
            </w:r>
          </w:p>
        </w:tc>
        <w:tc>
          <w:tcPr>
            <w:tcW w:w="835" w:type="pct"/>
            <w:vMerge w:val="continue"/>
            <w:noWrap w:val="0"/>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2" w:hRule="atLeast"/>
          <w:jc w:val="center"/>
        </w:trPr>
        <w:tc>
          <w:tcPr>
            <w:tcW w:w="515" w:type="pct"/>
            <w:vMerge w:val="continue"/>
            <w:noWrap w:val="0"/>
            <w:vAlign w:val="center"/>
          </w:tcPr>
          <w:p>
            <w:pPr>
              <w:jc w:val="center"/>
              <w:rPr>
                <w:rFonts w:ascii="Times New Roman" w:hAnsi="Times New Roman"/>
                <w:kern w:val="0"/>
                <w:szCs w:val="21"/>
              </w:rPr>
            </w:pPr>
          </w:p>
        </w:tc>
        <w:tc>
          <w:tcPr>
            <w:tcW w:w="2661" w:type="pct"/>
            <w:gridSpan w:val="2"/>
            <w:noWrap w:val="0"/>
            <w:vAlign w:val="center"/>
          </w:tcPr>
          <w:p>
            <w:pPr>
              <w:jc w:val="center"/>
              <w:rPr>
                <w:rFonts w:ascii="Times New Roman" w:hAnsi="Times New Roman"/>
                <w:kern w:val="0"/>
                <w:szCs w:val="21"/>
              </w:rPr>
            </w:pPr>
            <w:r>
              <w:rPr>
                <w:rFonts w:ascii="Times New Roman" w:hAnsi="Times New Roman"/>
                <w:kern w:val="0"/>
                <w:szCs w:val="21"/>
              </w:rPr>
              <w:t>增加6%</w:t>
            </w:r>
          </w:p>
        </w:tc>
        <w:tc>
          <w:tcPr>
            <w:tcW w:w="989" w:type="pct"/>
            <w:noWrap w:val="0"/>
            <w:vAlign w:val="center"/>
          </w:tcPr>
          <w:p>
            <w:pPr>
              <w:jc w:val="center"/>
              <w:rPr>
                <w:rFonts w:ascii="Times New Roman" w:hAnsi="Times New Roman"/>
                <w:kern w:val="0"/>
                <w:szCs w:val="21"/>
              </w:rPr>
            </w:pPr>
            <w:r>
              <w:rPr>
                <w:rFonts w:ascii="Times New Roman" w:hAnsi="Times New Roman"/>
                <w:kern w:val="0"/>
                <w:szCs w:val="21"/>
              </w:rPr>
              <w:t>8</w:t>
            </w:r>
          </w:p>
        </w:tc>
        <w:tc>
          <w:tcPr>
            <w:tcW w:w="835" w:type="pct"/>
            <w:vMerge w:val="continue"/>
            <w:noWrap w:val="0"/>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5" w:hRule="atLeast"/>
          <w:jc w:val="center"/>
        </w:trPr>
        <w:tc>
          <w:tcPr>
            <w:tcW w:w="515" w:type="pct"/>
            <w:vMerge w:val="restart"/>
            <w:noWrap w:val="0"/>
            <w:vAlign w:val="center"/>
          </w:tcPr>
          <w:p>
            <w:pPr>
              <w:jc w:val="center"/>
              <w:rPr>
                <w:rFonts w:ascii="Times New Roman" w:hAnsi="Times New Roman"/>
                <w:kern w:val="0"/>
                <w:szCs w:val="21"/>
              </w:rPr>
            </w:pPr>
            <w:r>
              <w:rPr>
                <w:rFonts w:hint="eastAsia" w:ascii="宋体" w:hAnsi="宋体"/>
                <w:szCs w:val="21"/>
              </w:rPr>
              <w:t>□</w:t>
            </w:r>
            <w:r>
              <w:rPr>
                <w:rFonts w:ascii="Times New Roman" w:hAnsi="Times New Roman"/>
                <w:kern w:val="0"/>
                <w:szCs w:val="21"/>
              </w:rPr>
              <w:t>公共建筑</w:t>
            </w:r>
          </w:p>
        </w:tc>
        <w:tc>
          <w:tcPr>
            <w:tcW w:w="1421" w:type="pct"/>
            <w:vMerge w:val="restart"/>
            <w:noWrap w:val="0"/>
            <w:vAlign w:val="center"/>
          </w:tcPr>
          <w:p>
            <w:pPr>
              <w:autoSpaceDE w:val="0"/>
              <w:autoSpaceDN w:val="0"/>
              <w:adjustRightInd w:val="0"/>
              <w:jc w:val="left"/>
              <w:rPr>
                <w:rFonts w:ascii="Times New Roman" w:hAnsi="Times New Roman"/>
                <w:kern w:val="0"/>
                <w:szCs w:val="21"/>
              </w:rPr>
            </w:pPr>
            <w:r>
              <w:rPr>
                <w:rFonts w:ascii="Times New Roman" w:hAnsi="Times New Roman"/>
                <w:kern w:val="0"/>
                <w:szCs w:val="21"/>
              </w:rPr>
              <w:t>过渡季典型工况下主要功能房间的平均自然通风换气次数不小于2次/h的面积比例RR</w:t>
            </w:r>
          </w:p>
        </w:tc>
        <w:tc>
          <w:tcPr>
            <w:tcW w:w="1240" w:type="pct"/>
            <w:noWrap w:val="0"/>
            <w:vAlign w:val="center"/>
          </w:tcPr>
          <w:p>
            <w:pPr>
              <w:jc w:val="center"/>
              <w:rPr>
                <w:rFonts w:ascii="Times New Roman" w:hAnsi="Times New Roman"/>
                <w:kern w:val="0"/>
                <w:szCs w:val="21"/>
              </w:rPr>
            </w:pPr>
            <w:r>
              <w:rPr>
                <w:rFonts w:ascii="Times New Roman" w:hAnsi="Times New Roman"/>
                <w:kern w:val="0"/>
                <w:szCs w:val="21"/>
              </w:rPr>
              <w:t>70%≤</w:t>
            </w:r>
            <w:r>
              <w:rPr>
                <w:rFonts w:ascii="Times New Roman" w:hAnsi="Times New Roman"/>
                <w:i/>
                <w:iCs/>
                <w:kern w:val="0"/>
                <w:szCs w:val="21"/>
              </w:rPr>
              <w:t>R</w:t>
            </w:r>
            <w:r>
              <w:rPr>
                <w:rFonts w:ascii="Times New Roman" w:hAnsi="Times New Roman"/>
                <w:kern w:val="0"/>
                <w:szCs w:val="21"/>
                <w:vertAlign w:val="subscript"/>
              </w:rPr>
              <w:t>R</w:t>
            </w:r>
            <w:r>
              <w:rPr>
                <w:rFonts w:ascii="Times New Roman" w:hAnsi="Times New Roman"/>
                <w:kern w:val="0"/>
                <w:szCs w:val="21"/>
              </w:rPr>
              <w:t>＜80%</w:t>
            </w:r>
          </w:p>
        </w:tc>
        <w:tc>
          <w:tcPr>
            <w:tcW w:w="989" w:type="pct"/>
            <w:noWrap w:val="0"/>
            <w:vAlign w:val="center"/>
          </w:tcPr>
          <w:p>
            <w:pPr>
              <w:jc w:val="center"/>
              <w:rPr>
                <w:rFonts w:ascii="Times New Roman" w:hAnsi="Times New Roman"/>
                <w:kern w:val="0"/>
                <w:szCs w:val="21"/>
              </w:rPr>
            </w:pPr>
            <w:r>
              <w:rPr>
                <w:rFonts w:ascii="Times New Roman" w:hAnsi="Times New Roman"/>
                <w:kern w:val="0"/>
                <w:szCs w:val="21"/>
              </w:rPr>
              <w:t>5</w:t>
            </w:r>
          </w:p>
        </w:tc>
        <w:tc>
          <w:tcPr>
            <w:tcW w:w="835" w:type="pct"/>
            <w:vMerge w:val="continue"/>
            <w:noWrap w:val="0"/>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2" w:hRule="atLeast"/>
          <w:jc w:val="center"/>
        </w:trPr>
        <w:tc>
          <w:tcPr>
            <w:tcW w:w="515" w:type="pct"/>
            <w:vMerge w:val="continue"/>
            <w:noWrap w:val="0"/>
            <w:vAlign w:val="center"/>
          </w:tcPr>
          <w:p>
            <w:pPr>
              <w:autoSpaceDE w:val="0"/>
              <w:autoSpaceDN w:val="0"/>
              <w:adjustRightInd w:val="0"/>
              <w:jc w:val="center"/>
              <w:rPr>
                <w:rFonts w:ascii="Times New Roman" w:hAnsi="Times New Roman"/>
                <w:kern w:val="0"/>
                <w:szCs w:val="21"/>
              </w:rPr>
            </w:pPr>
          </w:p>
        </w:tc>
        <w:tc>
          <w:tcPr>
            <w:tcW w:w="1421" w:type="pct"/>
            <w:vMerge w:val="continue"/>
            <w:noWrap w:val="0"/>
            <w:vAlign w:val="center"/>
          </w:tcPr>
          <w:p>
            <w:pPr>
              <w:autoSpaceDE w:val="0"/>
              <w:autoSpaceDN w:val="0"/>
              <w:adjustRightInd w:val="0"/>
              <w:jc w:val="center"/>
              <w:rPr>
                <w:rFonts w:ascii="Times New Roman" w:hAnsi="Times New Roman"/>
                <w:kern w:val="0"/>
                <w:szCs w:val="21"/>
              </w:rPr>
            </w:pPr>
          </w:p>
        </w:tc>
        <w:tc>
          <w:tcPr>
            <w:tcW w:w="1240" w:type="pct"/>
            <w:noWrap w:val="0"/>
            <w:vAlign w:val="center"/>
          </w:tcPr>
          <w:p>
            <w:pPr>
              <w:jc w:val="center"/>
              <w:rPr>
                <w:rFonts w:ascii="Times New Roman" w:hAnsi="Times New Roman"/>
                <w:kern w:val="0"/>
                <w:szCs w:val="21"/>
              </w:rPr>
            </w:pPr>
            <w:r>
              <w:rPr>
                <w:rFonts w:ascii="Times New Roman" w:hAnsi="Times New Roman"/>
                <w:kern w:val="0"/>
                <w:szCs w:val="21"/>
              </w:rPr>
              <w:t>80%≤</w:t>
            </w:r>
            <w:r>
              <w:rPr>
                <w:rFonts w:ascii="Times New Roman" w:hAnsi="Times New Roman"/>
                <w:i/>
                <w:iCs/>
                <w:kern w:val="0"/>
                <w:szCs w:val="21"/>
              </w:rPr>
              <w:t>R</w:t>
            </w:r>
            <w:r>
              <w:rPr>
                <w:rFonts w:ascii="Times New Roman" w:hAnsi="Times New Roman"/>
                <w:kern w:val="0"/>
                <w:szCs w:val="21"/>
                <w:vertAlign w:val="subscript"/>
              </w:rPr>
              <w:t>R</w:t>
            </w:r>
            <w:r>
              <w:rPr>
                <w:rFonts w:ascii="Times New Roman" w:hAnsi="Times New Roman"/>
                <w:kern w:val="0"/>
                <w:szCs w:val="21"/>
              </w:rPr>
              <w:t>＜90%</w:t>
            </w:r>
          </w:p>
        </w:tc>
        <w:tc>
          <w:tcPr>
            <w:tcW w:w="989" w:type="pct"/>
            <w:noWrap w:val="0"/>
            <w:vAlign w:val="center"/>
          </w:tcPr>
          <w:p>
            <w:pPr>
              <w:jc w:val="center"/>
              <w:rPr>
                <w:rFonts w:ascii="Times New Roman" w:hAnsi="Times New Roman"/>
                <w:kern w:val="0"/>
                <w:szCs w:val="21"/>
              </w:rPr>
            </w:pPr>
            <w:r>
              <w:rPr>
                <w:rFonts w:ascii="Times New Roman" w:hAnsi="Times New Roman"/>
                <w:kern w:val="0"/>
                <w:szCs w:val="21"/>
              </w:rPr>
              <w:t>6</w:t>
            </w:r>
          </w:p>
        </w:tc>
        <w:tc>
          <w:tcPr>
            <w:tcW w:w="835" w:type="pct"/>
            <w:vMerge w:val="continue"/>
            <w:noWrap w:val="0"/>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2" w:hRule="atLeast"/>
          <w:jc w:val="center"/>
        </w:trPr>
        <w:tc>
          <w:tcPr>
            <w:tcW w:w="515" w:type="pct"/>
            <w:vMerge w:val="continue"/>
            <w:noWrap w:val="0"/>
            <w:vAlign w:val="center"/>
          </w:tcPr>
          <w:p>
            <w:pPr>
              <w:autoSpaceDE w:val="0"/>
              <w:autoSpaceDN w:val="0"/>
              <w:adjustRightInd w:val="0"/>
              <w:jc w:val="center"/>
              <w:rPr>
                <w:rFonts w:ascii="Times New Roman" w:hAnsi="Times New Roman"/>
                <w:kern w:val="0"/>
                <w:szCs w:val="21"/>
              </w:rPr>
            </w:pPr>
          </w:p>
        </w:tc>
        <w:tc>
          <w:tcPr>
            <w:tcW w:w="1421" w:type="pct"/>
            <w:vMerge w:val="continue"/>
            <w:noWrap w:val="0"/>
            <w:vAlign w:val="center"/>
          </w:tcPr>
          <w:p>
            <w:pPr>
              <w:autoSpaceDE w:val="0"/>
              <w:autoSpaceDN w:val="0"/>
              <w:adjustRightInd w:val="0"/>
              <w:jc w:val="center"/>
              <w:rPr>
                <w:rFonts w:ascii="Times New Roman" w:hAnsi="Times New Roman"/>
                <w:kern w:val="0"/>
                <w:szCs w:val="21"/>
              </w:rPr>
            </w:pPr>
          </w:p>
        </w:tc>
        <w:tc>
          <w:tcPr>
            <w:tcW w:w="1240" w:type="pct"/>
            <w:noWrap w:val="0"/>
            <w:vAlign w:val="center"/>
          </w:tcPr>
          <w:p>
            <w:pPr>
              <w:jc w:val="center"/>
              <w:rPr>
                <w:rFonts w:ascii="Times New Roman" w:hAnsi="Times New Roman"/>
                <w:kern w:val="0"/>
                <w:szCs w:val="21"/>
              </w:rPr>
            </w:pPr>
            <w:r>
              <w:rPr>
                <w:rFonts w:ascii="Times New Roman" w:hAnsi="Times New Roman"/>
                <w:kern w:val="0"/>
                <w:szCs w:val="21"/>
              </w:rPr>
              <w:t>90%≤</w:t>
            </w:r>
            <w:r>
              <w:rPr>
                <w:rFonts w:ascii="Times New Roman" w:hAnsi="Times New Roman"/>
                <w:i/>
                <w:iCs/>
                <w:kern w:val="0"/>
                <w:szCs w:val="21"/>
              </w:rPr>
              <w:t>R</w:t>
            </w:r>
            <w:r>
              <w:rPr>
                <w:rFonts w:ascii="Times New Roman" w:hAnsi="Times New Roman"/>
                <w:kern w:val="0"/>
                <w:szCs w:val="21"/>
                <w:vertAlign w:val="subscript"/>
              </w:rPr>
              <w:t>R</w:t>
            </w:r>
            <w:r>
              <w:rPr>
                <w:rFonts w:ascii="Times New Roman" w:hAnsi="Times New Roman"/>
                <w:kern w:val="0"/>
                <w:szCs w:val="21"/>
              </w:rPr>
              <w:t>＜100%</w:t>
            </w:r>
          </w:p>
        </w:tc>
        <w:tc>
          <w:tcPr>
            <w:tcW w:w="989" w:type="pct"/>
            <w:noWrap w:val="0"/>
            <w:vAlign w:val="center"/>
          </w:tcPr>
          <w:p>
            <w:pPr>
              <w:jc w:val="center"/>
              <w:rPr>
                <w:rFonts w:ascii="Times New Roman" w:hAnsi="Times New Roman"/>
                <w:kern w:val="0"/>
                <w:szCs w:val="21"/>
              </w:rPr>
            </w:pPr>
            <w:r>
              <w:rPr>
                <w:rFonts w:ascii="Times New Roman" w:hAnsi="Times New Roman"/>
                <w:kern w:val="0"/>
                <w:szCs w:val="21"/>
              </w:rPr>
              <w:t>7</w:t>
            </w:r>
          </w:p>
        </w:tc>
        <w:tc>
          <w:tcPr>
            <w:tcW w:w="835" w:type="pct"/>
            <w:vMerge w:val="continue"/>
            <w:noWrap w:val="0"/>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2" w:hRule="atLeast"/>
          <w:jc w:val="center"/>
        </w:trPr>
        <w:tc>
          <w:tcPr>
            <w:tcW w:w="515" w:type="pct"/>
            <w:vMerge w:val="continue"/>
            <w:noWrap w:val="0"/>
            <w:vAlign w:val="center"/>
          </w:tcPr>
          <w:p>
            <w:pPr>
              <w:autoSpaceDE w:val="0"/>
              <w:autoSpaceDN w:val="0"/>
              <w:adjustRightInd w:val="0"/>
              <w:jc w:val="center"/>
              <w:rPr>
                <w:rFonts w:ascii="Times New Roman" w:hAnsi="Times New Roman"/>
                <w:kern w:val="0"/>
                <w:szCs w:val="21"/>
              </w:rPr>
            </w:pPr>
          </w:p>
        </w:tc>
        <w:tc>
          <w:tcPr>
            <w:tcW w:w="1421" w:type="pct"/>
            <w:vMerge w:val="continue"/>
            <w:noWrap w:val="0"/>
            <w:vAlign w:val="center"/>
          </w:tcPr>
          <w:p>
            <w:pPr>
              <w:autoSpaceDE w:val="0"/>
              <w:autoSpaceDN w:val="0"/>
              <w:adjustRightInd w:val="0"/>
              <w:jc w:val="center"/>
              <w:rPr>
                <w:rFonts w:ascii="Times New Roman" w:hAnsi="Times New Roman"/>
                <w:kern w:val="0"/>
                <w:szCs w:val="21"/>
              </w:rPr>
            </w:pPr>
          </w:p>
        </w:tc>
        <w:tc>
          <w:tcPr>
            <w:tcW w:w="1240" w:type="pct"/>
            <w:noWrap w:val="0"/>
            <w:vAlign w:val="center"/>
          </w:tcPr>
          <w:p>
            <w:pPr>
              <w:jc w:val="center"/>
              <w:rPr>
                <w:rFonts w:ascii="Times New Roman" w:hAnsi="Times New Roman"/>
                <w:kern w:val="0"/>
                <w:szCs w:val="21"/>
              </w:rPr>
            </w:pPr>
            <w:r>
              <w:rPr>
                <w:rFonts w:ascii="Times New Roman" w:hAnsi="Times New Roman"/>
                <w:kern w:val="0"/>
                <w:szCs w:val="21"/>
              </w:rPr>
              <w:t>100%</w:t>
            </w:r>
          </w:p>
        </w:tc>
        <w:tc>
          <w:tcPr>
            <w:tcW w:w="989" w:type="pct"/>
            <w:noWrap w:val="0"/>
            <w:vAlign w:val="center"/>
          </w:tcPr>
          <w:p>
            <w:pPr>
              <w:jc w:val="center"/>
              <w:rPr>
                <w:rFonts w:ascii="Times New Roman" w:hAnsi="Times New Roman"/>
                <w:kern w:val="0"/>
                <w:szCs w:val="21"/>
              </w:rPr>
            </w:pPr>
            <w:r>
              <w:rPr>
                <w:rFonts w:ascii="Times New Roman" w:hAnsi="Times New Roman"/>
                <w:kern w:val="0"/>
                <w:szCs w:val="21"/>
              </w:rPr>
              <w:t>8</w:t>
            </w:r>
          </w:p>
        </w:tc>
        <w:tc>
          <w:tcPr>
            <w:tcW w:w="835" w:type="pct"/>
            <w:vMerge w:val="continue"/>
            <w:noWrap w:val="0"/>
            <w:vAlign w:val="center"/>
          </w:tcPr>
          <w:p>
            <w:pPr>
              <w:jc w:val="center"/>
              <w:rPr>
                <w:rFonts w:ascii="Times New Roman" w:hAnsi="Times New Roman"/>
                <w:kern w:val="0"/>
                <w:szCs w:val="21"/>
              </w:rPr>
            </w:pPr>
          </w:p>
        </w:tc>
      </w:tr>
    </w:tbl>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项目所处城市的建筑热工气候分区：</w:t>
      </w:r>
      <w:r>
        <w:rPr>
          <w:rFonts w:hint="eastAsia" w:ascii="宋体" w:hAnsi="宋体"/>
          <w:szCs w:val="21"/>
        </w:rPr>
        <w:t>□</w:t>
      </w:r>
      <w:r>
        <w:rPr>
          <w:rFonts w:hint="eastAsia"/>
        </w:rPr>
        <w:t>严寒</w:t>
      </w:r>
      <w:r>
        <w:t xml:space="preserve"> </w:t>
      </w:r>
      <w:r>
        <w:rPr>
          <w:rFonts w:hint="eastAsia"/>
          <w:lang w:val="zh-CN"/>
        </w:rPr>
        <w:t>□寒冷</w:t>
      </w:r>
      <w:r>
        <w:rPr>
          <w:lang w:val="zh-CN"/>
        </w:rPr>
        <w:t xml:space="preserve"> </w:t>
      </w:r>
      <w:r>
        <w:rPr>
          <w:rFonts w:hint="eastAsia"/>
          <w:lang w:val="zh-CN"/>
        </w:rPr>
        <w:t>□夏热冬冷</w:t>
      </w:r>
      <w:r>
        <w:rPr>
          <w:lang w:val="zh-CN"/>
        </w:rPr>
        <w:t xml:space="preserve"> </w:t>
      </w:r>
      <w:r>
        <w:rPr>
          <w:rFonts w:hint="eastAsia"/>
          <w:lang w:val="zh-CN"/>
        </w:rPr>
        <w:t>□夏热冬暖</w:t>
      </w:r>
      <w:r>
        <w:rPr>
          <w:lang w:val="zh-CN"/>
        </w:rPr>
        <w:t xml:space="preserve"> </w:t>
      </w:r>
      <w:r>
        <w:rPr>
          <w:rFonts w:hint="eastAsia"/>
          <w:lang w:val="zh-CN"/>
        </w:rPr>
        <w:t>□温和</w:t>
      </w:r>
    </w:p>
    <w:p>
      <w:pPr>
        <w:rPr>
          <w:rFonts w:ascii="宋体" w:hAnsi="宋体"/>
          <w:szCs w:val="21"/>
        </w:rPr>
      </w:pPr>
    </w:p>
    <w:p>
      <w:r>
        <w:rPr>
          <w:rFonts w:hint="eastAsia" w:ascii="宋体" w:hAnsi="宋体"/>
          <w:szCs w:val="21"/>
        </w:rPr>
        <w:t>□</w:t>
      </w:r>
      <w:r>
        <w:rPr>
          <w:rFonts w:hint="eastAsia"/>
        </w:rPr>
        <w:t>居住建筑</w:t>
      </w:r>
    </w:p>
    <w:p>
      <w:r>
        <w:rPr>
          <w:rFonts w:hint="eastAsia"/>
        </w:rPr>
        <w:t>主要功能房间通风开口面积与房间地板面积比例表：</w:t>
      </w:r>
    </w:p>
    <w:tbl>
      <w:tblPr>
        <w:tblStyle w:val="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236"/>
        <w:gridCol w:w="1656"/>
        <w:gridCol w:w="333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542" w:type="dxa"/>
            <w:noWrap w:val="0"/>
            <w:vAlign w:val="top"/>
          </w:tcPr>
          <w:p>
            <w:pPr>
              <w:jc w:val="center"/>
            </w:pPr>
            <w:r>
              <w:rPr>
                <w:rFonts w:hint="eastAsia"/>
              </w:rPr>
              <w:t>功能房间类型</w:t>
            </w:r>
          </w:p>
        </w:tc>
        <w:tc>
          <w:tcPr>
            <w:tcW w:w="1236" w:type="dxa"/>
            <w:noWrap w:val="0"/>
            <w:vAlign w:val="top"/>
          </w:tcPr>
          <w:p>
            <w:pPr>
              <w:jc w:val="center"/>
            </w:pPr>
            <w:r>
              <w:rPr>
                <w:rFonts w:hint="eastAsia"/>
              </w:rPr>
              <w:t>房间</w:t>
            </w:r>
            <w:r>
              <w:t>面积</w:t>
            </w:r>
          </w:p>
        </w:tc>
        <w:tc>
          <w:tcPr>
            <w:tcW w:w="1656" w:type="dxa"/>
            <w:noWrap w:val="0"/>
            <w:vAlign w:val="top"/>
          </w:tcPr>
          <w:p>
            <w:pPr>
              <w:jc w:val="center"/>
            </w:pPr>
            <w:r>
              <w:rPr>
                <w:rFonts w:hint="eastAsia"/>
              </w:rPr>
              <w:t>通风开口面积</w:t>
            </w:r>
          </w:p>
        </w:tc>
        <w:tc>
          <w:tcPr>
            <w:tcW w:w="3336" w:type="dxa"/>
            <w:noWrap w:val="0"/>
            <w:vAlign w:val="top"/>
          </w:tcPr>
          <w:p>
            <w:pPr>
              <w:jc w:val="center"/>
            </w:pPr>
            <w:r>
              <w:rPr>
                <w:rFonts w:hint="eastAsia"/>
              </w:rPr>
              <w:t>通风开口面积与房间地板面积比</w:t>
            </w:r>
          </w:p>
        </w:tc>
        <w:tc>
          <w:tcPr>
            <w:tcW w:w="1568" w:type="dxa"/>
            <w:noWrap w:val="0"/>
            <w:vAlign w:val="top"/>
          </w:tcPr>
          <w:p>
            <w:pPr>
              <w:jc w:val="center"/>
            </w:pPr>
            <w:r>
              <w:rPr>
                <w:rFonts w:hint="eastAsia"/>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542" w:type="dxa"/>
            <w:noWrap w:val="0"/>
            <w:vAlign w:val="top"/>
          </w:tcPr>
          <w:p>
            <w:pPr>
              <w:jc w:val="center"/>
            </w:pPr>
            <w:r>
              <w:rPr>
                <w:rFonts w:hint="eastAsia" w:ascii="Times New Roman" w:hAnsi="Times New Roman"/>
                <w:szCs w:val="21"/>
              </w:rPr>
              <w:t xml:space="preserve">  </w:t>
            </w:r>
          </w:p>
        </w:tc>
        <w:tc>
          <w:tcPr>
            <w:tcW w:w="1236" w:type="dxa"/>
            <w:noWrap w:val="0"/>
            <w:vAlign w:val="top"/>
          </w:tcPr>
          <w:p>
            <w:pPr>
              <w:jc w:val="center"/>
            </w:pPr>
            <w:r>
              <w:rPr>
                <w:rFonts w:hint="eastAsia" w:ascii="Times New Roman" w:hAnsi="Times New Roman"/>
                <w:szCs w:val="21"/>
              </w:rPr>
              <w:t xml:space="preserve">  </w:t>
            </w:r>
          </w:p>
        </w:tc>
        <w:tc>
          <w:tcPr>
            <w:tcW w:w="1656" w:type="dxa"/>
            <w:noWrap w:val="0"/>
            <w:vAlign w:val="top"/>
          </w:tcPr>
          <w:p>
            <w:pPr>
              <w:jc w:val="center"/>
            </w:pPr>
            <w:r>
              <w:rPr>
                <w:rFonts w:hint="eastAsia" w:ascii="Times New Roman" w:hAnsi="Times New Roman"/>
                <w:szCs w:val="21"/>
              </w:rPr>
              <w:t xml:space="preserve">  </w:t>
            </w:r>
          </w:p>
        </w:tc>
        <w:tc>
          <w:tcPr>
            <w:tcW w:w="3336" w:type="dxa"/>
            <w:noWrap w:val="0"/>
            <w:vAlign w:val="top"/>
          </w:tcPr>
          <w:p>
            <w:pPr>
              <w:jc w:val="center"/>
            </w:pPr>
            <w:r>
              <w:rPr>
                <w:rFonts w:hint="eastAsia" w:ascii="Times New Roman" w:hAnsi="Times New Roman"/>
                <w:szCs w:val="21"/>
              </w:rPr>
              <w:t xml:space="preserve">  </w:t>
            </w:r>
          </w:p>
        </w:tc>
        <w:tc>
          <w:tcPr>
            <w:tcW w:w="156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542" w:type="dxa"/>
            <w:noWrap w:val="0"/>
            <w:vAlign w:val="top"/>
          </w:tcPr>
          <w:p>
            <w:pPr>
              <w:jc w:val="center"/>
            </w:pPr>
            <w:r>
              <w:rPr>
                <w:rFonts w:hint="eastAsia" w:ascii="Times New Roman" w:hAnsi="Times New Roman"/>
                <w:szCs w:val="21"/>
              </w:rPr>
              <w:t xml:space="preserve">  </w:t>
            </w:r>
          </w:p>
        </w:tc>
        <w:tc>
          <w:tcPr>
            <w:tcW w:w="1236" w:type="dxa"/>
            <w:noWrap w:val="0"/>
            <w:vAlign w:val="top"/>
          </w:tcPr>
          <w:p>
            <w:pPr>
              <w:jc w:val="center"/>
            </w:pPr>
            <w:r>
              <w:rPr>
                <w:rFonts w:hint="eastAsia" w:ascii="Times New Roman" w:hAnsi="Times New Roman"/>
                <w:szCs w:val="21"/>
              </w:rPr>
              <w:t xml:space="preserve">  </w:t>
            </w:r>
          </w:p>
        </w:tc>
        <w:tc>
          <w:tcPr>
            <w:tcW w:w="1656" w:type="dxa"/>
            <w:noWrap w:val="0"/>
            <w:vAlign w:val="top"/>
          </w:tcPr>
          <w:p>
            <w:pPr>
              <w:jc w:val="center"/>
            </w:pPr>
            <w:r>
              <w:rPr>
                <w:rFonts w:hint="eastAsia" w:ascii="Times New Roman" w:hAnsi="Times New Roman"/>
                <w:szCs w:val="21"/>
              </w:rPr>
              <w:t xml:space="preserve">  </w:t>
            </w:r>
          </w:p>
        </w:tc>
        <w:tc>
          <w:tcPr>
            <w:tcW w:w="3336" w:type="dxa"/>
            <w:noWrap w:val="0"/>
            <w:vAlign w:val="top"/>
          </w:tcPr>
          <w:p>
            <w:pPr>
              <w:jc w:val="center"/>
            </w:pPr>
            <w:r>
              <w:rPr>
                <w:rFonts w:hint="eastAsia" w:ascii="Times New Roman" w:hAnsi="Times New Roman"/>
                <w:szCs w:val="21"/>
              </w:rPr>
              <w:t xml:space="preserve">  </w:t>
            </w:r>
          </w:p>
        </w:tc>
        <w:tc>
          <w:tcPr>
            <w:tcW w:w="156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542" w:type="dxa"/>
            <w:noWrap w:val="0"/>
            <w:vAlign w:val="top"/>
          </w:tcPr>
          <w:p>
            <w:pPr>
              <w:jc w:val="center"/>
            </w:pPr>
            <w:r>
              <w:rPr>
                <w:rFonts w:hint="eastAsia" w:ascii="Times New Roman" w:hAnsi="Times New Roman"/>
                <w:szCs w:val="21"/>
              </w:rPr>
              <w:t xml:space="preserve">  </w:t>
            </w:r>
          </w:p>
        </w:tc>
        <w:tc>
          <w:tcPr>
            <w:tcW w:w="1236" w:type="dxa"/>
            <w:noWrap w:val="0"/>
            <w:vAlign w:val="top"/>
          </w:tcPr>
          <w:p>
            <w:pPr>
              <w:jc w:val="center"/>
            </w:pPr>
            <w:r>
              <w:rPr>
                <w:rFonts w:hint="eastAsia" w:ascii="Times New Roman" w:hAnsi="Times New Roman"/>
                <w:szCs w:val="21"/>
              </w:rPr>
              <w:t xml:space="preserve">  </w:t>
            </w:r>
          </w:p>
        </w:tc>
        <w:tc>
          <w:tcPr>
            <w:tcW w:w="1656" w:type="dxa"/>
            <w:noWrap w:val="0"/>
            <w:vAlign w:val="top"/>
          </w:tcPr>
          <w:p>
            <w:pPr>
              <w:jc w:val="center"/>
            </w:pPr>
            <w:r>
              <w:rPr>
                <w:rFonts w:hint="eastAsia" w:ascii="Times New Roman" w:hAnsi="Times New Roman"/>
                <w:szCs w:val="21"/>
              </w:rPr>
              <w:t xml:space="preserve">  </w:t>
            </w:r>
          </w:p>
        </w:tc>
        <w:tc>
          <w:tcPr>
            <w:tcW w:w="3336" w:type="dxa"/>
            <w:noWrap w:val="0"/>
            <w:vAlign w:val="top"/>
          </w:tcPr>
          <w:p>
            <w:pPr>
              <w:jc w:val="center"/>
            </w:pPr>
            <w:r>
              <w:rPr>
                <w:rFonts w:hint="eastAsia" w:ascii="Times New Roman" w:hAnsi="Times New Roman"/>
                <w:szCs w:val="21"/>
              </w:rPr>
              <w:t xml:space="preserve">  </w:t>
            </w:r>
          </w:p>
        </w:tc>
        <w:tc>
          <w:tcPr>
            <w:tcW w:w="156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542" w:type="dxa"/>
            <w:noWrap w:val="0"/>
            <w:vAlign w:val="top"/>
          </w:tcPr>
          <w:p>
            <w:pPr>
              <w:jc w:val="center"/>
            </w:pPr>
            <w:r>
              <w:rPr>
                <w:rFonts w:hint="eastAsia" w:ascii="Times New Roman" w:hAnsi="Times New Roman"/>
                <w:szCs w:val="21"/>
              </w:rPr>
              <w:t xml:space="preserve">  </w:t>
            </w:r>
          </w:p>
        </w:tc>
        <w:tc>
          <w:tcPr>
            <w:tcW w:w="1236" w:type="dxa"/>
            <w:noWrap w:val="0"/>
            <w:vAlign w:val="top"/>
          </w:tcPr>
          <w:p>
            <w:pPr>
              <w:jc w:val="center"/>
            </w:pPr>
            <w:r>
              <w:rPr>
                <w:rFonts w:hint="eastAsia" w:ascii="Times New Roman" w:hAnsi="Times New Roman"/>
                <w:szCs w:val="21"/>
              </w:rPr>
              <w:t xml:space="preserve">  </w:t>
            </w:r>
          </w:p>
        </w:tc>
        <w:tc>
          <w:tcPr>
            <w:tcW w:w="1656" w:type="dxa"/>
            <w:noWrap w:val="0"/>
            <w:vAlign w:val="top"/>
          </w:tcPr>
          <w:p>
            <w:pPr>
              <w:jc w:val="center"/>
            </w:pPr>
            <w:r>
              <w:rPr>
                <w:rFonts w:hint="eastAsia" w:ascii="Times New Roman" w:hAnsi="Times New Roman"/>
                <w:szCs w:val="21"/>
              </w:rPr>
              <w:t xml:space="preserve">  </w:t>
            </w:r>
          </w:p>
        </w:tc>
        <w:tc>
          <w:tcPr>
            <w:tcW w:w="3336" w:type="dxa"/>
            <w:noWrap w:val="0"/>
            <w:vAlign w:val="top"/>
          </w:tcPr>
          <w:p>
            <w:pPr>
              <w:jc w:val="center"/>
            </w:pPr>
            <w:r>
              <w:rPr>
                <w:rFonts w:hint="eastAsia" w:ascii="Times New Roman" w:hAnsi="Times New Roman"/>
                <w:szCs w:val="21"/>
              </w:rPr>
              <w:t xml:space="preserve">  </w:t>
            </w:r>
          </w:p>
        </w:tc>
        <w:tc>
          <w:tcPr>
            <w:tcW w:w="1568"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542" w:type="dxa"/>
            <w:noWrap w:val="0"/>
            <w:vAlign w:val="top"/>
          </w:tcPr>
          <w:p>
            <w:pPr>
              <w:jc w:val="center"/>
            </w:pPr>
            <w:r>
              <w:rPr>
                <w:rFonts w:hint="eastAsia" w:ascii="Times New Roman" w:hAnsi="Times New Roman"/>
                <w:szCs w:val="21"/>
              </w:rPr>
              <w:t xml:space="preserve">  </w:t>
            </w:r>
          </w:p>
        </w:tc>
        <w:tc>
          <w:tcPr>
            <w:tcW w:w="1236" w:type="dxa"/>
            <w:noWrap w:val="0"/>
            <w:vAlign w:val="top"/>
          </w:tcPr>
          <w:p>
            <w:pPr>
              <w:jc w:val="center"/>
            </w:pPr>
            <w:r>
              <w:rPr>
                <w:rFonts w:hint="eastAsia" w:ascii="Times New Roman" w:hAnsi="Times New Roman"/>
                <w:szCs w:val="21"/>
              </w:rPr>
              <w:t xml:space="preserve">  </w:t>
            </w:r>
          </w:p>
        </w:tc>
        <w:tc>
          <w:tcPr>
            <w:tcW w:w="1656" w:type="dxa"/>
            <w:noWrap w:val="0"/>
            <w:vAlign w:val="top"/>
          </w:tcPr>
          <w:p>
            <w:pPr>
              <w:jc w:val="center"/>
            </w:pPr>
            <w:r>
              <w:rPr>
                <w:rFonts w:hint="eastAsia" w:ascii="Times New Roman" w:hAnsi="Times New Roman"/>
                <w:szCs w:val="21"/>
              </w:rPr>
              <w:t xml:space="preserve">  </w:t>
            </w:r>
          </w:p>
        </w:tc>
        <w:tc>
          <w:tcPr>
            <w:tcW w:w="3336" w:type="dxa"/>
            <w:noWrap w:val="0"/>
            <w:vAlign w:val="top"/>
          </w:tcPr>
          <w:p>
            <w:pPr>
              <w:jc w:val="center"/>
            </w:pPr>
            <w:r>
              <w:rPr>
                <w:rFonts w:hint="eastAsia" w:ascii="Times New Roman" w:hAnsi="Times New Roman"/>
                <w:szCs w:val="21"/>
              </w:rPr>
              <w:t xml:space="preserve">  </w:t>
            </w:r>
          </w:p>
        </w:tc>
        <w:tc>
          <w:tcPr>
            <w:tcW w:w="1568" w:type="dxa"/>
            <w:noWrap w:val="0"/>
            <w:vAlign w:val="top"/>
          </w:tcPr>
          <w:p>
            <w:pPr>
              <w:jc w:val="center"/>
            </w:pPr>
            <w:r>
              <w:rPr>
                <w:rFonts w:hint="eastAsia" w:ascii="Times New Roman" w:hAnsi="Times New Roman"/>
                <w:szCs w:val="21"/>
              </w:rPr>
              <w:t xml:space="preserve">  </w:t>
            </w:r>
          </w:p>
        </w:tc>
      </w:tr>
    </w:tbl>
    <w:p>
      <w:pPr>
        <w:rPr>
          <w:lang w:val="zh-CN"/>
        </w:rPr>
      </w:pPr>
    </w:p>
    <w:p>
      <w:r>
        <w:rPr>
          <w:rFonts w:hint="eastAsia"/>
          <w:lang w:val="zh-CN"/>
        </w:rPr>
        <w:t>□</w:t>
      </w:r>
      <w:r>
        <w:rPr>
          <w:rFonts w:hint="eastAsia"/>
        </w:rPr>
        <w:t>公共建筑</w:t>
      </w:r>
    </w:p>
    <w:p>
      <w:r>
        <w:rPr>
          <w:rFonts w:hint="eastAsia"/>
        </w:rPr>
        <w:t>进行了优化设计的部分：</w:t>
      </w:r>
      <w:r>
        <w:rPr>
          <w:rFonts w:hint="eastAsia"/>
          <w:lang w:val="zh-CN"/>
        </w:rPr>
        <w:t>□</w:t>
      </w:r>
      <w:r>
        <w:rPr>
          <w:rFonts w:hint="eastAsia"/>
        </w:rPr>
        <w:t>建筑空间</w:t>
      </w:r>
      <w:r>
        <w:t xml:space="preserve"> </w:t>
      </w:r>
      <w:r>
        <w:rPr>
          <w:rFonts w:hint="eastAsia"/>
          <w:lang w:val="zh-CN"/>
        </w:rPr>
        <w:t>□</w:t>
      </w:r>
      <w:r>
        <w:rPr>
          <w:rFonts w:hint="eastAsia"/>
        </w:rPr>
        <w:t>平面布局</w:t>
      </w:r>
      <w:r>
        <w:t xml:space="preserve"> </w:t>
      </w:r>
      <w:r>
        <w:rPr>
          <w:rFonts w:hint="eastAsia"/>
          <w:lang w:val="zh-CN"/>
        </w:rPr>
        <w:t>□</w:t>
      </w:r>
      <w:r>
        <w:rPr>
          <w:rFonts w:hint="eastAsia"/>
        </w:rPr>
        <w:t>构造设计</w:t>
      </w:r>
    </w:p>
    <w:p>
      <w:r>
        <w:rPr>
          <w:rFonts w:hint="eastAsia"/>
        </w:rPr>
        <w:t>过渡季典型工况下主要功能房间平均自然通风换气次数不小于</w:t>
      </w:r>
      <w:r>
        <w:t>2</w:t>
      </w:r>
      <w:r>
        <w:rPr>
          <w:rFonts w:hint="eastAsia"/>
        </w:rPr>
        <w:t>次</w:t>
      </w:r>
      <w:r>
        <w:t>/h</w:t>
      </w:r>
      <w:r>
        <w:rPr>
          <w:rFonts w:hint="eastAsia"/>
        </w:rPr>
        <w:t>的面积统计</w:t>
      </w:r>
    </w:p>
    <w:tbl>
      <w:tblPr>
        <w:tblStyle w:val="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3206"/>
        <w:gridCol w:w="2407"/>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80" w:type="pct"/>
            <w:noWrap w:val="0"/>
            <w:vAlign w:val="top"/>
          </w:tcPr>
          <w:p>
            <w:pPr>
              <w:jc w:val="center"/>
            </w:pPr>
            <w:r>
              <w:rPr>
                <w:rFonts w:hint="eastAsia"/>
              </w:rPr>
              <w:t>分析区域</w:t>
            </w:r>
          </w:p>
        </w:tc>
        <w:tc>
          <w:tcPr>
            <w:tcW w:w="1704" w:type="pct"/>
            <w:noWrap w:val="0"/>
            <w:vAlign w:val="top"/>
          </w:tcPr>
          <w:p>
            <w:pPr>
              <w:jc w:val="center"/>
            </w:pPr>
            <w:r>
              <w:rPr>
                <w:rFonts w:hint="eastAsia"/>
              </w:rPr>
              <w:t>主要功能空间面积（</w:t>
            </w:r>
            <w:r>
              <w:t>m</w:t>
            </w:r>
            <w:r>
              <w:rPr>
                <w:vertAlign w:val="superscript"/>
              </w:rPr>
              <w:t>2</w:t>
            </w:r>
            <w:r>
              <w:rPr>
                <w:rFonts w:hint="eastAsia"/>
              </w:rPr>
              <w:t>）</w:t>
            </w:r>
          </w:p>
        </w:tc>
        <w:tc>
          <w:tcPr>
            <w:tcW w:w="1279" w:type="pct"/>
            <w:noWrap w:val="0"/>
            <w:vAlign w:val="top"/>
          </w:tcPr>
          <w:p>
            <w:pPr>
              <w:jc w:val="center"/>
            </w:pPr>
            <w:r>
              <w:rPr>
                <w:rFonts w:hint="eastAsia"/>
              </w:rPr>
              <w:t>达标面积（</w:t>
            </w:r>
            <w:r>
              <w:t>m</w:t>
            </w:r>
            <w:r>
              <w:rPr>
                <w:vertAlign w:val="superscript"/>
              </w:rPr>
              <w:t>2</w:t>
            </w:r>
            <w:r>
              <w:rPr>
                <w:rFonts w:hint="eastAsia"/>
              </w:rPr>
              <w:t>）</w:t>
            </w:r>
          </w:p>
        </w:tc>
        <w:tc>
          <w:tcPr>
            <w:tcW w:w="1137" w:type="pct"/>
            <w:noWrap w:val="0"/>
            <w:vAlign w:val="top"/>
          </w:tcPr>
          <w:p>
            <w:pPr>
              <w:jc w:val="center"/>
            </w:pPr>
            <w:r>
              <w:rPr>
                <w:rFonts w:hint="eastAsia"/>
              </w:rPr>
              <w:t>通风达标比例（</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80" w:type="pct"/>
            <w:noWrap w:val="0"/>
            <w:vAlign w:val="top"/>
          </w:tcPr>
          <w:p>
            <w:pPr>
              <w:jc w:val="center"/>
            </w:pPr>
            <w:r>
              <w:rPr>
                <w:rFonts w:hint="eastAsia" w:ascii="Times New Roman" w:hAnsi="Times New Roman"/>
                <w:szCs w:val="21"/>
              </w:rPr>
              <w:t xml:space="preserve">  </w:t>
            </w:r>
          </w:p>
        </w:tc>
        <w:tc>
          <w:tcPr>
            <w:tcW w:w="1704" w:type="pct"/>
            <w:noWrap w:val="0"/>
            <w:vAlign w:val="top"/>
          </w:tcPr>
          <w:p>
            <w:pPr>
              <w:jc w:val="center"/>
            </w:pPr>
            <w:r>
              <w:rPr>
                <w:rFonts w:hint="eastAsia" w:ascii="Times New Roman" w:hAnsi="Times New Roman"/>
                <w:szCs w:val="21"/>
              </w:rPr>
              <w:t xml:space="preserve">  </w:t>
            </w:r>
          </w:p>
        </w:tc>
        <w:tc>
          <w:tcPr>
            <w:tcW w:w="1279" w:type="pct"/>
            <w:noWrap w:val="0"/>
            <w:vAlign w:val="top"/>
          </w:tcPr>
          <w:p>
            <w:pPr>
              <w:jc w:val="center"/>
            </w:pPr>
            <w:r>
              <w:rPr>
                <w:rFonts w:hint="eastAsia" w:ascii="Times New Roman" w:hAnsi="Times New Roman"/>
                <w:szCs w:val="21"/>
              </w:rPr>
              <w:t xml:space="preserve">  </w:t>
            </w:r>
          </w:p>
        </w:tc>
        <w:tc>
          <w:tcPr>
            <w:tcW w:w="1137" w:type="pct"/>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80" w:type="pct"/>
            <w:noWrap w:val="0"/>
            <w:vAlign w:val="top"/>
          </w:tcPr>
          <w:p>
            <w:pPr>
              <w:jc w:val="center"/>
            </w:pPr>
            <w:r>
              <w:rPr>
                <w:rFonts w:hint="eastAsia" w:ascii="Times New Roman" w:hAnsi="Times New Roman"/>
                <w:szCs w:val="21"/>
              </w:rPr>
              <w:t xml:space="preserve">  </w:t>
            </w:r>
          </w:p>
        </w:tc>
        <w:tc>
          <w:tcPr>
            <w:tcW w:w="1704" w:type="pct"/>
            <w:noWrap w:val="0"/>
            <w:vAlign w:val="top"/>
          </w:tcPr>
          <w:p>
            <w:pPr>
              <w:jc w:val="center"/>
            </w:pPr>
            <w:r>
              <w:rPr>
                <w:rFonts w:hint="eastAsia" w:ascii="Times New Roman" w:hAnsi="Times New Roman"/>
                <w:szCs w:val="21"/>
              </w:rPr>
              <w:t xml:space="preserve">  </w:t>
            </w:r>
          </w:p>
        </w:tc>
        <w:tc>
          <w:tcPr>
            <w:tcW w:w="1279" w:type="pct"/>
            <w:noWrap w:val="0"/>
            <w:vAlign w:val="top"/>
          </w:tcPr>
          <w:p>
            <w:pPr>
              <w:jc w:val="center"/>
            </w:pPr>
            <w:r>
              <w:rPr>
                <w:rFonts w:hint="eastAsia" w:ascii="Times New Roman" w:hAnsi="Times New Roman"/>
                <w:szCs w:val="21"/>
              </w:rPr>
              <w:t xml:space="preserve">  </w:t>
            </w:r>
          </w:p>
        </w:tc>
        <w:tc>
          <w:tcPr>
            <w:tcW w:w="1137" w:type="pct"/>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80" w:type="pct"/>
            <w:noWrap w:val="0"/>
            <w:vAlign w:val="top"/>
          </w:tcPr>
          <w:p>
            <w:pPr>
              <w:jc w:val="center"/>
            </w:pPr>
            <w:r>
              <w:rPr>
                <w:rFonts w:hint="eastAsia" w:ascii="Times New Roman" w:hAnsi="Times New Roman"/>
                <w:szCs w:val="21"/>
              </w:rPr>
              <w:t xml:space="preserve">  </w:t>
            </w:r>
          </w:p>
        </w:tc>
        <w:tc>
          <w:tcPr>
            <w:tcW w:w="1704" w:type="pct"/>
            <w:noWrap w:val="0"/>
            <w:vAlign w:val="top"/>
          </w:tcPr>
          <w:p>
            <w:pPr>
              <w:jc w:val="center"/>
            </w:pPr>
            <w:r>
              <w:rPr>
                <w:rFonts w:hint="eastAsia" w:ascii="Times New Roman" w:hAnsi="Times New Roman"/>
                <w:szCs w:val="21"/>
              </w:rPr>
              <w:t xml:space="preserve">  </w:t>
            </w:r>
          </w:p>
        </w:tc>
        <w:tc>
          <w:tcPr>
            <w:tcW w:w="1279" w:type="pct"/>
            <w:noWrap w:val="0"/>
            <w:vAlign w:val="top"/>
          </w:tcPr>
          <w:p>
            <w:pPr>
              <w:jc w:val="center"/>
            </w:pPr>
            <w:r>
              <w:rPr>
                <w:rFonts w:hint="eastAsia" w:ascii="Times New Roman" w:hAnsi="Times New Roman"/>
                <w:szCs w:val="21"/>
              </w:rPr>
              <w:t xml:space="preserve">  </w:t>
            </w:r>
          </w:p>
        </w:tc>
        <w:tc>
          <w:tcPr>
            <w:tcW w:w="1137" w:type="pct"/>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80" w:type="pct"/>
            <w:noWrap w:val="0"/>
            <w:vAlign w:val="top"/>
          </w:tcPr>
          <w:p>
            <w:pPr>
              <w:jc w:val="center"/>
            </w:pPr>
            <w:r>
              <w:rPr>
                <w:rFonts w:hint="eastAsia" w:ascii="Times New Roman" w:hAnsi="Times New Roman"/>
                <w:szCs w:val="21"/>
              </w:rPr>
              <w:t xml:space="preserve">  </w:t>
            </w:r>
          </w:p>
        </w:tc>
        <w:tc>
          <w:tcPr>
            <w:tcW w:w="1704" w:type="pct"/>
            <w:noWrap w:val="0"/>
            <w:vAlign w:val="top"/>
          </w:tcPr>
          <w:p>
            <w:pPr>
              <w:jc w:val="center"/>
            </w:pPr>
            <w:r>
              <w:rPr>
                <w:rFonts w:hint="eastAsia" w:ascii="Times New Roman" w:hAnsi="Times New Roman"/>
                <w:szCs w:val="21"/>
              </w:rPr>
              <w:t xml:space="preserve">  </w:t>
            </w:r>
          </w:p>
        </w:tc>
        <w:tc>
          <w:tcPr>
            <w:tcW w:w="1279" w:type="pct"/>
            <w:noWrap w:val="0"/>
            <w:vAlign w:val="top"/>
          </w:tcPr>
          <w:p>
            <w:pPr>
              <w:jc w:val="center"/>
            </w:pPr>
            <w:r>
              <w:rPr>
                <w:rFonts w:hint="eastAsia" w:ascii="Times New Roman" w:hAnsi="Times New Roman"/>
                <w:szCs w:val="21"/>
              </w:rPr>
              <w:t xml:space="preserve">  </w:t>
            </w:r>
          </w:p>
        </w:tc>
        <w:tc>
          <w:tcPr>
            <w:tcW w:w="1137" w:type="pct"/>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80" w:type="pct"/>
            <w:noWrap w:val="0"/>
            <w:vAlign w:val="top"/>
          </w:tcPr>
          <w:p>
            <w:pPr>
              <w:jc w:val="center"/>
            </w:pPr>
            <w:r>
              <w:rPr>
                <w:rFonts w:hint="eastAsia" w:ascii="Times New Roman" w:hAnsi="Times New Roman"/>
                <w:szCs w:val="21"/>
              </w:rPr>
              <w:t xml:space="preserve">  </w:t>
            </w:r>
          </w:p>
        </w:tc>
        <w:tc>
          <w:tcPr>
            <w:tcW w:w="1704" w:type="pct"/>
            <w:noWrap w:val="0"/>
            <w:vAlign w:val="top"/>
          </w:tcPr>
          <w:p>
            <w:pPr>
              <w:jc w:val="center"/>
            </w:pPr>
            <w:r>
              <w:rPr>
                <w:rFonts w:hint="eastAsia" w:ascii="Times New Roman" w:hAnsi="Times New Roman"/>
                <w:szCs w:val="21"/>
              </w:rPr>
              <w:t xml:space="preserve">  </w:t>
            </w:r>
          </w:p>
        </w:tc>
        <w:tc>
          <w:tcPr>
            <w:tcW w:w="1279" w:type="pct"/>
            <w:noWrap w:val="0"/>
            <w:vAlign w:val="top"/>
          </w:tcPr>
          <w:p>
            <w:pPr>
              <w:jc w:val="center"/>
            </w:pPr>
            <w:r>
              <w:rPr>
                <w:rFonts w:hint="eastAsia" w:ascii="Times New Roman" w:hAnsi="Times New Roman"/>
                <w:szCs w:val="21"/>
              </w:rPr>
              <w:t xml:space="preserve">  </w:t>
            </w:r>
          </w:p>
        </w:tc>
        <w:tc>
          <w:tcPr>
            <w:tcW w:w="1137" w:type="pct"/>
            <w:noWrap w:val="0"/>
            <w:vAlign w:val="top"/>
          </w:tcPr>
          <w:p>
            <w:pPr>
              <w:jc w:val="center"/>
            </w:pPr>
            <w:r>
              <w:rPr>
                <w:rFonts w:hint="eastAsia" w:ascii="Times New Roman" w:hAnsi="Times New Roman"/>
                <w:szCs w:val="21"/>
              </w:rPr>
              <w:t xml:space="preserve">  </w:t>
            </w:r>
          </w:p>
        </w:tc>
      </w:tr>
    </w:tbl>
    <w:p/>
    <w:p>
      <w:pPr>
        <w:widowControl/>
        <w:jc w:val="left"/>
      </w:pPr>
      <w:r>
        <w:br w:type="page"/>
      </w:r>
    </w:p>
    <w:p>
      <w:pPr>
        <w:rPr>
          <w:rFonts w:ascii="Times New Roman" w:hAnsi="Times New Roman"/>
          <w:szCs w:val="21"/>
        </w:rPr>
      </w:pPr>
      <w:r>
        <w:rPr>
          <w:rFonts w:hint="eastAsia"/>
        </w:rPr>
        <w:t>请简要描述项目改善室内自然通风的技术措施，尤其是对建筑空间、平面布局和构造等的优化设计措施，并说明改善效果。（</w:t>
      </w:r>
      <w:r>
        <w:t>200</w:t>
      </w:r>
      <w:r>
        <w:rPr>
          <w:rFonts w:hint="eastAsia"/>
        </w:rPr>
        <w:t>字内）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04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本项目所在地气候分区为寒冷（A）区，建筑朝向为东西向，布局合理，满足国家节能标准。建筑窗墙比均满足国家节能标准。建筑布局充分考虑了风环境的要求，避开了主导风向，夏季利于自然通风。</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）建筑竣工图及设计说明，应包含平面图、立面图、门窗表；</w:t>
      </w:r>
    </w:p>
    <w:p>
      <w:pPr>
        <w:rPr>
          <w:rFonts w:ascii="Times New Roman" w:hAnsi="Times New Roman"/>
          <w:szCs w:val="21"/>
        </w:rPr>
      </w:pPr>
      <w:r>
        <w:rPr>
          <w:rFonts w:hint="eastAsia" w:ascii="Times New Roman" w:hAnsi="Times New Roman"/>
          <w:szCs w:val="21"/>
        </w:rPr>
        <w:t>2）住宅建筑外窗可开启面积比例计算书、公共建筑室内自然通风模拟分析报告；</w:t>
      </w:r>
    </w:p>
    <w:p>
      <w:pPr>
        <w:rPr>
          <w:rFonts w:ascii="Times New Roman" w:hAnsi="Times New Roman"/>
          <w:szCs w:val="21"/>
        </w:rPr>
      </w:pPr>
      <w:r>
        <w:rPr>
          <w:rFonts w:hint="eastAsia" w:ascii="Times New Roman" w:hAnsi="Times New Roman"/>
          <w:szCs w:val="21"/>
        </w:rPr>
        <w:t>3）室内自然通风优化模拟分析报告：应体现优化前后的通风效果对比。</w:t>
      </w:r>
    </w:p>
    <w:p>
      <w:pPr>
        <w:rPr>
          <w:rFonts w:ascii="Times New Roman" w:hAnsi="Times New Roman"/>
          <w:szCs w:val="21"/>
        </w:rPr>
      </w:pPr>
    </w:p>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5.2.11</w:t>
      </w:r>
      <w:r>
        <w:rPr>
          <w:rFonts w:hint="eastAsia"/>
          <w:sz w:val="24"/>
          <w:szCs w:val="40"/>
        </w:rPr>
        <w:t xml:space="preserve"> </w:t>
      </w:r>
      <w:r>
        <w:rPr>
          <w:sz w:val="24"/>
          <w:szCs w:val="40"/>
        </w:rPr>
        <w:t>设置可调节遮阳设施，改善室内热舒适。（9分）</w:t>
      </w:r>
    </w:p>
    <w:p>
      <w:pPr>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939"/>
        <w:gridCol w:w="2427"/>
        <w:gridCol w:w="157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6" w:type="pct"/>
            <w:noWrap w:val="0"/>
            <w:vAlign w:val="center"/>
          </w:tcPr>
          <w:p>
            <w:pPr>
              <w:jc w:val="center"/>
              <w:rPr>
                <w:rFonts w:ascii="Times New Roman" w:hAnsi="Times New Roman"/>
                <w:szCs w:val="21"/>
              </w:rPr>
            </w:pPr>
            <w:r>
              <w:rPr>
                <w:rFonts w:ascii="Times New Roman" w:hAnsi="Times New Roman"/>
                <w:szCs w:val="21"/>
              </w:rPr>
              <w:t>序号</w:t>
            </w:r>
          </w:p>
        </w:tc>
        <w:tc>
          <w:tcPr>
            <w:tcW w:w="2727" w:type="pct"/>
            <w:gridSpan w:val="2"/>
            <w:noWrap w:val="0"/>
            <w:vAlign w:val="center"/>
          </w:tcPr>
          <w:p>
            <w:pPr>
              <w:jc w:val="center"/>
              <w:rPr>
                <w:rFonts w:ascii="Times New Roman" w:hAnsi="Times New Roman"/>
                <w:szCs w:val="21"/>
              </w:rPr>
            </w:pPr>
            <w:r>
              <w:rPr>
                <w:rFonts w:ascii="Times New Roman" w:hAnsi="Times New Roman"/>
                <w:szCs w:val="21"/>
              </w:rPr>
              <w:t>评价内容</w:t>
            </w:r>
          </w:p>
        </w:tc>
        <w:tc>
          <w:tcPr>
            <w:tcW w:w="984" w:type="pct"/>
            <w:noWrap w:val="0"/>
            <w:vAlign w:val="center"/>
          </w:tcPr>
          <w:p>
            <w:pPr>
              <w:jc w:val="center"/>
              <w:rPr>
                <w:rFonts w:ascii="Times New Roman" w:hAnsi="Times New Roman"/>
                <w:szCs w:val="21"/>
              </w:rPr>
            </w:pPr>
            <w:r>
              <w:rPr>
                <w:rFonts w:ascii="Times New Roman" w:hAnsi="Times New Roman"/>
                <w:szCs w:val="21"/>
              </w:rPr>
              <w:t>评价分值</w:t>
            </w:r>
          </w:p>
        </w:tc>
        <w:tc>
          <w:tcPr>
            <w:tcW w:w="833" w:type="pct"/>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 w:hRule="atLeast"/>
          <w:jc w:val="center"/>
        </w:trPr>
        <w:tc>
          <w:tcPr>
            <w:tcW w:w="456" w:type="pct"/>
            <w:vMerge w:val="restart"/>
            <w:noWrap w:val="0"/>
            <w:vAlign w:val="center"/>
          </w:tcPr>
          <w:p>
            <w:pPr>
              <w:jc w:val="center"/>
              <w:rPr>
                <w:rFonts w:ascii="Times New Roman" w:hAnsi="Times New Roman"/>
                <w:szCs w:val="21"/>
              </w:rPr>
            </w:pPr>
            <w:r>
              <w:rPr>
                <w:rFonts w:ascii="Times New Roman" w:hAnsi="Times New Roman"/>
                <w:szCs w:val="21"/>
              </w:rPr>
              <w:t>1</w:t>
            </w:r>
          </w:p>
        </w:tc>
        <w:tc>
          <w:tcPr>
            <w:tcW w:w="1211" w:type="pct"/>
            <w:vMerge w:val="restart"/>
            <w:noWrap w:val="0"/>
            <w:vAlign w:val="center"/>
          </w:tcPr>
          <w:p>
            <w:pPr>
              <w:jc w:val="left"/>
              <w:rPr>
                <w:rFonts w:ascii="Times New Roman" w:hAnsi="Times New Roman"/>
                <w:szCs w:val="21"/>
              </w:rPr>
            </w:pPr>
            <w:r>
              <w:rPr>
                <w:rFonts w:hint="eastAsia" w:ascii="Times New Roman" w:hAnsi="Times New Roman"/>
                <w:szCs w:val="21"/>
              </w:rPr>
              <w:t>可调节遮阳</w:t>
            </w:r>
            <w:r>
              <w:rPr>
                <w:rFonts w:ascii="Times New Roman" w:hAnsi="Times New Roman"/>
                <w:szCs w:val="21"/>
              </w:rPr>
              <w:t>设施面积占外窗透明部分比例</w:t>
            </w:r>
            <w:r>
              <w:rPr>
                <w:rFonts w:hint="eastAsia" w:ascii="Times New Roman" w:hAnsi="Times New Roman"/>
                <w:szCs w:val="21"/>
              </w:rPr>
              <w:t>SZ</w:t>
            </w:r>
          </w:p>
        </w:tc>
        <w:tc>
          <w:tcPr>
            <w:tcW w:w="1516" w:type="pct"/>
            <w:noWrap w:val="0"/>
            <w:vAlign w:val="center"/>
          </w:tcPr>
          <w:p>
            <w:pPr>
              <w:jc w:val="center"/>
              <w:rPr>
                <w:rFonts w:ascii="Times New Roman" w:hAnsi="Times New Roman"/>
                <w:szCs w:val="21"/>
              </w:rPr>
            </w:pPr>
            <w:r>
              <w:rPr>
                <w:rFonts w:ascii="Times New Roman" w:hAnsi="Times New Roman"/>
                <w:szCs w:val="21"/>
              </w:rPr>
              <w:t>25%</w:t>
            </w:r>
            <w:r>
              <w:rPr>
                <w:rFonts w:hint="eastAsia" w:ascii="宋体" w:hAnsi="宋体"/>
                <w:szCs w:val="21"/>
              </w:rPr>
              <w:t>≤</w:t>
            </w:r>
            <w:r>
              <w:rPr>
                <w:rFonts w:ascii="Times New Roman" w:hAnsi="Times New Roman"/>
                <w:szCs w:val="21"/>
              </w:rPr>
              <w:t>SZ&lt;35%</w:t>
            </w:r>
          </w:p>
        </w:tc>
        <w:tc>
          <w:tcPr>
            <w:tcW w:w="984" w:type="pct"/>
            <w:noWrap w:val="0"/>
            <w:vAlign w:val="center"/>
          </w:tcPr>
          <w:p>
            <w:pPr>
              <w:jc w:val="center"/>
              <w:rPr>
                <w:rFonts w:ascii="Times New Roman" w:hAnsi="Times New Roman"/>
                <w:szCs w:val="21"/>
              </w:rPr>
            </w:pPr>
            <w:r>
              <w:rPr>
                <w:rFonts w:hint="eastAsia" w:ascii="Times New Roman" w:hAnsi="Times New Roman"/>
                <w:szCs w:val="21"/>
              </w:rPr>
              <w:t>3</w:t>
            </w:r>
          </w:p>
        </w:tc>
        <w:tc>
          <w:tcPr>
            <w:tcW w:w="833" w:type="pct"/>
            <w:vMerge w:val="restar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jc w:val="center"/>
        </w:trPr>
        <w:tc>
          <w:tcPr>
            <w:tcW w:w="456" w:type="pct"/>
            <w:vMerge w:val="continue"/>
            <w:noWrap w:val="0"/>
            <w:vAlign w:val="center"/>
          </w:tcPr>
          <w:p>
            <w:pPr>
              <w:jc w:val="center"/>
              <w:rPr>
                <w:rFonts w:ascii="Times New Roman" w:hAnsi="Times New Roman"/>
                <w:szCs w:val="21"/>
              </w:rPr>
            </w:pPr>
          </w:p>
        </w:tc>
        <w:tc>
          <w:tcPr>
            <w:tcW w:w="1211" w:type="pct"/>
            <w:vMerge w:val="continue"/>
            <w:noWrap w:val="0"/>
            <w:vAlign w:val="center"/>
          </w:tcPr>
          <w:p>
            <w:pPr>
              <w:jc w:val="center"/>
              <w:rPr>
                <w:rFonts w:ascii="Times New Roman" w:hAnsi="Times New Roman"/>
                <w:szCs w:val="21"/>
              </w:rPr>
            </w:pPr>
          </w:p>
        </w:tc>
        <w:tc>
          <w:tcPr>
            <w:tcW w:w="1516" w:type="pct"/>
            <w:noWrap w:val="0"/>
            <w:vAlign w:val="center"/>
          </w:tcPr>
          <w:p>
            <w:pPr>
              <w:jc w:val="center"/>
              <w:rPr>
                <w:rFonts w:ascii="Times New Roman" w:hAnsi="Times New Roman"/>
                <w:szCs w:val="21"/>
              </w:rPr>
            </w:pPr>
            <w:r>
              <w:rPr>
                <w:rFonts w:hint="eastAsia" w:ascii="Times New Roman" w:hAnsi="Times New Roman"/>
                <w:szCs w:val="21"/>
              </w:rPr>
              <w:t>35%</w:t>
            </w:r>
            <w:r>
              <w:rPr>
                <w:rFonts w:hint="eastAsia" w:ascii="宋体" w:hAnsi="宋体"/>
                <w:szCs w:val="21"/>
              </w:rPr>
              <w:t>≤</w:t>
            </w:r>
            <w:r>
              <w:rPr>
                <w:rFonts w:ascii="Times New Roman" w:hAnsi="Times New Roman"/>
                <w:szCs w:val="21"/>
              </w:rPr>
              <w:t>SZ&lt;45%</w:t>
            </w:r>
          </w:p>
        </w:tc>
        <w:tc>
          <w:tcPr>
            <w:tcW w:w="984" w:type="pct"/>
            <w:noWrap w:val="0"/>
            <w:vAlign w:val="center"/>
          </w:tcPr>
          <w:p>
            <w:pPr>
              <w:jc w:val="center"/>
              <w:rPr>
                <w:rFonts w:ascii="Times New Roman" w:hAnsi="Times New Roman"/>
                <w:szCs w:val="21"/>
              </w:rPr>
            </w:pPr>
            <w:r>
              <w:rPr>
                <w:rFonts w:hint="eastAsia" w:ascii="Times New Roman" w:hAnsi="Times New Roman"/>
                <w:szCs w:val="21"/>
              </w:rPr>
              <w:t>5</w:t>
            </w:r>
          </w:p>
        </w:tc>
        <w:tc>
          <w:tcPr>
            <w:tcW w:w="833"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jc w:val="center"/>
        </w:trPr>
        <w:tc>
          <w:tcPr>
            <w:tcW w:w="456" w:type="pct"/>
            <w:vMerge w:val="continue"/>
            <w:noWrap w:val="0"/>
            <w:vAlign w:val="center"/>
          </w:tcPr>
          <w:p>
            <w:pPr>
              <w:jc w:val="center"/>
              <w:rPr>
                <w:rFonts w:ascii="Times New Roman" w:hAnsi="Times New Roman"/>
                <w:szCs w:val="21"/>
              </w:rPr>
            </w:pPr>
          </w:p>
        </w:tc>
        <w:tc>
          <w:tcPr>
            <w:tcW w:w="1211" w:type="pct"/>
            <w:vMerge w:val="continue"/>
            <w:noWrap w:val="0"/>
            <w:vAlign w:val="center"/>
          </w:tcPr>
          <w:p>
            <w:pPr>
              <w:jc w:val="center"/>
              <w:rPr>
                <w:rFonts w:ascii="Times New Roman" w:hAnsi="Times New Roman"/>
                <w:szCs w:val="21"/>
              </w:rPr>
            </w:pPr>
          </w:p>
        </w:tc>
        <w:tc>
          <w:tcPr>
            <w:tcW w:w="1516" w:type="pct"/>
            <w:noWrap w:val="0"/>
            <w:vAlign w:val="center"/>
          </w:tcPr>
          <w:p>
            <w:pPr>
              <w:jc w:val="center"/>
              <w:rPr>
                <w:rFonts w:ascii="Times New Roman" w:hAnsi="Times New Roman"/>
                <w:szCs w:val="21"/>
              </w:rPr>
            </w:pPr>
            <w:r>
              <w:rPr>
                <w:rFonts w:hint="eastAsia" w:ascii="Times New Roman" w:hAnsi="Times New Roman"/>
                <w:szCs w:val="21"/>
              </w:rPr>
              <w:t>45%</w:t>
            </w:r>
            <w:r>
              <w:rPr>
                <w:rFonts w:hint="eastAsia" w:ascii="宋体" w:hAnsi="宋体"/>
                <w:szCs w:val="21"/>
              </w:rPr>
              <w:t>≤</w:t>
            </w:r>
            <w:r>
              <w:rPr>
                <w:rFonts w:ascii="Times New Roman" w:hAnsi="Times New Roman"/>
                <w:szCs w:val="21"/>
              </w:rPr>
              <w:t>SZ&lt;55%</w:t>
            </w:r>
          </w:p>
        </w:tc>
        <w:tc>
          <w:tcPr>
            <w:tcW w:w="984" w:type="pct"/>
            <w:noWrap w:val="0"/>
            <w:vAlign w:val="center"/>
          </w:tcPr>
          <w:p>
            <w:pPr>
              <w:jc w:val="center"/>
              <w:rPr>
                <w:rFonts w:ascii="Times New Roman" w:hAnsi="Times New Roman"/>
                <w:szCs w:val="21"/>
              </w:rPr>
            </w:pPr>
            <w:r>
              <w:rPr>
                <w:rFonts w:hint="eastAsia" w:ascii="Times New Roman" w:hAnsi="Times New Roman"/>
                <w:szCs w:val="21"/>
              </w:rPr>
              <w:t>7</w:t>
            </w:r>
          </w:p>
        </w:tc>
        <w:tc>
          <w:tcPr>
            <w:tcW w:w="833"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jc w:val="center"/>
        </w:trPr>
        <w:tc>
          <w:tcPr>
            <w:tcW w:w="456" w:type="pct"/>
            <w:vMerge w:val="continue"/>
            <w:noWrap w:val="0"/>
            <w:vAlign w:val="center"/>
          </w:tcPr>
          <w:p>
            <w:pPr>
              <w:jc w:val="center"/>
              <w:rPr>
                <w:rFonts w:ascii="Times New Roman" w:hAnsi="Times New Roman"/>
                <w:szCs w:val="21"/>
              </w:rPr>
            </w:pPr>
          </w:p>
        </w:tc>
        <w:tc>
          <w:tcPr>
            <w:tcW w:w="1211" w:type="pct"/>
            <w:vMerge w:val="continue"/>
            <w:noWrap w:val="0"/>
            <w:vAlign w:val="center"/>
          </w:tcPr>
          <w:p>
            <w:pPr>
              <w:jc w:val="center"/>
              <w:rPr>
                <w:rFonts w:ascii="Times New Roman" w:hAnsi="Times New Roman"/>
                <w:szCs w:val="21"/>
              </w:rPr>
            </w:pPr>
          </w:p>
        </w:tc>
        <w:tc>
          <w:tcPr>
            <w:tcW w:w="1516" w:type="pct"/>
            <w:noWrap w:val="0"/>
            <w:vAlign w:val="center"/>
          </w:tcPr>
          <w:p>
            <w:pPr>
              <w:jc w:val="center"/>
              <w:rPr>
                <w:rFonts w:ascii="Times New Roman" w:hAnsi="Times New Roman"/>
                <w:szCs w:val="21"/>
              </w:rPr>
            </w:pPr>
            <w:r>
              <w:rPr>
                <w:rFonts w:hint="eastAsia" w:ascii="Times New Roman" w:hAnsi="Times New Roman"/>
                <w:szCs w:val="21"/>
              </w:rPr>
              <w:t>SZ</w:t>
            </w:r>
            <w:r>
              <w:rPr>
                <w:rFonts w:hint="eastAsia" w:ascii="宋体" w:hAnsi="宋体"/>
                <w:szCs w:val="21"/>
              </w:rPr>
              <w:t>≥</w:t>
            </w:r>
            <w:r>
              <w:rPr>
                <w:rFonts w:ascii="Times New Roman" w:hAnsi="Times New Roman"/>
                <w:szCs w:val="21"/>
              </w:rPr>
              <w:t>55%</w:t>
            </w:r>
          </w:p>
        </w:tc>
        <w:tc>
          <w:tcPr>
            <w:tcW w:w="984" w:type="pct"/>
            <w:noWrap w:val="0"/>
            <w:vAlign w:val="center"/>
          </w:tcPr>
          <w:p>
            <w:pPr>
              <w:jc w:val="center"/>
              <w:rPr>
                <w:rFonts w:ascii="Times New Roman" w:hAnsi="Times New Roman"/>
                <w:szCs w:val="21"/>
              </w:rPr>
            </w:pPr>
            <w:r>
              <w:rPr>
                <w:rFonts w:hint="eastAsia" w:ascii="Times New Roman" w:hAnsi="Times New Roman"/>
                <w:szCs w:val="21"/>
              </w:rPr>
              <w:t>9</w:t>
            </w:r>
          </w:p>
        </w:tc>
        <w:tc>
          <w:tcPr>
            <w:tcW w:w="833"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jc w:val="center"/>
        </w:trPr>
        <w:tc>
          <w:tcPr>
            <w:tcW w:w="456" w:type="pct"/>
            <w:noWrap w:val="0"/>
            <w:vAlign w:val="center"/>
          </w:tcPr>
          <w:p>
            <w:pPr>
              <w:jc w:val="center"/>
              <w:rPr>
                <w:rFonts w:ascii="Times New Roman" w:hAnsi="Times New Roman"/>
                <w:szCs w:val="21"/>
              </w:rPr>
            </w:pPr>
            <w:r>
              <w:rPr>
                <w:rFonts w:hint="eastAsia" w:ascii="Times New Roman" w:hAnsi="Times New Roman"/>
                <w:szCs w:val="21"/>
              </w:rPr>
              <w:t>2</w:t>
            </w:r>
          </w:p>
        </w:tc>
        <w:tc>
          <w:tcPr>
            <w:tcW w:w="2727" w:type="pct"/>
            <w:gridSpan w:val="2"/>
            <w:noWrap w:val="0"/>
            <w:vAlign w:val="center"/>
          </w:tcPr>
          <w:p>
            <w:pPr>
              <w:jc w:val="left"/>
              <w:rPr>
                <w:rFonts w:ascii="Times New Roman" w:hAnsi="Times New Roman"/>
                <w:szCs w:val="21"/>
              </w:rPr>
            </w:pPr>
            <w:r>
              <w:rPr>
                <w:rFonts w:hint="eastAsia" w:ascii="Times New Roman" w:hAnsi="Times New Roman"/>
                <w:szCs w:val="21"/>
              </w:rPr>
              <w:t>严寒地区</w:t>
            </w:r>
            <w:r>
              <w:rPr>
                <w:rFonts w:ascii="Times New Roman" w:hAnsi="Times New Roman"/>
                <w:szCs w:val="21"/>
              </w:rPr>
              <w:t>、</w:t>
            </w:r>
            <w:r>
              <w:rPr>
                <w:rFonts w:hint="eastAsia" w:ascii="Times New Roman" w:hAnsi="Times New Roman"/>
                <w:szCs w:val="21"/>
              </w:rPr>
              <w:t>全年空调度日数</w:t>
            </w:r>
            <w:r>
              <w:rPr>
                <w:rFonts w:ascii="Times New Roman" w:hAnsi="Times New Roman"/>
                <w:szCs w:val="21"/>
              </w:rPr>
              <w:t>小于</w:t>
            </w:r>
            <w:r>
              <w:rPr>
                <w:rFonts w:hint="eastAsia" w:ascii="Times New Roman" w:hAnsi="Times New Roman"/>
                <w:szCs w:val="21"/>
              </w:rPr>
              <w:t>10℃</w:t>
            </w:r>
            <w:r>
              <w:rPr>
                <w:rFonts w:ascii="Times New Roman" w:hAnsi="Times New Roman"/>
                <w:szCs w:val="21"/>
              </w:rPr>
              <w:t>d的寒冷及温和地区的建筑直接得分</w:t>
            </w:r>
          </w:p>
        </w:tc>
        <w:tc>
          <w:tcPr>
            <w:tcW w:w="984" w:type="pct"/>
            <w:noWrap w:val="0"/>
            <w:vAlign w:val="center"/>
          </w:tcPr>
          <w:p>
            <w:pPr>
              <w:jc w:val="center"/>
              <w:rPr>
                <w:rFonts w:ascii="Times New Roman" w:hAnsi="Times New Roman"/>
                <w:szCs w:val="21"/>
              </w:rPr>
            </w:pPr>
            <w:r>
              <w:rPr>
                <w:rFonts w:ascii="Times New Roman" w:hAnsi="Times New Roman"/>
                <w:szCs w:val="21"/>
              </w:rPr>
              <w:t>9</w:t>
            </w:r>
          </w:p>
        </w:tc>
        <w:tc>
          <w:tcPr>
            <w:tcW w:w="833"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rPr>
        <w:t>请简要说明项目所采用的可控遮阳调节措施及应用位置。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43" w:hRule="atLeast"/>
          <w:jc w:val="center"/>
        </w:trPr>
        <w:tc>
          <w:tcPr>
            <w:tcW w:w="9356" w:type="dxa"/>
            <w:shd w:val="clear" w:color="auto" w:fill="auto"/>
            <w:noWrap w:val="0"/>
            <w:vAlign w:val="top"/>
          </w:tcPr>
          <w:p>
            <w:pPr>
              <w:rPr>
                <w:rFonts w:ascii="Times New Roman" w:hAnsi="Times New Roman"/>
                <w:kern w:val="0"/>
                <w:sz w:val="20"/>
                <w:szCs w:val="21"/>
              </w:rPr>
            </w:pPr>
          </w:p>
        </w:tc>
      </w:tr>
    </w:tbl>
    <w:p>
      <w:r>
        <w:rPr>
          <w:rFonts w:hint="eastAsia"/>
        </w:rPr>
        <w:t>采取可控遮阳的面积统计</w:t>
      </w:r>
    </w:p>
    <w:tbl>
      <w:tblPr>
        <w:tblStyle w:val="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343"/>
        <w:gridCol w:w="1345"/>
        <w:gridCol w:w="1136"/>
        <w:gridCol w:w="1988"/>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08" w:type="pct"/>
            <w:vMerge w:val="restart"/>
            <w:noWrap w:val="0"/>
            <w:vAlign w:val="center"/>
          </w:tcPr>
          <w:p>
            <w:pPr>
              <w:jc w:val="center"/>
              <w:rPr>
                <w:rFonts w:ascii="Times New Roman" w:hAnsi="Times New Roman"/>
                <w:szCs w:val="21"/>
              </w:rPr>
            </w:pPr>
            <w:r>
              <w:rPr>
                <w:rFonts w:ascii="Times New Roman" w:hAnsi="Times New Roman"/>
                <w:szCs w:val="21"/>
              </w:rPr>
              <w:t>外窗类型/朝向</w:t>
            </w:r>
          </w:p>
        </w:tc>
        <w:tc>
          <w:tcPr>
            <w:tcW w:w="1425" w:type="pct"/>
            <w:gridSpan w:val="2"/>
            <w:noWrap w:val="0"/>
            <w:vAlign w:val="center"/>
          </w:tcPr>
          <w:p>
            <w:pPr>
              <w:jc w:val="center"/>
              <w:rPr>
                <w:rFonts w:ascii="Times New Roman" w:hAnsi="Times New Roman"/>
                <w:szCs w:val="21"/>
              </w:rPr>
            </w:pPr>
            <w:r>
              <w:rPr>
                <w:rFonts w:ascii="Times New Roman" w:hAnsi="Times New Roman"/>
                <w:szCs w:val="21"/>
              </w:rPr>
              <w:t>尺寸</w:t>
            </w:r>
          </w:p>
        </w:tc>
        <w:tc>
          <w:tcPr>
            <w:tcW w:w="602" w:type="pct"/>
            <w:vMerge w:val="restart"/>
            <w:noWrap w:val="0"/>
            <w:vAlign w:val="center"/>
          </w:tcPr>
          <w:p>
            <w:pPr>
              <w:jc w:val="center"/>
              <w:rPr>
                <w:rFonts w:ascii="Times New Roman" w:hAnsi="Times New Roman"/>
                <w:szCs w:val="21"/>
              </w:rPr>
            </w:pPr>
            <w:r>
              <w:rPr>
                <w:rFonts w:ascii="Times New Roman" w:hAnsi="Times New Roman"/>
                <w:szCs w:val="21"/>
              </w:rPr>
              <w:t>数量</w:t>
            </w:r>
          </w:p>
          <w:p>
            <w:pPr>
              <w:jc w:val="center"/>
              <w:rPr>
                <w:rFonts w:ascii="Times New Roman" w:hAnsi="Times New Roman"/>
                <w:szCs w:val="21"/>
              </w:rPr>
            </w:pPr>
            <w:r>
              <w:rPr>
                <w:rFonts w:ascii="Times New Roman" w:hAnsi="Times New Roman"/>
                <w:szCs w:val="21"/>
              </w:rPr>
              <w:t>（个）</w:t>
            </w:r>
          </w:p>
        </w:tc>
        <w:tc>
          <w:tcPr>
            <w:tcW w:w="1054" w:type="pct"/>
            <w:vMerge w:val="restart"/>
            <w:noWrap w:val="0"/>
            <w:vAlign w:val="center"/>
          </w:tcPr>
          <w:p>
            <w:pPr>
              <w:jc w:val="center"/>
              <w:rPr>
                <w:rFonts w:ascii="Times New Roman" w:hAnsi="Times New Roman"/>
                <w:szCs w:val="21"/>
              </w:rPr>
            </w:pPr>
            <w:r>
              <w:rPr>
                <w:rFonts w:ascii="Times New Roman" w:hAnsi="Times New Roman"/>
                <w:szCs w:val="21"/>
              </w:rPr>
              <w:t>采取可控遮阳调节措施面积（m</w:t>
            </w:r>
            <w:r>
              <w:rPr>
                <w:rFonts w:ascii="Times New Roman" w:hAnsi="Times New Roman"/>
                <w:szCs w:val="21"/>
                <w:vertAlign w:val="superscript"/>
              </w:rPr>
              <w:t>2</w:t>
            </w:r>
            <w:r>
              <w:rPr>
                <w:rFonts w:ascii="Times New Roman" w:hAnsi="Times New Roman"/>
                <w:szCs w:val="21"/>
              </w:rPr>
              <w:t>）</w:t>
            </w:r>
          </w:p>
        </w:tc>
        <w:tc>
          <w:tcPr>
            <w:tcW w:w="1211" w:type="pct"/>
            <w:vMerge w:val="restart"/>
            <w:noWrap w:val="0"/>
            <w:vAlign w:val="center"/>
          </w:tcPr>
          <w:p>
            <w:pPr>
              <w:jc w:val="center"/>
              <w:rPr>
                <w:rFonts w:ascii="Times New Roman" w:hAnsi="Times New Roman"/>
                <w:szCs w:val="21"/>
              </w:rPr>
            </w:pPr>
            <w:r>
              <w:rPr>
                <w:rFonts w:ascii="Times New Roman" w:hAnsi="Times New Roman"/>
                <w:szCs w:val="21"/>
              </w:rPr>
              <w:t>采取可控遮阳调节措施面积比例（%）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08" w:type="pct"/>
            <w:vMerge w:val="continue"/>
            <w:noWrap w:val="0"/>
            <w:vAlign w:val="center"/>
          </w:tcPr>
          <w:p>
            <w:pPr>
              <w:jc w:val="center"/>
              <w:rPr>
                <w:rFonts w:ascii="Times New Roman" w:hAnsi="Times New Roman"/>
                <w:szCs w:val="21"/>
              </w:rPr>
            </w:pPr>
          </w:p>
        </w:tc>
        <w:tc>
          <w:tcPr>
            <w:tcW w:w="712" w:type="pct"/>
            <w:noWrap w:val="0"/>
            <w:vAlign w:val="center"/>
          </w:tcPr>
          <w:p>
            <w:pPr>
              <w:jc w:val="center"/>
              <w:rPr>
                <w:rFonts w:ascii="Times New Roman" w:hAnsi="Times New Roman"/>
                <w:szCs w:val="21"/>
              </w:rPr>
            </w:pPr>
            <w:r>
              <w:rPr>
                <w:rFonts w:ascii="Times New Roman" w:hAnsi="Times New Roman"/>
                <w:szCs w:val="21"/>
              </w:rPr>
              <w:t>宽度（m）</w:t>
            </w:r>
          </w:p>
        </w:tc>
        <w:tc>
          <w:tcPr>
            <w:tcW w:w="713" w:type="pct"/>
            <w:noWrap w:val="0"/>
            <w:vAlign w:val="center"/>
          </w:tcPr>
          <w:p>
            <w:pPr>
              <w:jc w:val="center"/>
              <w:rPr>
                <w:rFonts w:ascii="Times New Roman" w:hAnsi="Times New Roman"/>
                <w:szCs w:val="21"/>
              </w:rPr>
            </w:pPr>
            <w:r>
              <w:rPr>
                <w:rFonts w:ascii="Times New Roman" w:hAnsi="Times New Roman"/>
                <w:szCs w:val="21"/>
              </w:rPr>
              <w:t>高度（m）</w:t>
            </w:r>
          </w:p>
        </w:tc>
        <w:tc>
          <w:tcPr>
            <w:tcW w:w="602" w:type="pct"/>
            <w:vMerge w:val="continue"/>
            <w:noWrap w:val="0"/>
            <w:vAlign w:val="center"/>
          </w:tcPr>
          <w:p>
            <w:pPr>
              <w:jc w:val="center"/>
              <w:rPr>
                <w:rFonts w:ascii="Times New Roman" w:hAnsi="Times New Roman"/>
                <w:szCs w:val="21"/>
              </w:rPr>
            </w:pPr>
          </w:p>
        </w:tc>
        <w:tc>
          <w:tcPr>
            <w:tcW w:w="1054" w:type="pct"/>
            <w:vMerge w:val="continue"/>
            <w:noWrap w:val="0"/>
            <w:vAlign w:val="center"/>
          </w:tcPr>
          <w:p>
            <w:pPr>
              <w:jc w:val="center"/>
              <w:rPr>
                <w:rFonts w:ascii="Times New Roman" w:hAnsi="Times New Roman"/>
                <w:szCs w:val="21"/>
              </w:rPr>
            </w:pPr>
          </w:p>
        </w:tc>
        <w:tc>
          <w:tcPr>
            <w:tcW w:w="1211" w:type="pct"/>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08"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3"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60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054"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211"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08"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3"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60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054"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211"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08"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3"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60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054"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211"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08"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3"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60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054"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211"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08"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3"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60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054"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211"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08"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713"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602"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054" w:type="pct"/>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211"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3789" w:type="pct"/>
            <w:gridSpan w:val="5"/>
            <w:noWrap w:val="0"/>
            <w:vAlign w:val="center"/>
          </w:tcPr>
          <w:p>
            <w:pPr>
              <w:rPr>
                <w:rFonts w:ascii="Times New Roman" w:hAnsi="Times New Roman"/>
                <w:szCs w:val="21"/>
              </w:rPr>
            </w:pPr>
            <w:r>
              <w:rPr>
                <w:rFonts w:ascii="Times New Roman" w:hAnsi="Times New Roman"/>
                <w:szCs w:val="21"/>
              </w:rPr>
              <w:t>采取可控遮阳调节措施面积比例总计（%）</w:t>
            </w:r>
          </w:p>
        </w:tc>
        <w:tc>
          <w:tcPr>
            <w:tcW w:w="1211"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ascii="Times New Roman" w:hAnsi="Times New Roman"/>
          <w:szCs w:val="21"/>
        </w:rPr>
        <w:t>1</w:t>
      </w:r>
      <w:r>
        <w:rPr>
          <w:rFonts w:hint="eastAsia" w:ascii="Times New Roman" w:hAnsi="Times New Roman"/>
          <w:szCs w:val="21"/>
        </w:rPr>
        <w:t>）建筑竣工图及设计说明；</w:t>
      </w:r>
    </w:p>
    <w:p>
      <w:pPr>
        <w:rPr>
          <w:rFonts w:ascii="Times New Roman" w:hAnsi="Times New Roman"/>
          <w:szCs w:val="21"/>
        </w:rPr>
      </w:pPr>
      <w:bookmarkStart w:id="27" w:name="_Toc9944698"/>
      <w:bookmarkStart w:id="28" w:name="_Toc9944978"/>
      <w:bookmarkStart w:id="29" w:name="_Toc9945122"/>
      <w:bookmarkStart w:id="30" w:name="_Toc9945264"/>
      <w:bookmarkStart w:id="31" w:name="_Toc9945405"/>
      <w:r>
        <w:rPr>
          <w:rFonts w:hint="eastAsia" w:ascii="Times New Roman" w:hAnsi="Times New Roman"/>
          <w:szCs w:val="21"/>
        </w:rPr>
        <w:t>2）遮阳设计图纸及设计说明</w:t>
      </w:r>
      <w:bookmarkEnd w:id="27"/>
      <w:bookmarkEnd w:id="28"/>
      <w:bookmarkEnd w:id="29"/>
      <w:bookmarkEnd w:id="30"/>
      <w:bookmarkEnd w:id="31"/>
      <w:r>
        <w:rPr>
          <w:rFonts w:hint="eastAsia" w:ascii="Times New Roman" w:hAnsi="Times New Roman"/>
          <w:szCs w:val="21"/>
        </w:rPr>
        <w:t>、可调节遮阳设施的面积占外窗透明部分比例计算书，应包含可调节遮阳形式说明、控制措施、可调遮阳覆盖率计算过程及结论，并且应对建筑透明围护结构总面积，有太阳直射部分的面积、以及采取可调节遮阳措施的面积进行分项统计；</w:t>
      </w:r>
    </w:p>
    <w:p>
      <w:pPr>
        <w:rPr>
          <w:rFonts w:ascii="Times New Roman" w:hAnsi="Times New Roman"/>
          <w:szCs w:val="21"/>
        </w:rPr>
      </w:pPr>
      <w:r>
        <w:rPr>
          <w:rFonts w:hint="eastAsia" w:ascii="Times New Roman" w:hAnsi="Times New Roman"/>
          <w:szCs w:val="21"/>
        </w:rPr>
        <w:t>3）遮阳装置产品说明书、招标文件、采购合同。</w:t>
      </w:r>
    </w:p>
    <w:p>
      <w:pPr>
        <w:widowControl/>
        <w:jc w:val="lef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3" w:hRule="atLeast"/>
          <w:jc w:val="center"/>
        </w:trPr>
        <w:tc>
          <w:tcPr>
            <w:tcW w:w="9356" w:type="dxa"/>
            <w:shd w:val="clear" w:color="auto" w:fill="auto"/>
            <w:noWrap w:val="0"/>
            <w:vAlign w:val="top"/>
          </w:tcPr>
          <w:p>
            <w:pPr>
              <w:rPr>
                <w:rFonts w:ascii="Times New Roman" w:hAnsi="Times New Roman"/>
                <w:kern w:val="0"/>
                <w:sz w:val="20"/>
                <w:szCs w:val="21"/>
              </w:rPr>
            </w:pPr>
          </w:p>
        </w:tc>
      </w:tr>
    </w:tbl>
    <w:p/>
    <w:p>
      <w:pPr>
        <w:jc w:val="center"/>
      </w:pPr>
      <w:r>
        <w:rPr>
          <w:rFonts w:ascii="宋体" w:hAnsi="宋体"/>
          <w:b/>
          <w:bCs/>
          <w:color w:val="000000"/>
          <w:sz w:val="24"/>
          <w:szCs w:val="24"/>
        </w:rPr>
        <w:br w:type="page"/>
      </w:r>
      <w:r>
        <w:rPr>
          <w:rFonts w:hint="eastAsia" w:ascii="宋体" w:hAnsi="宋体"/>
          <w:b/>
          <w:bCs/>
          <w:color w:val="000000"/>
          <w:sz w:val="24"/>
          <w:szCs w:val="24"/>
        </w:rPr>
        <w:t>6 生活便利</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0"/>
        <w:gridCol w:w="876"/>
        <w:gridCol w:w="5000"/>
        <w:gridCol w:w="80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shd w:val="clear" w:color="auto" w:fill="DCDCDC"/>
            <w:noWrap w:val="0"/>
            <w:vAlign w:val="center"/>
          </w:tcPr>
          <w:p>
            <w:pPr>
              <w:jc w:val="center"/>
            </w:pPr>
            <w:r>
              <w:rPr>
                <w:rFonts w:hint="eastAsia" w:ascii="宋体" w:hAnsi="宋体"/>
                <w:b/>
                <w:bCs/>
                <w:color w:val="000000"/>
                <w:sz w:val="20"/>
                <w:szCs w:val="20"/>
              </w:rPr>
              <w:t>子项</w:t>
            </w:r>
          </w:p>
        </w:tc>
        <w:tc>
          <w:tcPr>
            <w:tcW w:w="800" w:type="dxa"/>
            <w:shd w:val="clear" w:color="auto" w:fill="DCDCDC"/>
            <w:noWrap w:val="0"/>
            <w:vAlign w:val="center"/>
          </w:tcPr>
          <w:p>
            <w:pPr>
              <w:jc w:val="center"/>
            </w:pPr>
            <w:r>
              <w:rPr>
                <w:rFonts w:hint="eastAsia" w:ascii="宋体" w:hAnsi="宋体"/>
                <w:b/>
                <w:bCs/>
                <w:color w:val="000000"/>
                <w:sz w:val="22"/>
              </w:rPr>
              <w:t>条文编号</w:t>
            </w:r>
          </w:p>
        </w:tc>
        <w:tc>
          <w:tcPr>
            <w:tcW w:w="5000" w:type="dxa"/>
            <w:shd w:val="clear" w:color="auto" w:fill="DCDCDC"/>
            <w:noWrap w:val="0"/>
            <w:vAlign w:val="center"/>
          </w:tcPr>
          <w:p>
            <w:pPr>
              <w:jc w:val="center"/>
            </w:pPr>
            <w:r>
              <w:rPr>
                <w:rFonts w:hint="eastAsia" w:ascii="宋体" w:hAnsi="宋体"/>
                <w:b/>
                <w:bCs/>
                <w:color w:val="000000"/>
                <w:sz w:val="20"/>
                <w:szCs w:val="20"/>
              </w:rPr>
              <w:t>条文</w:t>
            </w:r>
          </w:p>
        </w:tc>
        <w:tc>
          <w:tcPr>
            <w:tcW w:w="800" w:type="dxa"/>
            <w:shd w:val="clear" w:color="auto" w:fill="DCDCDC"/>
            <w:noWrap w:val="0"/>
            <w:vAlign w:val="center"/>
          </w:tcPr>
          <w:p>
            <w:pPr>
              <w:jc w:val="center"/>
            </w:pPr>
            <w:r>
              <w:rPr>
                <w:rFonts w:hint="eastAsia" w:ascii="宋体" w:hAnsi="宋体"/>
                <w:b/>
                <w:bCs/>
                <w:color w:val="000000"/>
                <w:sz w:val="20"/>
                <w:szCs w:val="20"/>
              </w:rPr>
              <w:t>满分</w:t>
            </w:r>
          </w:p>
        </w:tc>
        <w:tc>
          <w:tcPr>
            <w:tcW w:w="800" w:type="dxa"/>
            <w:shd w:val="clear" w:color="auto" w:fill="DCDCDC"/>
            <w:noWrap w:val="0"/>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控制项</w:t>
            </w:r>
          </w:p>
        </w:tc>
        <w:tc>
          <w:tcPr>
            <w:tcW w:w="800" w:type="dxa"/>
            <w:noWrap w:val="0"/>
            <w:vAlign w:val="center"/>
          </w:tcPr>
          <w:p>
            <w:r>
              <w:rPr>
                <w:rFonts w:hint="eastAsia" w:ascii="宋体" w:hAnsi="宋体"/>
                <w:bCs/>
                <w:color w:val="000000"/>
                <w:sz w:val="22"/>
              </w:rPr>
              <w:t>6.1.1</w:t>
            </w:r>
          </w:p>
        </w:tc>
        <w:tc>
          <w:tcPr>
            <w:tcW w:w="5000" w:type="dxa"/>
            <w:noWrap w:val="0"/>
            <w:vAlign w:val="center"/>
          </w:tcPr>
          <w:p>
            <w:r>
              <w:rPr>
                <w:rFonts w:hint="eastAsia" w:ascii="宋体" w:hAnsi="宋体"/>
                <w:bCs/>
                <w:color w:val="000000"/>
                <w:sz w:val="22"/>
              </w:rPr>
              <w:t>无障碍步行系统</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6.1.2</w:t>
            </w:r>
          </w:p>
        </w:tc>
        <w:tc>
          <w:tcPr>
            <w:tcW w:w="5000" w:type="dxa"/>
            <w:noWrap w:val="0"/>
            <w:vAlign w:val="center"/>
          </w:tcPr>
          <w:p>
            <w:r>
              <w:rPr>
                <w:rFonts w:hint="eastAsia" w:ascii="宋体" w:hAnsi="宋体"/>
                <w:bCs/>
                <w:color w:val="000000"/>
                <w:sz w:val="22"/>
              </w:rPr>
              <w:t>公共交通站点</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6.1.3</w:t>
            </w:r>
          </w:p>
        </w:tc>
        <w:tc>
          <w:tcPr>
            <w:tcW w:w="5000" w:type="dxa"/>
            <w:noWrap w:val="0"/>
            <w:vAlign w:val="center"/>
          </w:tcPr>
          <w:p>
            <w:r>
              <w:rPr>
                <w:rFonts w:hint="eastAsia" w:ascii="宋体" w:hAnsi="宋体"/>
                <w:bCs/>
                <w:color w:val="000000"/>
                <w:sz w:val="22"/>
              </w:rPr>
              <w:t>电动汽车配套措施</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6.1.4</w:t>
            </w:r>
          </w:p>
        </w:tc>
        <w:tc>
          <w:tcPr>
            <w:tcW w:w="5000" w:type="dxa"/>
            <w:noWrap w:val="0"/>
            <w:vAlign w:val="center"/>
          </w:tcPr>
          <w:p>
            <w:r>
              <w:rPr>
                <w:rFonts w:hint="eastAsia" w:ascii="宋体" w:hAnsi="宋体"/>
                <w:bCs/>
                <w:color w:val="000000"/>
                <w:sz w:val="22"/>
              </w:rPr>
              <w:t>自行车停放合理</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6.1.5</w:t>
            </w:r>
          </w:p>
        </w:tc>
        <w:tc>
          <w:tcPr>
            <w:tcW w:w="5000" w:type="dxa"/>
            <w:noWrap w:val="0"/>
            <w:vAlign w:val="center"/>
          </w:tcPr>
          <w:p>
            <w:r>
              <w:rPr>
                <w:rFonts w:hint="eastAsia" w:ascii="宋体" w:hAnsi="宋体"/>
                <w:bCs/>
                <w:color w:val="000000"/>
                <w:sz w:val="22"/>
              </w:rPr>
              <w:t>设备管理系统</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6.1.6</w:t>
            </w:r>
          </w:p>
        </w:tc>
        <w:tc>
          <w:tcPr>
            <w:tcW w:w="5000" w:type="dxa"/>
            <w:noWrap w:val="0"/>
            <w:vAlign w:val="center"/>
          </w:tcPr>
          <w:p>
            <w:r>
              <w:rPr>
                <w:rFonts w:hint="eastAsia" w:ascii="宋体" w:hAnsi="宋体"/>
                <w:bCs/>
                <w:color w:val="000000"/>
                <w:sz w:val="22"/>
              </w:rPr>
              <w:t>信息网络系统</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评分项</w:t>
            </w:r>
          </w:p>
        </w:tc>
        <w:tc>
          <w:tcPr>
            <w:tcW w:w="800" w:type="dxa"/>
            <w:noWrap w:val="0"/>
            <w:vAlign w:val="center"/>
          </w:tcPr>
          <w:p>
            <w:r>
              <w:rPr>
                <w:rFonts w:hint="eastAsia" w:ascii="宋体" w:hAnsi="宋体"/>
                <w:bCs/>
                <w:color w:val="000000"/>
                <w:sz w:val="22"/>
              </w:rPr>
              <w:t>6.2.1</w:t>
            </w:r>
          </w:p>
        </w:tc>
        <w:tc>
          <w:tcPr>
            <w:tcW w:w="5000" w:type="dxa"/>
            <w:noWrap w:val="0"/>
            <w:vAlign w:val="center"/>
          </w:tcPr>
          <w:p>
            <w:r>
              <w:rPr>
                <w:rFonts w:hint="eastAsia" w:ascii="宋体" w:hAnsi="宋体"/>
                <w:bCs/>
                <w:color w:val="000000"/>
                <w:sz w:val="22"/>
              </w:rPr>
              <w:t>公共交通便捷</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6.2.2</w:t>
            </w:r>
          </w:p>
        </w:tc>
        <w:tc>
          <w:tcPr>
            <w:tcW w:w="5000" w:type="dxa"/>
            <w:noWrap w:val="0"/>
            <w:vAlign w:val="center"/>
          </w:tcPr>
          <w:p>
            <w:r>
              <w:rPr>
                <w:rFonts w:hint="eastAsia" w:ascii="宋体" w:hAnsi="宋体"/>
                <w:bCs/>
                <w:color w:val="000000"/>
                <w:sz w:val="22"/>
              </w:rPr>
              <w:t>公共区域全龄化设计</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6.2.3</w:t>
            </w:r>
          </w:p>
        </w:tc>
        <w:tc>
          <w:tcPr>
            <w:tcW w:w="5000" w:type="dxa"/>
            <w:noWrap w:val="0"/>
            <w:vAlign w:val="center"/>
          </w:tcPr>
          <w:p>
            <w:r>
              <w:rPr>
                <w:rFonts w:hint="eastAsia" w:ascii="宋体" w:hAnsi="宋体"/>
                <w:bCs/>
                <w:color w:val="000000"/>
                <w:sz w:val="22"/>
              </w:rPr>
              <w:t>公共服务便利</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6.2.4</w:t>
            </w:r>
          </w:p>
        </w:tc>
        <w:tc>
          <w:tcPr>
            <w:tcW w:w="5000" w:type="dxa"/>
            <w:noWrap w:val="0"/>
            <w:vAlign w:val="center"/>
          </w:tcPr>
          <w:p>
            <w:r>
              <w:rPr>
                <w:rFonts w:hint="eastAsia" w:ascii="宋体" w:hAnsi="宋体"/>
                <w:bCs/>
                <w:color w:val="000000"/>
                <w:sz w:val="22"/>
              </w:rPr>
              <w:t>城市开敞空间</w:t>
            </w:r>
          </w:p>
        </w:tc>
        <w:tc>
          <w:tcPr>
            <w:tcW w:w="800" w:type="dxa"/>
            <w:noWrap w:val="0"/>
            <w:vAlign w:val="center"/>
          </w:tcPr>
          <w:p>
            <w:pPr>
              <w:jc w:val="center"/>
            </w:pPr>
            <w:r>
              <w:rPr>
                <w:rFonts w:hint="eastAsia" w:ascii="宋体" w:hAnsi="宋体"/>
                <w:bCs/>
                <w:color w:val="000000"/>
                <w:sz w:val="22"/>
              </w:rPr>
              <w:t>5</w:t>
            </w:r>
          </w:p>
        </w:tc>
        <w:tc>
          <w:tcPr>
            <w:tcW w:w="800" w:type="dxa"/>
            <w:noWrap w:val="0"/>
            <w:vAlign w:val="center"/>
          </w:tcPr>
          <w:p>
            <w:pPr>
              <w:jc w:val="center"/>
            </w:pPr>
            <w:r>
              <w:rPr>
                <w:rFonts w:hint="eastAsia" w:ascii="宋体" w:hAnsi="宋体"/>
                <w:bCs/>
                <w:color w:val="000000"/>
                <w:sz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6.2.5</w:t>
            </w:r>
          </w:p>
        </w:tc>
        <w:tc>
          <w:tcPr>
            <w:tcW w:w="5000" w:type="dxa"/>
            <w:noWrap w:val="0"/>
            <w:vAlign w:val="center"/>
          </w:tcPr>
          <w:p>
            <w:r>
              <w:rPr>
                <w:rFonts w:hint="eastAsia" w:ascii="宋体" w:hAnsi="宋体"/>
                <w:bCs/>
                <w:color w:val="000000"/>
                <w:sz w:val="22"/>
              </w:rPr>
              <w:t>健康场地和空间</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6.2.6</w:t>
            </w:r>
          </w:p>
        </w:tc>
        <w:tc>
          <w:tcPr>
            <w:tcW w:w="5000" w:type="dxa"/>
            <w:noWrap w:val="0"/>
            <w:vAlign w:val="center"/>
          </w:tcPr>
          <w:p>
            <w:r>
              <w:rPr>
                <w:rFonts w:hint="eastAsia" w:ascii="宋体" w:hAnsi="宋体"/>
                <w:bCs/>
                <w:color w:val="000000"/>
                <w:sz w:val="22"/>
              </w:rPr>
              <w:t>能源管理系统</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6.2.7</w:t>
            </w:r>
          </w:p>
        </w:tc>
        <w:tc>
          <w:tcPr>
            <w:tcW w:w="5000" w:type="dxa"/>
            <w:noWrap w:val="0"/>
            <w:vAlign w:val="center"/>
          </w:tcPr>
          <w:p>
            <w:r>
              <w:rPr>
                <w:rFonts w:hint="eastAsia" w:ascii="宋体" w:hAnsi="宋体"/>
                <w:bCs/>
                <w:color w:val="000000"/>
                <w:sz w:val="22"/>
              </w:rPr>
              <w:t>空气质量监测</w:t>
            </w:r>
          </w:p>
        </w:tc>
        <w:tc>
          <w:tcPr>
            <w:tcW w:w="800" w:type="dxa"/>
            <w:noWrap w:val="0"/>
            <w:vAlign w:val="center"/>
          </w:tcPr>
          <w:p>
            <w:pPr>
              <w:jc w:val="center"/>
            </w:pPr>
            <w:r>
              <w:rPr>
                <w:rFonts w:hint="eastAsia" w:ascii="宋体" w:hAnsi="宋体"/>
                <w:bCs/>
                <w:color w:val="000000"/>
                <w:sz w:val="22"/>
              </w:rPr>
              <w:t>5</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6.2.8</w:t>
            </w:r>
          </w:p>
        </w:tc>
        <w:tc>
          <w:tcPr>
            <w:tcW w:w="5000" w:type="dxa"/>
            <w:noWrap w:val="0"/>
            <w:vAlign w:val="center"/>
          </w:tcPr>
          <w:p>
            <w:r>
              <w:rPr>
                <w:rFonts w:hint="eastAsia" w:ascii="宋体" w:hAnsi="宋体"/>
                <w:bCs/>
                <w:color w:val="000000"/>
                <w:sz w:val="22"/>
              </w:rPr>
              <w:t>用水计量、水质监测</w:t>
            </w:r>
          </w:p>
        </w:tc>
        <w:tc>
          <w:tcPr>
            <w:tcW w:w="800" w:type="dxa"/>
            <w:noWrap w:val="0"/>
            <w:vAlign w:val="center"/>
          </w:tcPr>
          <w:p>
            <w:pPr>
              <w:jc w:val="center"/>
            </w:pPr>
            <w:r>
              <w:rPr>
                <w:rFonts w:hint="eastAsia" w:ascii="宋体" w:hAnsi="宋体"/>
                <w:bCs/>
                <w:color w:val="000000"/>
                <w:sz w:val="22"/>
              </w:rPr>
              <w:t>7</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6.2.9</w:t>
            </w:r>
          </w:p>
        </w:tc>
        <w:tc>
          <w:tcPr>
            <w:tcW w:w="5000" w:type="dxa"/>
            <w:noWrap w:val="0"/>
            <w:vAlign w:val="center"/>
          </w:tcPr>
          <w:p>
            <w:r>
              <w:rPr>
                <w:rFonts w:hint="eastAsia" w:ascii="宋体" w:hAnsi="宋体"/>
                <w:bCs/>
                <w:color w:val="000000"/>
                <w:sz w:val="22"/>
              </w:rPr>
              <w:t>智能服务系统</w:t>
            </w:r>
          </w:p>
        </w:tc>
        <w:tc>
          <w:tcPr>
            <w:tcW w:w="800" w:type="dxa"/>
            <w:noWrap w:val="0"/>
            <w:vAlign w:val="center"/>
          </w:tcPr>
          <w:p>
            <w:pPr>
              <w:jc w:val="center"/>
            </w:pPr>
            <w:r>
              <w:rPr>
                <w:rFonts w:hint="eastAsia" w:ascii="宋体" w:hAnsi="宋体"/>
                <w:bCs/>
                <w:color w:val="000000"/>
                <w:sz w:val="22"/>
              </w:rPr>
              <w:t>9</w:t>
            </w:r>
          </w:p>
        </w:tc>
        <w:tc>
          <w:tcPr>
            <w:tcW w:w="800" w:type="dxa"/>
            <w:noWrap w:val="0"/>
            <w:vAlign w:val="center"/>
          </w:tcPr>
          <w:p>
            <w:pPr>
              <w:jc w:val="center"/>
            </w:pPr>
            <w:r>
              <w:rPr>
                <w:rFonts w:hint="eastAsia" w:ascii="宋体" w:hAnsi="宋体"/>
                <w:bCs/>
                <w:color w:val="000000"/>
                <w:sz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6.2.10</w:t>
            </w:r>
          </w:p>
        </w:tc>
        <w:tc>
          <w:tcPr>
            <w:tcW w:w="5000" w:type="dxa"/>
            <w:noWrap w:val="0"/>
            <w:vAlign w:val="center"/>
          </w:tcPr>
          <w:p>
            <w:r>
              <w:rPr>
                <w:rFonts w:hint="eastAsia" w:ascii="宋体" w:hAnsi="宋体"/>
                <w:bCs/>
                <w:color w:val="000000"/>
                <w:sz w:val="22"/>
              </w:rPr>
              <w:t>物业全过程管理</w:t>
            </w:r>
          </w:p>
        </w:tc>
        <w:tc>
          <w:tcPr>
            <w:tcW w:w="800" w:type="dxa"/>
            <w:noWrap w:val="0"/>
            <w:vAlign w:val="center"/>
          </w:tcPr>
          <w:p>
            <w:pPr>
              <w:jc w:val="center"/>
            </w:pPr>
            <w:r>
              <w:rPr>
                <w:rFonts w:hint="eastAsia" w:ascii="宋体" w:hAnsi="宋体"/>
                <w:bCs/>
                <w:color w:val="000000"/>
                <w:sz w:val="22"/>
              </w:rPr>
              <w:t>5</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6.2.11</w:t>
            </w:r>
          </w:p>
        </w:tc>
        <w:tc>
          <w:tcPr>
            <w:tcW w:w="5000" w:type="dxa"/>
            <w:noWrap w:val="0"/>
            <w:vAlign w:val="center"/>
          </w:tcPr>
          <w:p>
            <w:r>
              <w:rPr>
                <w:rFonts w:hint="eastAsia" w:ascii="宋体" w:hAnsi="宋体"/>
                <w:bCs/>
                <w:color w:val="000000"/>
                <w:sz w:val="22"/>
              </w:rPr>
              <w:t>节水用水定额</w:t>
            </w:r>
          </w:p>
        </w:tc>
        <w:tc>
          <w:tcPr>
            <w:tcW w:w="800" w:type="dxa"/>
            <w:noWrap w:val="0"/>
            <w:vAlign w:val="center"/>
          </w:tcPr>
          <w:p>
            <w:pPr>
              <w:jc w:val="center"/>
            </w:pPr>
            <w:r>
              <w:rPr>
                <w:rFonts w:hint="eastAsia" w:ascii="宋体" w:hAnsi="宋体"/>
                <w:bCs/>
                <w:color w:val="000000"/>
                <w:sz w:val="22"/>
              </w:rPr>
              <w:t>5</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6.2.12</w:t>
            </w:r>
          </w:p>
        </w:tc>
        <w:tc>
          <w:tcPr>
            <w:tcW w:w="5000" w:type="dxa"/>
            <w:noWrap w:val="0"/>
            <w:vAlign w:val="center"/>
          </w:tcPr>
          <w:p>
            <w:r>
              <w:rPr>
                <w:rFonts w:hint="eastAsia" w:ascii="宋体" w:hAnsi="宋体"/>
                <w:bCs/>
                <w:color w:val="000000"/>
                <w:sz w:val="22"/>
              </w:rPr>
              <w:t>运行效果评估</w:t>
            </w:r>
          </w:p>
        </w:tc>
        <w:tc>
          <w:tcPr>
            <w:tcW w:w="800" w:type="dxa"/>
            <w:noWrap w:val="0"/>
            <w:vAlign w:val="center"/>
          </w:tcPr>
          <w:p>
            <w:pPr>
              <w:jc w:val="center"/>
            </w:pPr>
            <w:r>
              <w:rPr>
                <w:rFonts w:hint="eastAsia" w:ascii="宋体" w:hAnsi="宋体"/>
                <w:bCs/>
                <w:color w:val="000000"/>
                <w:sz w:val="22"/>
              </w:rPr>
              <w:t>12</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6.2.13</w:t>
            </w:r>
          </w:p>
        </w:tc>
        <w:tc>
          <w:tcPr>
            <w:tcW w:w="5000" w:type="dxa"/>
            <w:noWrap w:val="0"/>
            <w:vAlign w:val="center"/>
          </w:tcPr>
          <w:p>
            <w:r>
              <w:rPr>
                <w:rFonts w:hint="eastAsia" w:ascii="宋体" w:hAnsi="宋体"/>
                <w:bCs/>
                <w:color w:val="000000"/>
                <w:sz w:val="22"/>
              </w:rPr>
              <w:t>绿色建筑宣传</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gridSpan w:val="3"/>
            <w:shd w:val="clear" w:color="auto" w:fill="DCDCDC"/>
            <w:noWrap w:val="0"/>
            <w:vAlign w:val="center"/>
          </w:tcPr>
          <w:p>
            <w:pPr>
              <w:jc w:val="center"/>
            </w:pPr>
            <w:r>
              <w:rPr>
                <w:rFonts w:hint="eastAsia" w:ascii="宋体" w:hAnsi="宋体"/>
                <w:b/>
                <w:bCs/>
                <w:color w:val="000000"/>
                <w:sz w:val="20"/>
                <w:szCs w:val="20"/>
              </w:rPr>
              <w:t>合计</w:t>
            </w:r>
          </w:p>
        </w:tc>
        <w:tc>
          <w:tcPr>
            <w:tcW w:w="800" w:type="dxa"/>
            <w:noWrap w:val="0"/>
            <w:vAlign w:val="center"/>
          </w:tcPr>
          <w:p>
            <w:pPr>
              <w:jc w:val="center"/>
            </w:pPr>
            <w:r>
              <w:rPr>
                <w:rFonts w:hint="eastAsia" w:ascii="宋体" w:hAnsi="宋体"/>
                <w:bCs/>
                <w:color w:val="000000"/>
                <w:sz w:val="22"/>
              </w:rPr>
              <w:t>100.0</w:t>
            </w:r>
          </w:p>
        </w:tc>
        <w:tc>
          <w:tcPr>
            <w:tcW w:w="800" w:type="dxa"/>
            <w:noWrap w:val="0"/>
            <w:vAlign w:val="center"/>
          </w:tcPr>
          <w:p>
            <w:pPr>
              <w:jc w:val="center"/>
            </w:pPr>
            <w:r>
              <w:rPr>
                <w:rFonts w:hint="eastAsia" w:ascii="宋体" w:hAnsi="宋体"/>
                <w:bCs/>
                <w:color w:val="000000"/>
                <w:sz w:val="22"/>
              </w:rPr>
              <w:t>82.0</w:t>
            </w: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6.1.1 建筑、室外场地、公共绿地、城市道路相互之间应设置连贯的无障碍步行系统。</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建筑、室外场地、公共绿地、城市道路相互之间是否采用无障碍设计：</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r>
        <w:rPr>
          <w:rFonts w:hint="eastAsia"/>
        </w:rPr>
        <w:t>无障碍步行系统是否联通、连续：</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rPr>
          <w:rFonts w:ascii="Times New Roman" w:hAnsi="Times New Roman"/>
          <w:szCs w:val="21"/>
        </w:rPr>
      </w:pPr>
      <w:r>
        <w:rPr>
          <w:rFonts w:hint="eastAsia"/>
        </w:rPr>
        <w:t>请简要说明场地内各步道及场地内外联系的无障碍设计情况。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场地内人行通道及场地内外联系通道均设无障碍坡道，便于通行。</w:t>
            </w:r>
          </w:p>
          <w:p>
            <w:pPr>
              <w:ind w:firstLine="400" w:firstLineChars="200"/>
              <w:rPr>
                <w:rFonts w:ascii="Times New Roman" w:hAnsi="Times New Roman"/>
                <w:kern w:val="0"/>
                <w:sz w:val="20"/>
                <w:szCs w:val="21"/>
              </w:rPr>
            </w:pPr>
            <w:r>
              <w:rPr>
                <w:rFonts w:hint="eastAsia" w:ascii="Times New Roman" w:hAnsi="Times New Roman"/>
                <w:kern w:val="0"/>
                <w:sz w:val="20"/>
                <w:szCs w:val="21"/>
              </w:rPr>
              <w:t>1.本项目建筑出入口设置有无障碍坡道；</w:t>
            </w:r>
          </w:p>
          <w:p>
            <w:pPr>
              <w:ind w:firstLine="400" w:firstLineChars="200"/>
              <w:rPr>
                <w:rFonts w:ascii="Times New Roman" w:hAnsi="Times New Roman"/>
                <w:kern w:val="0"/>
                <w:sz w:val="20"/>
                <w:szCs w:val="21"/>
              </w:rPr>
            </w:pPr>
            <w:r>
              <w:rPr>
                <w:rFonts w:hint="eastAsia" w:ascii="Times New Roman" w:hAnsi="Times New Roman"/>
                <w:kern w:val="0"/>
                <w:sz w:val="20"/>
                <w:szCs w:val="21"/>
              </w:rPr>
              <w:t>2.场地人行道与市政道路连接处设有无障碍坡道。</w:t>
            </w:r>
          </w:p>
          <w:p>
            <w:pPr>
              <w:ind w:firstLine="400" w:firstLineChars="200"/>
              <w:rPr>
                <w:rFonts w:ascii="Times New Roman" w:hAnsi="Times New Roman"/>
                <w:kern w:val="0"/>
                <w:sz w:val="20"/>
                <w:szCs w:val="21"/>
              </w:rPr>
            </w:pPr>
            <w:r>
              <w:rPr>
                <w:rFonts w:hint="eastAsia" w:ascii="Times New Roman" w:hAnsi="Times New Roman"/>
                <w:kern w:val="0"/>
                <w:sz w:val="20"/>
                <w:szCs w:val="21"/>
              </w:rPr>
              <w:t>3.场地地势平坦满足无障碍要求。</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rPr>
          <w:rFonts w:hint="eastAsia"/>
        </w:rPr>
        <w:t>1）建筑竣工图及设计说明，应说明室外场地的无障碍设计内容；</w:t>
      </w:r>
    </w:p>
    <w:p>
      <w:r>
        <w:rPr>
          <w:rFonts w:hint="eastAsia"/>
        </w:rPr>
        <w:t>2）建筑总平面竣工图和场地竖向设计竣工图，应体现建筑主要出入口、人行通道、室外活动场地等主要部位的无障碍内容；</w:t>
      </w:r>
    </w:p>
    <w:p>
      <w:r>
        <w:rPr>
          <w:rFonts w:hint="eastAsia"/>
        </w:rPr>
        <w:t>3）室外景观园林平面竣工图，应包括场地人行通道、室外绿化小径和活动场地的无障碍设计；</w:t>
      </w:r>
    </w:p>
    <w:p>
      <w:r>
        <w:rPr>
          <w:rFonts w:hint="eastAsia"/>
        </w:rPr>
        <w:t>4）无障碍设计重点部位的实景照片。</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6.1.2 场地人行出入口500m内应设有公共交通站点或配备联系公共交通站点的专用接驳车。</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rPr>
      </w:pPr>
      <w:r>
        <w:rPr>
          <w:rFonts w:ascii="Times New Roman" w:hAnsi="Times New Roman"/>
        </w:rPr>
        <w:t>场地人行出入口500m内设有：</w:t>
      </w:r>
      <w:r>
        <w:rPr>
          <w:rFonts w:hint="eastAsia"/>
          <w:sz w:val="28"/>
        </w:rPr>
        <w:sym w:font="Wingdings 2" w:char="F0A3"/>
      </w:r>
      <w:r>
        <w:rPr>
          <w:rFonts w:ascii="Times New Roman" w:hAnsi="Times New Roman"/>
        </w:rPr>
        <w:t xml:space="preserve">公共交通站点  </w:t>
      </w:r>
      <w:r>
        <w:rPr>
          <w:rFonts w:hint="eastAsia"/>
          <w:sz w:val="28"/>
        </w:rPr>
        <w:sym w:font="Wingdings 2" w:char="F0A3"/>
      </w:r>
      <w:r>
        <w:rPr>
          <w:rFonts w:ascii="Times New Roman" w:hAnsi="Times New Roman"/>
        </w:rPr>
        <w:t xml:space="preserve">联系公共交通站点的专用接驳车     </w:t>
      </w:r>
    </w:p>
    <w:p>
      <w:pPr>
        <w:rPr>
          <w:rFonts w:ascii="Times New Roman" w:hAnsi="Times New Roman"/>
        </w:rPr>
      </w:pPr>
      <w:r>
        <w:rPr>
          <w:rFonts w:ascii="Times New Roman" w:hAnsi="Times New Roman"/>
        </w:rPr>
        <w:t>请对场地内公共交通站点之间的交通流线或联系公共交通站点的专用接驳车设置情况进行简要说明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ascii="Times New Roman" w:hAnsi="Times New Roman"/>
        </w:rPr>
        <w:t>1）项目竣工</w:t>
      </w:r>
      <w:r>
        <w:rPr>
          <w:rFonts w:hint="eastAsia" w:ascii="Times New Roman" w:hAnsi="Times New Roman"/>
        </w:rPr>
        <w:t>总平面图</w:t>
      </w:r>
      <w:r>
        <w:rPr>
          <w:rFonts w:ascii="Times New Roman" w:hAnsi="Times New Roman"/>
        </w:rPr>
        <w:t>；</w:t>
      </w:r>
    </w:p>
    <w:p>
      <w:pPr>
        <w:rPr>
          <w:rFonts w:ascii="Times New Roman" w:hAnsi="Times New Roman"/>
        </w:rPr>
      </w:pPr>
      <w:r>
        <w:rPr>
          <w:rFonts w:ascii="Times New Roman" w:hAnsi="Times New Roman"/>
        </w:rPr>
        <w:t>2）场地周边公共交通设施布局</w:t>
      </w:r>
      <w:r>
        <w:rPr>
          <w:rFonts w:hint="eastAsia" w:ascii="Times New Roman" w:hAnsi="Times New Roman"/>
        </w:rPr>
        <w:t>示意</w:t>
      </w:r>
      <w:r>
        <w:rPr>
          <w:rFonts w:ascii="Times New Roman" w:hAnsi="Times New Roman"/>
        </w:rPr>
        <w:t>图，应标出场地到达公交站点的步行线路、</w:t>
      </w:r>
      <w:r>
        <w:rPr>
          <w:rFonts w:hint="eastAsia" w:ascii="Times New Roman" w:hAnsi="Times New Roman"/>
        </w:rPr>
        <w:t>场地出入口达到公交站点的距离</w:t>
      </w:r>
      <w:r>
        <w:rPr>
          <w:rFonts w:ascii="Times New Roman" w:hAnsi="Times New Roman"/>
        </w:rPr>
        <w:t>；</w:t>
      </w:r>
    </w:p>
    <w:p>
      <w:pPr>
        <w:rPr>
          <w:rFonts w:ascii="Times New Roman" w:hAnsi="Times New Roman"/>
        </w:rPr>
      </w:pPr>
      <w:r>
        <w:rPr>
          <w:rFonts w:ascii="Times New Roman" w:hAnsi="Times New Roman"/>
        </w:rPr>
        <w:t>3）</w:t>
      </w:r>
      <w:r>
        <w:rPr>
          <w:rFonts w:hint="eastAsia" w:ascii="Times New Roman" w:hAnsi="Times New Roman"/>
        </w:rPr>
        <w:t>专用接驳车服务的实施方案；</w:t>
      </w:r>
    </w:p>
    <w:p>
      <w:pPr>
        <w:rPr>
          <w:rFonts w:ascii="Times New Roman" w:hAnsi="Times New Roman"/>
        </w:rPr>
      </w:pPr>
      <w:r>
        <w:rPr>
          <w:rFonts w:hint="eastAsia" w:ascii="Times New Roman" w:hAnsi="Times New Roman"/>
        </w:rPr>
        <w:t>4）公共交通站点或专用接驳车运行的影像资料</w:t>
      </w:r>
      <w:r>
        <w:rPr>
          <w:rFonts w:ascii="Times New Roman" w:hAnsi="Times New Roman"/>
        </w:rPr>
        <w:t>。</w:t>
      </w:r>
    </w:p>
    <w:p>
      <w:pPr>
        <w:ind w:left="210" w:hanging="210" w:hangingChars="100"/>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6.1.3 停车场应具有电动汽车充电设施或具备充电设施的安装条件，并应合理设置电动汽车和无障碍汽车停车位。</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rPr>
      </w:pPr>
      <w:r>
        <w:rPr>
          <w:rFonts w:hint="eastAsia" w:ascii="Times New Roman" w:hAnsi="Times New Roman"/>
        </w:rPr>
        <w:t>场地内是否设置电动汽车停车位：</w:t>
      </w:r>
      <w:r>
        <w:rPr>
          <w:rFonts w:hint="eastAsia"/>
          <w:sz w:val="28"/>
        </w:rPr>
        <w:sym w:font="Wingdings 2" w:char="F0A3"/>
      </w:r>
      <w:r>
        <w:rPr>
          <w:rFonts w:hint="eastAsia" w:ascii="Times New Roman" w:hAnsi="Times New Roman"/>
        </w:rPr>
        <w:t xml:space="preserve">是 </w:t>
      </w:r>
      <w:r>
        <w:rPr>
          <w:rFonts w:hint="eastAsia"/>
          <w:sz w:val="28"/>
        </w:rPr>
        <w:sym w:font="Wingdings 2" w:char="F0A3"/>
      </w:r>
      <w:r>
        <w:rPr>
          <w:rFonts w:hint="eastAsia" w:ascii="Times New Roman" w:hAnsi="Times New Roman"/>
        </w:rPr>
        <w:t>否；是否设置无障碍汽车停车位：</w:t>
      </w:r>
      <w:r>
        <w:rPr>
          <w:rFonts w:hint="eastAsia"/>
          <w:sz w:val="28"/>
        </w:rPr>
        <w:sym w:font="Wingdings 2" w:char="F0A3"/>
      </w:r>
      <w:r>
        <w:rPr>
          <w:rFonts w:hint="eastAsia" w:ascii="Times New Roman" w:hAnsi="Times New Roman"/>
        </w:rPr>
        <w:t xml:space="preserve">是 </w:t>
      </w:r>
      <w:r>
        <w:rPr>
          <w:rFonts w:hint="eastAsia"/>
          <w:sz w:val="28"/>
        </w:rPr>
        <w:sym w:font="Wingdings 2" w:char="F0A3"/>
      </w:r>
      <w:r>
        <w:rPr>
          <w:rFonts w:hint="eastAsia" w:ascii="Times New Roman" w:hAnsi="Times New Roman"/>
        </w:rPr>
        <w:t>否</w:t>
      </w:r>
    </w:p>
    <w:p>
      <w:pPr>
        <w:rPr>
          <w:rFonts w:ascii="Times New Roman" w:hAnsi="Times New Roman"/>
        </w:rPr>
      </w:pPr>
      <w:r>
        <w:rPr>
          <w:rFonts w:hint="eastAsia" w:ascii="Times New Roman" w:hAnsi="Times New Roman"/>
        </w:rPr>
        <w:t>场地内是否设有电动汽车充电设施：</w:t>
      </w:r>
      <w:r>
        <w:rPr>
          <w:rFonts w:hint="eastAsia"/>
          <w:sz w:val="28"/>
        </w:rPr>
        <w:sym w:font="Wingdings 2" w:char="F0A3"/>
      </w:r>
      <w:r>
        <w:rPr>
          <w:rFonts w:hint="eastAsia" w:ascii="Times New Roman" w:hAnsi="Times New Roman"/>
        </w:rPr>
        <w:t xml:space="preserve">是 </w:t>
      </w:r>
      <w:r>
        <w:rPr>
          <w:rFonts w:hint="eastAsia"/>
          <w:sz w:val="28"/>
        </w:rPr>
        <w:sym w:font="Wingdings 2" w:char="F0A3"/>
      </w:r>
      <w:r>
        <w:rPr>
          <w:rFonts w:hint="eastAsia" w:ascii="Times New Roman" w:hAnsi="Times New Roman"/>
        </w:rPr>
        <w:t>否；若否，是否具备充电设施的安装条件：</w:t>
      </w:r>
      <w:r>
        <w:rPr>
          <w:rFonts w:hint="eastAsia"/>
          <w:sz w:val="28"/>
        </w:rPr>
        <w:sym w:font="Wingdings 2" w:char="F0A3"/>
      </w:r>
      <w:r>
        <w:rPr>
          <w:rFonts w:hint="eastAsia" w:ascii="Times New Roman" w:hAnsi="Times New Roman"/>
        </w:rPr>
        <w:t xml:space="preserve">是 </w:t>
      </w:r>
      <w:r>
        <w:rPr>
          <w:rFonts w:hint="eastAsia"/>
          <w:sz w:val="28"/>
        </w:rPr>
        <w:sym w:font="Wingdings 2" w:char="F0A3"/>
      </w:r>
      <w:r>
        <w:rPr>
          <w:rFonts w:hint="eastAsia" w:ascii="Times New Roman" w:hAnsi="Times New Roman"/>
        </w:rPr>
        <w:t>否</w:t>
      </w:r>
    </w:p>
    <w:p>
      <w:pPr>
        <w:rPr>
          <w:rFonts w:ascii="Times New Roman" w:hAnsi="Times New Roman"/>
        </w:rPr>
      </w:pPr>
      <w:r>
        <w:rPr>
          <w:rFonts w:hint="eastAsia" w:ascii="Times New Roman" w:hAnsi="Times New Roman"/>
        </w:rPr>
        <w:t>停车场所设置规模</w:t>
      </w:r>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2268"/>
        <w:gridCol w:w="21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899" w:type="dxa"/>
            <w:noWrap w:val="0"/>
            <w:vAlign w:val="center"/>
          </w:tcPr>
          <w:p>
            <w:pPr>
              <w:jc w:val="center"/>
            </w:pPr>
            <w:r>
              <w:rPr>
                <w:rFonts w:hint="eastAsia"/>
              </w:rPr>
              <w:t>类别</w:t>
            </w:r>
          </w:p>
        </w:tc>
        <w:tc>
          <w:tcPr>
            <w:tcW w:w="2268" w:type="dxa"/>
            <w:noWrap w:val="0"/>
            <w:vAlign w:val="center"/>
          </w:tcPr>
          <w:p>
            <w:pPr>
              <w:jc w:val="center"/>
            </w:pPr>
            <w:r>
              <w:rPr>
                <w:rFonts w:hint="eastAsia"/>
              </w:rPr>
              <w:t>当地规范限值（辆）</w:t>
            </w:r>
          </w:p>
        </w:tc>
        <w:tc>
          <w:tcPr>
            <w:tcW w:w="2146" w:type="dxa"/>
            <w:noWrap w:val="0"/>
            <w:vAlign w:val="center"/>
          </w:tcPr>
          <w:p>
            <w:pPr>
              <w:jc w:val="center"/>
            </w:pPr>
            <w:r>
              <w:rPr>
                <w:rFonts w:hint="eastAsia"/>
              </w:rPr>
              <w:t>设计值（辆）</w:t>
            </w:r>
          </w:p>
        </w:tc>
        <w:tc>
          <w:tcPr>
            <w:tcW w:w="1976" w:type="dxa"/>
            <w:noWrap w:val="0"/>
            <w:vAlign w:val="center"/>
          </w:tcPr>
          <w:p>
            <w:pPr>
              <w:jc w:val="center"/>
            </w:pPr>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899" w:type="dxa"/>
            <w:noWrap w:val="0"/>
            <w:vAlign w:val="center"/>
          </w:tcPr>
          <w:p>
            <w:pPr>
              <w:jc w:val="center"/>
            </w:pPr>
            <w:r>
              <w:rPr>
                <w:rFonts w:hint="eastAsia"/>
              </w:rPr>
              <w:t>机动车停车位数量</w:t>
            </w:r>
          </w:p>
        </w:tc>
        <w:tc>
          <w:tcPr>
            <w:tcW w:w="2268" w:type="dxa"/>
            <w:noWrap w:val="0"/>
            <w:vAlign w:val="center"/>
          </w:tcPr>
          <w:p>
            <w:pPr>
              <w:jc w:val="center"/>
            </w:pPr>
          </w:p>
        </w:tc>
        <w:tc>
          <w:tcPr>
            <w:tcW w:w="2146" w:type="dxa"/>
            <w:noWrap w:val="0"/>
            <w:vAlign w:val="center"/>
          </w:tcPr>
          <w:p>
            <w:pPr>
              <w:jc w:val="center"/>
            </w:pPr>
          </w:p>
        </w:tc>
        <w:tc>
          <w:tcPr>
            <w:tcW w:w="1976" w:type="dxa"/>
            <w:noWrap w:val="0"/>
            <w:vAlign w:val="center"/>
          </w:tcPr>
          <w:p>
            <w:pPr>
              <w:jc w:val="center"/>
            </w:pPr>
            <w:r>
              <w:rPr>
                <w:rFonts w:hint="eastAsia"/>
                <w:sz w:val="28"/>
              </w:rPr>
              <w:sym w:font="Wingdings 2" w:char="F0A3"/>
            </w:r>
            <w:r>
              <w:rPr>
                <w:rFonts w:hint="eastAsia"/>
              </w:rPr>
              <w:t xml:space="preserve">是 </w:t>
            </w:r>
            <w:r>
              <w:rPr>
                <w:rFonts w:hint="eastAsia"/>
                <w:sz w:val="28"/>
              </w:rPr>
              <w:sym w:font="Wingdings 2" w:char="F0A3"/>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899" w:type="dxa"/>
            <w:noWrap w:val="0"/>
            <w:vAlign w:val="center"/>
          </w:tcPr>
          <w:p>
            <w:pPr>
              <w:jc w:val="center"/>
            </w:pPr>
            <w:r>
              <w:rPr>
                <w:rFonts w:hint="eastAsia"/>
              </w:rPr>
              <w:t>电动汽车停车位数量</w:t>
            </w:r>
          </w:p>
        </w:tc>
        <w:tc>
          <w:tcPr>
            <w:tcW w:w="2268" w:type="dxa"/>
            <w:noWrap w:val="0"/>
            <w:vAlign w:val="center"/>
          </w:tcPr>
          <w:p>
            <w:pPr>
              <w:jc w:val="center"/>
            </w:pPr>
          </w:p>
        </w:tc>
        <w:tc>
          <w:tcPr>
            <w:tcW w:w="2146" w:type="dxa"/>
            <w:noWrap w:val="0"/>
            <w:vAlign w:val="center"/>
          </w:tcPr>
          <w:p>
            <w:pPr>
              <w:jc w:val="center"/>
            </w:pPr>
          </w:p>
        </w:tc>
        <w:tc>
          <w:tcPr>
            <w:tcW w:w="1976" w:type="dxa"/>
            <w:noWrap w:val="0"/>
            <w:vAlign w:val="top"/>
          </w:tcPr>
          <w:p>
            <w:pPr>
              <w:jc w:val="center"/>
              <w:rPr>
                <w:lang w:val="zh-CN"/>
              </w:rPr>
            </w:pPr>
            <w:r>
              <w:rPr>
                <w:rFonts w:hint="eastAsia"/>
                <w:sz w:val="28"/>
              </w:rPr>
              <w:sym w:font="Wingdings 2" w:char="F0A3"/>
            </w:r>
            <w:r>
              <w:rPr>
                <w:rFonts w:hint="eastAsia"/>
              </w:rPr>
              <w:t xml:space="preserve">是 </w:t>
            </w:r>
            <w:r>
              <w:rPr>
                <w:rFonts w:hint="eastAsia"/>
                <w:sz w:val="28"/>
              </w:rPr>
              <w:sym w:font="Wingdings 2" w:char="F0A3"/>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1" w:hRule="atLeast"/>
          <w:jc w:val="center"/>
        </w:trPr>
        <w:tc>
          <w:tcPr>
            <w:tcW w:w="2899" w:type="dxa"/>
            <w:noWrap w:val="0"/>
            <w:vAlign w:val="center"/>
          </w:tcPr>
          <w:p>
            <w:pPr>
              <w:jc w:val="center"/>
            </w:pPr>
            <w:r>
              <w:rPr>
                <w:rFonts w:hint="eastAsia"/>
              </w:rPr>
              <w:t>无障碍汽车停车位数量</w:t>
            </w:r>
          </w:p>
        </w:tc>
        <w:tc>
          <w:tcPr>
            <w:tcW w:w="2268" w:type="dxa"/>
            <w:noWrap w:val="0"/>
            <w:vAlign w:val="center"/>
          </w:tcPr>
          <w:p>
            <w:pPr>
              <w:jc w:val="center"/>
            </w:pPr>
          </w:p>
        </w:tc>
        <w:tc>
          <w:tcPr>
            <w:tcW w:w="2146" w:type="dxa"/>
            <w:noWrap w:val="0"/>
            <w:vAlign w:val="center"/>
          </w:tcPr>
          <w:p>
            <w:pPr>
              <w:jc w:val="center"/>
            </w:pPr>
          </w:p>
        </w:tc>
        <w:tc>
          <w:tcPr>
            <w:tcW w:w="1976" w:type="dxa"/>
            <w:noWrap w:val="0"/>
            <w:vAlign w:val="top"/>
          </w:tcPr>
          <w:p>
            <w:pPr>
              <w:jc w:val="center"/>
              <w:rPr>
                <w:color w:val="808080"/>
              </w:rPr>
            </w:pPr>
            <w:r>
              <w:rPr>
                <w:rFonts w:hint="eastAsia"/>
                <w:sz w:val="28"/>
              </w:rPr>
              <w:sym w:font="Wingdings 2" w:char="F0A3"/>
            </w:r>
            <w:r>
              <w:rPr>
                <w:rFonts w:hint="eastAsia"/>
              </w:rPr>
              <w:t xml:space="preserve">是 </w:t>
            </w:r>
            <w:r>
              <w:rPr>
                <w:rFonts w:hint="eastAsia"/>
                <w:sz w:val="28"/>
              </w:rPr>
              <w:sym w:font="Wingdings 2" w:char="F052"/>
            </w:r>
            <w:r>
              <w:rPr>
                <w:rFonts w:hint="eastAsia"/>
              </w:rPr>
              <w:t>否</w:t>
            </w:r>
          </w:p>
        </w:tc>
      </w:tr>
    </w:tbl>
    <w:p>
      <w:pPr>
        <w:rPr>
          <w:rFonts w:ascii="Times New Roman" w:hAnsi="Times New Roman"/>
          <w:szCs w:val="21"/>
        </w:rPr>
      </w:pPr>
      <w:r>
        <w:rPr>
          <w:rFonts w:hint="eastAsia"/>
        </w:rPr>
        <w:t>请简要说明机动车停车位设置、停车方式、停车场管理等。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本项目机动车与非机动车均采用全地下的方式，地面均为绿化用地及公共活动用地，不会挤占地上步行空间活动场所。</w:t>
            </w:r>
          </w:p>
          <w:p>
            <w:pPr>
              <w:ind w:firstLine="400" w:firstLineChars="200"/>
              <w:rPr>
                <w:rFonts w:ascii="Times New Roman" w:hAnsi="Times New Roman"/>
                <w:kern w:val="0"/>
                <w:sz w:val="20"/>
                <w:szCs w:val="21"/>
              </w:rPr>
            </w:pPr>
            <w:r>
              <w:rPr>
                <w:rFonts w:hint="eastAsia" w:ascii="Times New Roman" w:hAnsi="Times New Roman"/>
                <w:kern w:val="0"/>
                <w:sz w:val="20"/>
                <w:szCs w:val="21"/>
              </w:rPr>
              <w:t xml:space="preserve"> 本项目设置有车辆管理系统，采用基于TCP/IP智能化设备网的IP数字一卡通系统，每个小区出入口均为一进一出，小区出入岗亭设置管理电脑，入口主机配置临时发卡器，卡片回收由人员手动完成。</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rPr>
      </w:pPr>
      <w:r>
        <w:rPr>
          <w:rFonts w:ascii="Times New Roman" w:hAnsi="Times New Roman"/>
        </w:rPr>
        <w:t>提交材料及要求：</w:t>
      </w:r>
    </w:p>
    <w:p>
      <w:pPr>
        <w:rPr>
          <w:rFonts w:ascii="Times New Roman" w:hAnsi="Times New Roman"/>
        </w:rPr>
      </w:pPr>
      <w:r>
        <w:rPr>
          <w:rFonts w:hint="eastAsia" w:ascii="Times New Roman" w:hAnsi="Times New Roman"/>
        </w:rPr>
        <w:t>1）建筑专业竣工图纸及设计说明，应包括电动汽车停车位和无障碍停车位的设计内容；</w:t>
      </w:r>
    </w:p>
    <w:p>
      <w:pPr>
        <w:rPr>
          <w:rFonts w:ascii="Times New Roman" w:hAnsi="Times New Roman"/>
        </w:rPr>
      </w:pPr>
      <w:r>
        <w:rPr>
          <w:rFonts w:hint="eastAsia" w:ascii="Times New Roman" w:hAnsi="Times New Roman"/>
        </w:rPr>
        <w:t>2）电气专业竣工图及设计说明，应包括充电设施条件、配电系统要求、布线系统要求、计量要求等。</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57"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6.1.4 自行车停车场所应位置合理、方便出入。</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rPr>
        <w:t>请简要说明自行车停车场所设计情况、停车管理等：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项目在地上设置了非机动车停车位，满足规范要求。</w:t>
            </w:r>
          </w:p>
          <w:p>
            <w:pPr>
              <w:ind w:firstLine="400" w:firstLineChars="200"/>
              <w:rPr>
                <w:rFonts w:ascii="Times New Roman" w:hAnsi="Times New Roman"/>
                <w:kern w:val="0"/>
                <w:sz w:val="20"/>
                <w:szCs w:val="21"/>
              </w:rPr>
            </w:pPr>
            <w:r>
              <w:rPr>
                <w:rFonts w:hint="eastAsia" w:ascii="Times New Roman" w:hAnsi="Times New Roman"/>
                <w:kern w:val="0"/>
                <w:sz w:val="20"/>
                <w:szCs w:val="21"/>
              </w:rPr>
              <w:t>出入口设置自行车停车棚。</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1）项目竣工总平面图，应包括自行车库/棚位置、地面停车场位置；</w:t>
      </w:r>
      <w:r>
        <w:rPr>
          <w:rFonts w:ascii="Times New Roman" w:hAnsi="Times New Roman"/>
        </w:rPr>
        <w:t xml:space="preserve"> </w:t>
      </w:r>
    </w:p>
    <w:p>
      <w:pPr>
        <w:rPr>
          <w:rFonts w:ascii="Times New Roman" w:hAnsi="Times New Roman"/>
        </w:rPr>
      </w:pPr>
      <w:r>
        <w:rPr>
          <w:rFonts w:hint="eastAsia" w:ascii="Times New Roman" w:hAnsi="Times New Roman"/>
        </w:rPr>
        <w:t>2）自行车库/棚及附属设施竣工图，应包括自行车停车设施详图、管理办法；</w:t>
      </w:r>
    </w:p>
    <w:p>
      <w:pPr>
        <w:rPr>
          <w:rFonts w:ascii="Times New Roman" w:hAnsi="Times New Roman"/>
        </w:rPr>
      </w:pPr>
      <w:r>
        <w:rPr>
          <w:rFonts w:hint="eastAsia" w:ascii="Times New Roman" w:hAnsi="Times New Roman"/>
        </w:rPr>
        <w:t>3）自行车停车场所的现场影像资料；</w:t>
      </w:r>
    </w:p>
    <w:p>
      <w:pPr>
        <w:rPr>
          <w:rFonts w:ascii="Times New Roman" w:hAnsi="Times New Roman"/>
        </w:rPr>
      </w:pPr>
      <w:r>
        <w:rPr>
          <w:rFonts w:hint="eastAsia" w:ascii="Times New Roman" w:hAnsi="Times New Roman"/>
        </w:rPr>
        <w:t>4）所在地不适宜使用自行车的说明。</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6.1.5 建筑设备管理系统应具有自动监控管理功能。</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rPr>
          <w:rFonts w:ascii="Times New Roman" w:hAnsi="Times New Roman"/>
          <w:szCs w:val="21"/>
        </w:rPr>
      </w:pP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建筑设备系统是否实现自动监控：</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rPr>
          <w:rFonts w:ascii="Times New Roman" w:hAnsi="Times New Roman"/>
          <w:szCs w:val="21"/>
        </w:rPr>
      </w:pPr>
      <w:r>
        <w:rPr>
          <w:rFonts w:hint="eastAsia" w:ascii="Times New Roman" w:hAnsi="Times New Roman"/>
        </w:rPr>
        <w:t>请简要说明自动监控系统设置情况和管理功能。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1）电气专业竣工图纸及设计说明，应包括建设设备自控系统的设计说明、系统图、监控点数点位表、平面图及原理图；</w:t>
      </w:r>
    </w:p>
    <w:p>
      <w:pPr>
        <w:rPr>
          <w:rFonts w:ascii="Times New Roman" w:hAnsi="Times New Roman"/>
        </w:rPr>
      </w:pPr>
      <w:r>
        <w:rPr>
          <w:rFonts w:hint="eastAsia" w:ascii="Times New Roman" w:hAnsi="Times New Roman"/>
        </w:rPr>
        <w:t>2）建筑设备自控系统相关设备的使用说明书；</w:t>
      </w:r>
    </w:p>
    <w:p>
      <w:pPr>
        <w:rPr>
          <w:rFonts w:ascii="Times New Roman" w:hAnsi="Times New Roman"/>
        </w:rPr>
      </w:pPr>
      <w:r>
        <w:rPr>
          <w:rFonts w:hint="eastAsia" w:ascii="Times New Roman" w:hAnsi="Times New Roman"/>
        </w:rPr>
        <w:t>3）建筑设备自控系统的运行记录及运行分析报告。</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6.1.6 建筑应设置信息网络系统。</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建筑是否设置业务信息网和智能化设施信息网：</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rPr>
          <w:rFonts w:ascii="Times New Roman" w:hAnsi="Times New Roman"/>
          <w:szCs w:val="21"/>
        </w:rPr>
      </w:pPr>
      <w:r>
        <w:rPr>
          <w:rFonts w:hint="eastAsia"/>
        </w:rPr>
        <w:t>请简要说明信息网络系统的设置情况和管理功能等。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1）智能化设计竣工图纸及设计说明：应包括信息网络系统设计说明、系统图、机房设计、主要设备及参数；</w:t>
      </w:r>
    </w:p>
    <w:p>
      <w:pPr>
        <w:rPr>
          <w:rFonts w:ascii="Times New Roman" w:hAnsi="Times New Roman"/>
        </w:rPr>
      </w:pPr>
      <w:r>
        <w:rPr>
          <w:rFonts w:hint="eastAsia" w:ascii="Times New Roman" w:hAnsi="Times New Roman"/>
        </w:rPr>
        <w:t>2）装修图纸：应包括信息网络系统设计文件。</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6.2.1 场地与公共公交通站点联系便捷。（8分）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99"/>
        <w:gridCol w:w="170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828" w:type="dxa"/>
            <w:noWrap w:val="0"/>
            <w:vAlign w:val="center"/>
          </w:tcPr>
          <w:p>
            <w:pPr>
              <w:jc w:val="center"/>
              <w:rPr>
                <w:rFonts w:ascii="Times New Roman" w:hAnsi="Times New Roman"/>
                <w:lang w:val="zh-CN"/>
              </w:rPr>
            </w:pPr>
            <w:r>
              <w:rPr>
                <w:rFonts w:ascii="Times New Roman" w:hAnsi="Times New Roman"/>
                <w:lang w:val="zh-CN"/>
              </w:rPr>
              <w:t>序号</w:t>
            </w:r>
          </w:p>
        </w:tc>
        <w:tc>
          <w:tcPr>
            <w:tcW w:w="4999"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63"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28" w:type="dxa"/>
            <w:vMerge w:val="restart"/>
            <w:noWrap w:val="0"/>
            <w:vAlign w:val="center"/>
          </w:tcPr>
          <w:p>
            <w:pPr>
              <w:jc w:val="center"/>
              <w:rPr>
                <w:rFonts w:ascii="Times New Roman" w:hAnsi="Times New Roman"/>
              </w:rPr>
            </w:pPr>
            <w:r>
              <w:rPr>
                <w:rFonts w:ascii="Times New Roman" w:hAnsi="Times New Roman"/>
              </w:rPr>
              <w:t>1</w:t>
            </w:r>
          </w:p>
        </w:tc>
        <w:tc>
          <w:tcPr>
            <w:tcW w:w="4999" w:type="dxa"/>
            <w:noWrap w:val="0"/>
            <w:vAlign w:val="center"/>
          </w:tcPr>
          <w:p>
            <w:pPr>
              <w:rPr>
                <w:rFonts w:ascii="Times New Roman" w:hAnsi="Times New Roman"/>
              </w:rPr>
            </w:pPr>
            <w:r>
              <w:rPr>
                <w:rFonts w:ascii="Times New Roman" w:hAnsi="Times New Roman"/>
              </w:rPr>
              <w:t>场地出入口到达公共交通站点的步行距离不大于500m，或到达轨道交通站的步行距离不大于800m</w:t>
            </w:r>
          </w:p>
        </w:tc>
        <w:tc>
          <w:tcPr>
            <w:tcW w:w="1701" w:type="dxa"/>
            <w:noWrap w:val="0"/>
            <w:vAlign w:val="center"/>
          </w:tcPr>
          <w:p>
            <w:pPr>
              <w:jc w:val="center"/>
              <w:rPr>
                <w:rFonts w:ascii="Times New Roman" w:hAnsi="Times New Roman"/>
              </w:rPr>
            </w:pPr>
            <w:r>
              <w:rPr>
                <w:rFonts w:ascii="Times New Roman" w:hAnsi="Times New Roman"/>
              </w:rPr>
              <w:t>2</w:t>
            </w:r>
          </w:p>
        </w:tc>
        <w:tc>
          <w:tcPr>
            <w:tcW w:w="1663" w:type="dxa"/>
            <w:vMerge w:val="restart"/>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28" w:type="dxa"/>
            <w:vMerge w:val="continue"/>
            <w:noWrap w:val="0"/>
            <w:vAlign w:val="center"/>
          </w:tcPr>
          <w:p>
            <w:pPr>
              <w:jc w:val="center"/>
              <w:rPr>
                <w:rFonts w:ascii="Times New Roman" w:hAnsi="Times New Roman"/>
              </w:rPr>
            </w:pPr>
          </w:p>
        </w:tc>
        <w:tc>
          <w:tcPr>
            <w:tcW w:w="4999" w:type="dxa"/>
            <w:noWrap w:val="0"/>
            <w:vAlign w:val="center"/>
          </w:tcPr>
          <w:p>
            <w:pPr>
              <w:rPr>
                <w:rFonts w:ascii="Times New Roman" w:hAnsi="Times New Roman"/>
              </w:rPr>
            </w:pPr>
            <w:r>
              <w:rPr>
                <w:rFonts w:ascii="Times New Roman" w:hAnsi="Times New Roman"/>
              </w:rPr>
              <w:t>场地出入口到达公共交通站点的步行距离不大于300m，或到达轨道交通站的步行距离不大于500m</w:t>
            </w:r>
          </w:p>
        </w:tc>
        <w:tc>
          <w:tcPr>
            <w:tcW w:w="1701" w:type="dxa"/>
            <w:noWrap w:val="0"/>
            <w:vAlign w:val="center"/>
          </w:tcPr>
          <w:p>
            <w:pPr>
              <w:jc w:val="center"/>
              <w:rPr>
                <w:rFonts w:ascii="Times New Roman" w:hAnsi="Times New Roman"/>
              </w:rPr>
            </w:pPr>
            <w:r>
              <w:rPr>
                <w:rFonts w:ascii="Times New Roman" w:hAnsi="Times New Roman"/>
              </w:rPr>
              <w:t>4</w:t>
            </w:r>
          </w:p>
        </w:tc>
        <w:tc>
          <w:tcPr>
            <w:tcW w:w="1663" w:type="dxa"/>
            <w:vMerge w:val="continue"/>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9" w:hRule="atLeast"/>
          <w:jc w:val="center"/>
        </w:trPr>
        <w:tc>
          <w:tcPr>
            <w:tcW w:w="828" w:type="dxa"/>
            <w:noWrap w:val="0"/>
            <w:vAlign w:val="center"/>
          </w:tcPr>
          <w:p>
            <w:pPr>
              <w:jc w:val="center"/>
              <w:rPr>
                <w:rFonts w:ascii="Times New Roman" w:hAnsi="Times New Roman"/>
              </w:rPr>
            </w:pPr>
            <w:r>
              <w:rPr>
                <w:rFonts w:ascii="Times New Roman" w:hAnsi="Times New Roman"/>
              </w:rPr>
              <w:t>2</w:t>
            </w:r>
          </w:p>
        </w:tc>
        <w:tc>
          <w:tcPr>
            <w:tcW w:w="4999" w:type="dxa"/>
            <w:noWrap w:val="0"/>
            <w:vAlign w:val="center"/>
          </w:tcPr>
          <w:p>
            <w:pPr>
              <w:rPr>
                <w:rFonts w:ascii="Times New Roman" w:hAnsi="Times New Roman"/>
                <w:kern w:val="0"/>
              </w:rPr>
            </w:pPr>
            <w:r>
              <w:rPr>
                <w:rFonts w:ascii="Times New Roman" w:hAnsi="Times New Roman"/>
              </w:rPr>
              <w:t>场地出入口步行距离800m范围内设有2条及以上线路的公共交通站点</w:t>
            </w:r>
          </w:p>
        </w:tc>
        <w:tc>
          <w:tcPr>
            <w:tcW w:w="1701" w:type="dxa"/>
            <w:noWrap w:val="0"/>
            <w:vAlign w:val="center"/>
          </w:tcPr>
          <w:p>
            <w:pPr>
              <w:jc w:val="center"/>
              <w:rPr>
                <w:rFonts w:ascii="Times New Roman" w:hAnsi="Times New Roman"/>
              </w:rPr>
            </w:pPr>
            <w:r>
              <w:rPr>
                <w:rFonts w:ascii="Times New Roman" w:hAnsi="Times New Roman"/>
              </w:rPr>
              <w:t>4</w:t>
            </w:r>
          </w:p>
        </w:tc>
        <w:tc>
          <w:tcPr>
            <w:tcW w:w="1663"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27" w:type="dxa"/>
            <w:gridSpan w:val="2"/>
            <w:noWrap w:val="0"/>
            <w:vAlign w:val="top"/>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rPr>
            </w:pPr>
            <w:r>
              <w:rPr>
                <w:rFonts w:ascii="Times New Roman" w:hAnsi="Times New Roman"/>
              </w:rPr>
              <w:t>8</w:t>
            </w:r>
          </w:p>
        </w:tc>
        <w:tc>
          <w:tcPr>
            <w:tcW w:w="1663"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lang w:val="zh-CN"/>
        </w:rPr>
      </w:pPr>
      <w:r>
        <w:rPr>
          <w:rFonts w:hint="eastAsia"/>
          <w:lang w:val="zh-CN"/>
        </w:rPr>
        <w:t>场地内交通组织是否人车分行：</w:t>
      </w:r>
      <w:r>
        <w:rPr>
          <w:rFonts w:hint="eastAsia"/>
          <w:sz w:val="28"/>
        </w:rPr>
        <w:sym w:font="Wingdings 2" w:char="F0A3"/>
      </w:r>
      <w:r>
        <w:rPr>
          <w:rFonts w:hint="eastAsia"/>
          <w:lang w:val="zh-CN"/>
        </w:rPr>
        <w:t xml:space="preserve">是 </w:t>
      </w:r>
      <w:r>
        <w:rPr>
          <w:rFonts w:hint="eastAsia"/>
          <w:sz w:val="28"/>
        </w:rPr>
        <w:sym w:font="Wingdings 2" w:char="F0A3"/>
      </w:r>
      <w:r>
        <w:rPr>
          <w:rFonts w:hint="eastAsia"/>
          <w:lang w:val="zh-CN"/>
        </w:rPr>
        <w:t>否</w:t>
      </w:r>
    </w:p>
    <w:tbl>
      <w:tblPr>
        <w:tblStyle w:val="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410"/>
        <w:gridCol w:w="266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7" w:hRule="atLeast"/>
          <w:jc w:val="center"/>
        </w:trPr>
        <w:tc>
          <w:tcPr>
            <w:tcW w:w="2314" w:type="dxa"/>
            <w:noWrap w:val="0"/>
            <w:vAlign w:val="center"/>
          </w:tcPr>
          <w:p>
            <w:pPr>
              <w:jc w:val="center"/>
              <w:rPr>
                <w:lang w:val="zh-CN"/>
              </w:rPr>
            </w:pPr>
            <w:r>
              <w:rPr>
                <w:rFonts w:hint="eastAsia"/>
                <w:lang w:val="zh-CN"/>
              </w:rPr>
              <w:t>公交/轨道交通站名称</w:t>
            </w:r>
          </w:p>
        </w:tc>
        <w:tc>
          <w:tcPr>
            <w:tcW w:w="2410" w:type="dxa"/>
            <w:noWrap w:val="0"/>
            <w:vAlign w:val="center"/>
          </w:tcPr>
          <w:p>
            <w:pPr>
              <w:jc w:val="center"/>
              <w:rPr>
                <w:lang w:val="zh-CN"/>
              </w:rPr>
            </w:pPr>
            <w:r>
              <w:rPr>
                <w:rFonts w:hint="eastAsia"/>
                <w:lang w:val="zh-CN"/>
              </w:rPr>
              <w:t>场地出入口步行至公交站的距离（m）</w:t>
            </w:r>
          </w:p>
        </w:tc>
        <w:tc>
          <w:tcPr>
            <w:tcW w:w="2662" w:type="dxa"/>
            <w:noWrap w:val="0"/>
            <w:vAlign w:val="center"/>
          </w:tcPr>
          <w:p>
            <w:pPr>
              <w:jc w:val="center"/>
              <w:rPr>
                <w:lang w:val="zh-CN"/>
              </w:rPr>
            </w:pPr>
            <w:r>
              <w:rPr>
                <w:rFonts w:hint="eastAsia"/>
                <w:lang w:val="zh-CN"/>
              </w:rPr>
              <w:t>线路名称</w:t>
            </w:r>
          </w:p>
        </w:tc>
        <w:tc>
          <w:tcPr>
            <w:tcW w:w="1805" w:type="dxa"/>
            <w:noWrap w:val="0"/>
            <w:vAlign w:val="center"/>
          </w:tcPr>
          <w:p>
            <w:pPr>
              <w:jc w:val="center"/>
              <w:rPr>
                <w:lang w:val="zh-CN"/>
              </w:rPr>
            </w:pPr>
            <w:r>
              <w:rPr>
                <w:rFonts w:hint="eastAsia"/>
                <w:lang w:val="zh-CN"/>
              </w:rPr>
              <w:t>已建/规划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 w:hRule="atLeast"/>
          <w:jc w:val="center"/>
        </w:trPr>
        <w:tc>
          <w:tcPr>
            <w:tcW w:w="2314"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2410"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2662"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1805" w:type="dxa"/>
            <w:noWrap w:val="0"/>
            <w:vAlign w:val="center"/>
          </w:tcPr>
          <w:p>
            <w:pPr>
              <w:jc w:val="center"/>
              <w:rPr>
                <w:lang w:val="zh-CN"/>
              </w:rPr>
            </w:pPr>
            <w:r>
              <w:rPr>
                <w:rFonts w:hint="eastAsia"/>
                <w:sz w:val="28"/>
              </w:rPr>
              <w:sym w:font="Wingdings 2" w:char="F0A3"/>
            </w:r>
            <w:r>
              <w:rPr>
                <w:rFonts w:hint="eastAsia"/>
                <w:lang w:val="zh-CN"/>
              </w:rPr>
              <w:t xml:space="preserve">已建 </w:t>
            </w:r>
            <w:r>
              <w:rPr>
                <w:rFonts w:hint="eastAsia"/>
                <w:sz w:val="28"/>
              </w:rPr>
              <w:sym w:font="Wingdings 2" w:char="F0A3"/>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6" w:hRule="atLeast"/>
          <w:jc w:val="center"/>
        </w:trPr>
        <w:tc>
          <w:tcPr>
            <w:tcW w:w="2314"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2410"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2662"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1805" w:type="dxa"/>
            <w:noWrap w:val="0"/>
            <w:vAlign w:val="center"/>
          </w:tcPr>
          <w:p>
            <w:pPr>
              <w:jc w:val="center"/>
              <w:rPr>
                <w:lang w:val="zh-CN"/>
              </w:rPr>
            </w:pPr>
            <w:r>
              <w:rPr>
                <w:rFonts w:hint="eastAsia"/>
                <w:sz w:val="28"/>
              </w:rPr>
              <w:sym w:font="Wingdings 2" w:char="F0A3"/>
            </w:r>
            <w:r>
              <w:rPr>
                <w:rFonts w:hint="eastAsia"/>
                <w:lang w:val="zh-CN"/>
              </w:rPr>
              <w:t xml:space="preserve">已建 </w:t>
            </w:r>
            <w:r>
              <w:rPr>
                <w:rFonts w:hint="eastAsia"/>
                <w:sz w:val="28"/>
              </w:rPr>
              <w:sym w:font="Wingdings 2" w:char="F0A3"/>
            </w:r>
            <w:r>
              <w:rPr>
                <w:rFonts w:hint="eastAsia"/>
                <w:lang w:val="zh-CN"/>
              </w:rPr>
              <w:t>规划</w:t>
            </w:r>
          </w:p>
        </w:tc>
      </w:tr>
    </w:tbl>
    <w:p>
      <w:pPr>
        <w:rPr>
          <w:rFonts w:ascii="Times New Roman" w:hAnsi="Times New Roman"/>
          <w:szCs w:val="21"/>
        </w:rPr>
      </w:pPr>
      <w:r>
        <w:rPr>
          <w:rFonts w:hint="eastAsia"/>
          <w:lang w:val="zh-CN"/>
        </w:rPr>
        <w:t>请对场地内交通组织及场地与公共交通站点之间的交通流线进行简要分析。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8"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场地内交通组织采用人车分流。目前已有90、91路公交线路，后期还有规划公交线路到达学校，交通比较便利。</w:t>
            </w:r>
          </w:p>
          <w:p>
            <w:pPr>
              <w:ind w:firstLine="400" w:firstLineChars="200"/>
              <w:rPr>
                <w:rFonts w:ascii="Times New Roman" w:hAnsi="Times New Roman"/>
                <w:kern w:val="0"/>
                <w:sz w:val="20"/>
                <w:szCs w:val="21"/>
              </w:rPr>
            </w:pPr>
            <w:r>
              <w:rPr>
                <w:rFonts w:hint="eastAsia" w:ascii="Times New Roman" w:hAnsi="Times New Roman"/>
                <w:kern w:val="0"/>
                <w:sz w:val="20"/>
                <w:szCs w:val="21"/>
              </w:rPr>
              <w:t>本项目临近欧意轩花园公交站，从项目出入口步行至公交站距离100 米，且经过线路有</w:t>
            </w:r>
          </w:p>
          <w:p>
            <w:pPr>
              <w:ind w:firstLine="400" w:firstLineChars="200"/>
              <w:rPr>
                <w:rFonts w:ascii="Times New Roman" w:hAnsi="Times New Roman"/>
                <w:kern w:val="0"/>
                <w:sz w:val="20"/>
                <w:szCs w:val="21"/>
              </w:rPr>
            </w:pPr>
            <w:r>
              <w:rPr>
                <w:rFonts w:hint="eastAsia" w:ascii="Times New Roman" w:hAnsi="Times New Roman"/>
                <w:kern w:val="0"/>
                <w:sz w:val="20"/>
                <w:szCs w:val="21"/>
              </w:rPr>
              <w:t>929 路;m219 路;m306 路;m319 路;m502b 线;m556 路等多趟公交，项目选址交通组织合理，方便通行。</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1）竣工总平面图；</w:t>
      </w:r>
    </w:p>
    <w:p>
      <w:pPr>
        <w:rPr>
          <w:rFonts w:ascii="Times New Roman" w:hAnsi="Times New Roman"/>
        </w:rPr>
      </w:pPr>
      <w:r>
        <w:rPr>
          <w:rFonts w:hint="eastAsia" w:ascii="Times New Roman" w:hAnsi="Times New Roman"/>
        </w:rPr>
        <w:t>2）场地周边公共交通设施布局示意图，应包括场地出入口到达公交站点的步行线路和距离；</w:t>
      </w:r>
    </w:p>
    <w:p>
      <w:pPr>
        <w:rPr>
          <w:rFonts w:ascii="Times New Roman" w:hAnsi="Times New Roman"/>
        </w:rPr>
      </w:pPr>
      <w:r>
        <w:rPr>
          <w:rFonts w:hint="eastAsia" w:ascii="Times New Roman" w:hAnsi="Times New Roman"/>
        </w:rPr>
        <w:t>3）公共交通线路设置说明，应包括项目附近公交站点分布情况介绍及线路说明；</w:t>
      </w:r>
    </w:p>
    <w:p>
      <w:pPr>
        <w:rPr>
          <w:rFonts w:ascii="Times New Roman" w:hAnsi="Times New Roman"/>
        </w:rPr>
      </w:pPr>
      <w:r>
        <w:rPr>
          <w:rFonts w:hint="eastAsia" w:ascii="Times New Roman" w:hAnsi="Times New Roman"/>
        </w:rPr>
        <w:t>4）公共交通站点的影像资料。</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3"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6.2.2 建筑室内外公共区域满足全龄化设计要求。（8分）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99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851" w:type="dxa"/>
            <w:noWrap w:val="0"/>
            <w:vAlign w:val="center"/>
          </w:tcPr>
          <w:p>
            <w:pPr>
              <w:jc w:val="center"/>
              <w:rPr>
                <w:rFonts w:ascii="Times New Roman" w:hAnsi="Times New Roman"/>
                <w:lang w:val="zh-CN"/>
              </w:rPr>
            </w:pPr>
            <w:r>
              <w:rPr>
                <w:rFonts w:ascii="Times New Roman" w:hAnsi="Times New Roman"/>
                <w:lang w:val="zh-CN"/>
              </w:rPr>
              <w:t>序号</w:t>
            </w:r>
          </w:p>
        </w:tc>
        <w:tc>
          <w:tcPr>
            <w:tcW w:w="4991"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559"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51" w:type="dxa"/>
            <w:noWrap w:val="0"/>
            <w:vAlign w:val="center"/>
          </w:tcPr>
          <w:p>
            <w:pPr>
              <w:jc w:val="center"/>
              <w:rPr>
                <w:rFonts w:ascii="Times New Roman" w:hAnsi="Times New Roman"/>
              </w:rPr>
            </w:pPr>
            <w:r>
              <w:rPr>
                <w:rFonts w:ascii="Times New Roman" w:hAnsi="Times New Roman"/>
              </w:rPr>
              <w:t>1</w:t>
            </w:r>
          </w:p>
        </w:tc>
        <w:tc>
          <w:tcPr>
            <w:tcW w:w="4991" w:type="dxa"/>
            <w:noWrap w:val="0"/>
            <w:vAlign w:val="center"/>
          </w:tcPr>
          <w:p>
            <w:pPr>
              <w:jc w:val="left"/>
              <w:rPr>
                <w:rFonts w:ascii="Times New Roman" w:hAnsi="Times New Roman"/>
              </w:rPr>
            </w:pPr>
            <w:r>
              <w:rPr>
                <w:rFonts w:ascii="Times New Roman" w:hAnsi="Times New Roman"/>
              </w:rPr>
              <w:t>建筑室内公共区域、室外公共活动场地及道路均满足无障碍设计要求</w:t>
            </w:r>
          </w:p>
        </w:tc>
        <w:tc>
          <w:tcPr>
            <w:tcW w:w="1701" w:type="dxa"/>
            <w:noWrap w:val="0"/>
            <w:vAlign w:val="center"/>
          </w:tcPr>
          <w:p>
            <w:pPr>
              <w:jc w:val="center"/>
              <w:rPr>
                <w:rFonts w:ascii="Times New Roman" w:hAnsi="Times New Roman"/>
              </w:rPr>
            </w:pPr>
            <w:r>
              <w:rPr>
                <w:rFonts w:ascii="Times New Roman" w:hAnsi="Times New Roman"/>
              </w:rPr>
              <w:t>3</w:t>
            </w:r>
          </w:p>
        </w:tc>
        <w:tc>
          <w:tcPr>
            <w:tcW w:w="155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9" w:hRule="atLeast"/>
          <w:jc w:val="center"/>
        </w:trPr>
        <w:tc>
          <w:tcPr>
            <w:tcW w:w="851" w:type="dxa"/>
            <w:noWrap w:val="0"/>
            <w:vAlign w:val="center"/>
          </w:tcPr>
          <w:p>
            <w:pPr>
              <w:jc w:val="center"/>
              <w:rPr>
                <w:rFonts w:ascii="Times New Roman" w:hAnsi="Times New Roman"/>
              </w:rPr>
            </w:pPr>
            <w:r>
              <w:rPr>
                <w:rFonts w:ascii="Times New Roman" w:hAnsi="Times New Roman"/>
              </w:rPr>
              <w:t>2</w:t>
            </w:r>
          </w:p>
        </w:tc>
        <w:tc>
          <w:tcPr>
            <w:tcW w:w="4991" w:type="dxa"/>
            <w:noWrap w:val="0"/>
            <w:vAlign w:val="center"/>
          </w:tcPr>
          <w:p>
            <w:pPr>
              <w:jc w:val="left"/>
              <w:rPr>
                <w:rFonts w:ascii="Times New Roman" w:hAnsi="Times New Roman"/>
                <w:kern w:val="0"/>
              </w:rPr>
            </w:pPr>
            <w:r>
              <w:rPr>
                <w:rFonts w:ascii="Times New Roman" w:hAnsi="Times New Roman"/>
              </w:rPr>
              <w:t>建筑室内公共区域的墙、柱等处的阳角均为圆角，并设有安全抓杆或扶手</w:t>
            </w:r>
          </w:p>
        </w:tc>
        <w:tc>
          <w:tcPr>
            <w:tcW w:w="1701" w:type="dxa"/>
            <w:noWrap w:val="0"/>
            <w:vAlign w:val="center"/>
          </w:tcPr>
          <w:p>
            <w:pPr>
              <w:jc w:val="center"/>
              <w:rPr>
                <w:rFonts w:ascii="Times New Roman" w:hAnsi="Times New Roman"/>
              </w:rPr>
            </w:pPr>
            <w:r>
              <w:rPr>
                <w:rFonts w:ascii="Times New Roman" w:hAnsi="Times New Roman"/>
              </w:rPr>
              <w:t>3</w:t>
            </w:r>
          </w:p>
        </w:tc>
        <w:tc>
          <w:tcPr>
            <w:tcW w:w="155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1" w:hRule="atLeast"/>
          <w:jc w:val="center"/>
        </w:trPr>
        <w:tc>
          <w:tcPr>
            <w:tcW w:w="851" w:type="dxa"/>
            <w:noWrap w:val="0"/>
            <w:vAlign w:val="center"/>
          </w:tcPr>
          <w:p>
            <w:pPr>
              <w:jc w:val="center"/>
              <w:rPr>
                <w:rFonts w:ascii="Times New Roman" w:hAnsi="Times New Roman"/>
              </w:rPr>
            </w:pPr>
            <w:r>
              <w:rPr>
                <w:rFonts w:ascii="Times New Roman" w:hAnsi="Times New Roman"/>
              </w:rPr>
              <w:t>3</w:t>
            </w:r>
          </w:p>
        </w:tc>
        <w:tc>
          <w:tcPr>
            <w:tcW w:w="4991" w:type="dxa"/>
            <w:noWrap w:val="0"/>
            <w:vAlign w:val="center"/>
          </w:tcPr>
          <w:p>
            <w:pPr>
              <w:jc w:val="left"/>
              <w:rPr>
                <w:rFonts w:ascii="Times New Roman" w:hAnsi="Times New Roman"/>
              </w:rPr>
            </w:pPr>
            <w:r>
              <w:rPr>
                <w:rFonts w:ascii="Times New Roman" w:hAnsi="Times New Roman"/>
              </w:rPr>
              <w:t>设有可容纳担架的无障碍电梯</w:t>
            </w:r>
          </w:p>
        </w:tc>
        <w:tc>
          <w:tcPr>
            <w:tcW w:w="1701" w:type="dxa"/>
            <w:noWrap w:val="0"/>
            <w:vAlign w:val="center"/>
          </w:tcPr>
          <w:p>
            <w:pPr>
              <w:jc w:val="center"/>
              <w:rPr>
                <w:rFonts w:ascii="Times New Roman" w:hAnsi="Times New Roman"/>
              </w:rPr>
            </w:pPr>
            <w:r>
              <w:rPr>
                <w:rFonts w:ascii="Times New Roman" w:hAnsi="Times New Roman"/>
              </w:rPr>
              <w:t>2</w:t>
            </w:r>
          </w:p>
        </w:tc>
        <w:tc>
          <w:tcPr>
            <w:tcW w:w="155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42" w:type="dxa"/>
            <w:gridSpan w:val="2"/>
            <w:noWrap w:val="0"/>
            <w:vAlign w:val="center"/>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rPr>
            </w:pPr>
            <w:r>
              <w:rPr>
                <w:rFonts w:ascii="Times New Roman" w:hAnsi="Times New Roman"/>
              </w:rPr>
              <w:t>8</w:t>
            </w:r>
          </w:p>
        </w:tc>
        <w:tc>
          <w:tcPr>
            <w:tcW w:w="1559"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300" w:lineRule="exact"/>
      </w:pPr>
      <w:r>
        <w:rPr>
          <w:rFonts w:hint="eastAsia"/>
        </w:rPr>
        <w:t>建筑室内公共区域、室外公共场地及道路是否进行无障碍设计：</w:t>
      </w:r>
      <w:r>
        <w:rPr>
          <w:rFonts w:hint="eastAsia"/>
          <w:sz w:val="28"/>
        </w:rPr>
        <w:sym w:font="Wingdings 2" w:char="F0A3"/>
      </w:r>
      <w:r>
        <w:rPr>
          <w:rFonts w:hint="eastAsia"/>
        </w:rPr>
        <w:t xml:space="preserve">是 </w:t>
      </w:r>
      <w:r>
        <w:rPr>
          <w:rFonts w:hint="eastAsia"/>
          <w:sz w:val="28"/>
        </w:rPr>
        <w:sym w:font="Wingdings 2" w:char="F0A3"/>
      </w:r>
      <w:r>
        <w:rPr>
          <w:rFonts w:hint="eastAsia"/>
        </w:rPr>
        <w:t xml:space="preserve">否 </w:t>
      </w:r>
    </w:p>
    <w:p>
      <w:pPr>
        <w:spacing w:line="300" w:lineRule="exact"/>
      </w:pPr>
      <w:r>
        <w:rPr>
          <w:rFonts w:hint="eastAsia"/>
        </w:rPr>
        <w:t>建筑室内公共区域的墙、柱等处的阳角是否均为圆角：</w:t>
      </w:r>
      <w:r>
        <w:rPr>
          <w:rFonts w:hint="eastAsia"/>
          <w:sz w:val="28"/>
        </w:rPr>
        <w:sym w:font="Wingdings 2" w:char="F0A3"/>
      </w:r>
      <w:r>
        <w:rPr>
          <w:rFonts w:hint="eastAsia"/>
        </w:rPr>
        <w:t xml:space="preserve">是 </w:t>
      </w:r>
      <w:r>
        <w:rPr>
          <w:rFonts w:hint="eastAsia"/>
          <w:sz w:val="28"/>
        </w:rPr>
        <w:sym w:font="Wingdings 2" w:char="F0A3"/>
      </w:r>
      <w:r>
        <w:rPr>
          <w:rFonts w:hint="eastAsia"/>
        </w:rPr>
        <w:t>否，是否设有安全抓杆或扶手：</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spacing w:line="300" w:lineRule="exact"/>
      </w:pPr>
      <w:r>
        <w:rPr>
          <w:rFonts w:hint="eastAsia"/>
        </w:rPr>
        <w:t>是否设有可容纳担架的无障碍电梯：</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spacing w:line="300" w:lineRule="exact"/>
        <w:rPr>
          <w:rFonts w:ascii="Times New Roman" w:hAnsi="Times New Roman"/>
          <w:szCs w:val="21"/>
        </w:rPr>
      </w:pPr>
      <w:r>
        <w:rPr>
          <w:rFonts w:hint="eastAsia"/>
        </w:rPr>
        <w:t>请简要说明建筑室内外公共区域的全龄化设计情况。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6"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场地内人行通道及场地内外联系通道均设无障碍坡道，便于通行。</w:t>
            </w:r>
          </w:p>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spacing w:line="300" w:lineRule="exact"/>
        <w:rPr>
          <w:rFonts w:ascii="Times New Roman" w:hAnsi="Times New Roman"/>
          <w:szCs w:val="21"/>
        </w:rPr>
      </w:pPr>
      <w:r>
        <w:rPr>
          <w:rFonts w:ascii="Times New Roman" w:hAnsi="Times New Roman"/>
          <w:szCs w:val="21"/>
        </w:rPr>
        <w:t>提交材料及要求：</w:t>
      </w:r>
    </w:p>
    <w:p>
      <w:pPr>
        <w:spacing w:line="300" w:lineRule="exact"/>
        <w:rPr>
          <w:rFonts w:ascii="Times New Roman" w:hAnsi="Times New Roman"/>
        </w:rPr>
      </w:pPr>
      <w:r>
        <w:rPr>
          <w:rFonts w:hint="eastAsia" w:ascii="Times New Roman" w:hAnsi="Times New Roman"/>
        </w:rPr>
        <w:t>1）竣工总平面图；</w:t>
      </w:r>
    </w:p>
    <w:p>
      <w:pPr>
        <w:spacing w:line="300" w:lineRule="exact"/>
        <w:rPr>
          <w:rFonts w:ascii="Times New Roman" w:hAnsi="Times New Roman"/>
        </w:rPr>
      </w:pPr>
      <w:r>
        <w:rPr>
          <w:rFonts w:hint="eastAsia" w:ascii="Times New Roman" w:hAnsi="Times New Roman"/>
        </w:rPr>
        <w:t>2）建筑专业竣工图纸及设计说明，应包括建筑出入口及其他室内公共区域平面图；</w:t>
      </w:r>
    </w:p>
    <w:p>
      <w:pPr>
        <w:spacing w:line="300" w:lineRule="exact"/>
        <w:rPr>
          <w:rFonts w:ascii="Times New Roman" w:hAnsi="Times New Roman"/>
        </w:rPr>
      </w:pPr>
      <w:r>
        <w:rPr>
          <w:rFonts w:hint="eastAsia" w:ascii="Times New Roman" w:hAnsi="Times New Roman"/>
        </w:rPr>
        <w:t>3）景观专业竣工图纸及设计说明，应包括室外公共活动场地及道路设计；</w:t>
      </w:r>
    </w:p>
    <w:p>
      <w:pPr>
        <w:spacing w:line="300" w:lineRule="exact"/>
        <w:rPr>
          <w:rFonts w:ascii="Times New Roman" w:hAnsi="Times New Roman"/>
        </w:rPr>
      </w:pPr>
      <w:r>
        <w:rPr>
          <w:rFonts w:hint="eastAsia" w:ascii="Times New Roman" w:hAnsi="Times New Roman"/>
        </w:rPr>
        <w:t>4）无障碍设计详图；</w:t>
      </w:r>
    </w:p>
    <w:p>
      <w:pPr>
        <w:spacing w:line="300" w:lineRule="exact"/>
        <w:rPr>
          <w:rFonts w:ascii="Times New Roman" w:hAnsi="Times New Roman"/>
        </w:rPr>
      </w:pPr>
      <w:r>
        <w:rPr>
          <w:rFonts w:hint="eastAsia" w:ascii="Times New Roman" w:hAnsi="Times New Roman"/>
        </w:rPr>
        <w:t>5）电梯设计详图及电梯产品说明书；</w:t>
      </w:r>
    </w:p>
    <w:p>
      <w:pPr>
        <w:spacing w:line="300" w:lineRule="exact"/>
        <w:rPr>
          <w:rFonts w:ascii="Times New Roman" w:hAnsi="Times New Roman"/>
        </w:rPr>
      </w:pPr>
      <w:r>
        <w:rPr>
          <w:rFonts w:hint="eastAsia" w:ascii="Times New Roman" w:hAnsi="Times New Roman"/>
        </w:rPr>
        <w:t>6）装修图纸及设计说明，应包括室内公共区域装修平面图、墙柱等阳角节点设计详图、室内抓杆或扶手节点设计详图、装修设计材料表。</w:t>
      </w:r>
    </w:p>
    <w:p>
      <w:pPr>
        <w:spacing w:line="300" w:lineRule="exac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58"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w:t>
      </w:r>
      <w:r>
        <w:rPr>
          <w:sz w:val="24"/>
          <w:szCs w:val="40"/>
        </w:rPr>
        <w:t>.2.</w:t>
      </w:r>
      <w:r>
        <w:rPr>
          <w:rFonts w:hint="eastAsia"/>
          <w:sz w:val="24"/>
          <w:szCs w:val="40"/>
        </w:rPr>
        <w:t>3</w:t>
      </w:r>
      <w:r>
        <w:rPr>
          <w:sz w:val="24"/>
          <w:szCs w:val="40"/>
        </w:rPr>
        <w:t xml:space="preserve"> </w:t>
      </w:r>
      <w:r>
        <w:rPr>
          <w:rFonts w:hint="eastAsia"/>
          <w:sz w:val="24"/>
          <w:szCs w:val="40"/>
        </w:rPr>
        <w:t>提供便利的公共服务。（10分）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90"/>
        <w:gridCol w:w="118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851" w:type="dxa"/>
            <w:noWrap w:val="0"/>
            <w:vAlign w:val="top"/>
          </w:tcPr>
          <w:p>
            <w:pPr>
              <w:jc w:val="center"/>
              <w:rPr>
                <w:rFonts w:ascii="Times New Roman" w:hAnsi="Times New Roman"/>
                <w:lang w:val="zh-CN"/>
              </w:rPr>
            </w:pPr>
            <w:r>
              <w:rPr>
                <w:rFonts w:ascii="Times New Roman" w:hAnsi="Times New Roman"/>
                <w:szCs w:val="21"/>
              </w:rPr>
              <w:t>序号</w:t>
            </w:r>
          </w:p>
        </w:tc>
        <w:tc>
          <w:tcPr>
            <w:tcW w:w="4976" w:type="dxa"/>
            <w:gridSpan w:val="2"/>
            <w:noWrap w:val="0"/>
            <w:vAlign w:val="top"/>
          </w:tcPr>
          <w:p>
            <w:pPr>
              <w:jc w:val="center"/>
              <w:rPr>
                <w:rFonts w:ascii="Times New Roman" w:hAnsi="Times New Roman"/>
                <w:lang w:val="zh-CN"/>
              </w:rPr>
            </w:pPr>
            <w:r>
              <w:rPr>
                <w:rFonts w:ascii="Times New Roman" w:hAnsi="Times New Roman"/>
                <w:szCs w:val="21"/>
              </w:rPr>
              <w:t>评价内容</w:t>
            </w:r>
          </w:p>
        </w:tc>
        <w:tc>
          <w:tcPr>
            <w:tcW w:w="1701" w:type="dxa"/>
            <w:noWrap w:val="0"/>
            <w:vAlign w:val="top"/>
          </w:tcPr>
          <w:p>
            <w:pPr>
              <w:jc w:val="center"/>
              <w:rPr>
                <w:rFonts w:ascii="Times New Roman" w:hAnsi="Times New Roman"/>
                <w:lang w:val="zh-CN"/>
              </w:rPr>
            </w:pPr>
            <w:r>
              <w:rPr>
                <w:rFonts w:ascii="Times New Roman" w:hAnsi="Times New Roman"/>
                <w:szCs w:val="21"/>
              </w:rPr>
              <w:t>评价分值</w:t>
            </w:r>
          </w:p>
        </w:tc>
        <w:tc>
          <w:tcPr>
            <w:tcW w:w="1559" w:type="dxa"/>
            <w:noWrap w:val="0"/>
            <w:vAlign w:val="top"/>
          </w:tcPr>
          <w:p>
            <w:pPr>
              <w:jc w:val="center"/>
              <w:rPr>
                <w:rFonts w:ascii="Times New Roman" w:hAnsi="Times New Roman"/>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1" w:hRule="atLeast"/>
          <w:jc w:val="center"/>
        </w:trPr>
        <w:tc>
          <w:tcPr>
            <w:tcW w:w="851" w:type="dxa"/>
            <w:vMerge w:val="restart"/>
            <w:noWrap w:val="0"/>
            <w:vAlign w:val="center"/>
          </w:tcPr>
          <w:p>
            <w:pPr>
              <w:jc w:val="center"/>
              <w:rPr>
                <w:rFonts w:ascii="Times New Roman" w:hAnsi="Times New Roman"/>
              </w:rPr>
            </w:pPr>
            <w:r>
              <w:rPr>
                <w:rFonts w:hint="eastAsia"/>
                <w:sz w:val="28"/>
              </w:rPr>
              <w:sym w:font="Wingdings 2" w:char="F0A3"/>
            </w:r>
          </w:p>
          <w:p>
            <w:pPr>
              <w:jc w:val="center"/>
              <w:rPr>
                <w:rFonts w:ascii="Times New Roman" w:hAnsi="Times New Roman"/>
              </w:rPr>
            </w:pPr>
            <w:r>
              <w:rPr>
                <w:rFonts w:ascii="Times New Roman" w:hAnsi="Times New Roman"/>
              </w:rPr>
              <w:t>居住建筑</w:t>
            </w:r>
          </w:p>
        </w:tc>
        <w:tc>
          <w:tcPr>
            <w:tcW w:w="3790" w:type="dxa"/>
            <w:vMerge w:val="restart"/>
            <w:noWrap w:val="0"/>
            <w:vAlign w:val="center"/>
          </w:tcPr>
          <w:p>
            <w:pPr>
              <w:rPr>
                <w:rFonts w:ascii="Times New Roman" w:hAnsi="Times New Roman"/>
              </w:rPr>
            </w:pPr>
            <w:r>
              <w:rPr>
                <w:rFonts w:hint="eastAsia"/>
                <w:sz w:val="28"/>
              </w:rPr>
              <w:sym w:font="Wingdings 2" w:char="F0A3"/>
            </w:r>
            <w:r>
              <w:rPr>
                <w:rFonts w:ascii="Times New Roman" w:hAnsi="Times New Roman"/>
              </w:rPr>
              <w:t>场地出入口到达幼儿园的步行距离不超过300m</w:t>
            </w:r>
          </w:p>
          <w:p>
            <w:pPr>
              <w:rPr>
                <w:rFonts w:ascii="Times New Roman" w:hAnsi="Times New Roman"/>
              </w:rPr>
            </w:pPr>
            <w:r>
              <w:rPr>
                <w:rFonts w:hint="eastAsia"/>
                <w:sz w:val="28"/>
              </w:rPr>
              <w:sym w:font="Wingdings 2" w:char="F0A3"/>
            </w:r>
            <w:r>
              <w:rPr>
                <w:rFonts w:ascii="Times New Roman" w:hAnsi="Times New Roman"/>
              </w:rPr>
              <w:t>场地出入口到达小学的步行距离不超过500m</w:t>
            </w:r>
          </w:p>
          <w:p>
            <w:pPr>
              <w:rPr>
                <w:rFonts w:ascii="Times New Roman" w:hAnsi="Times New Roman"/>
              </w:rPr>
            </w:pPr>
            <w:r>
              <w:rPr>
                <w:rFonts w:hint="eastAsia"/>
                <w:sz w:val="28"/>
              </w:rPr>
              <w:sym w:font="Wingdings 2" w:char="F0A3"/>
            </w:r>
            <w:r>
              <w:rPr>
                <w:rFonts w:ascii="Times New Roman" w:hAnsi="Times New Roman"/>
              </w:rPr>
              <w:t>场地出入口到达中学的步行距离不超过1000m</w:t>
            </w:r>
          </w:p>
          <w:p>
            <w:pPr>
              <w:rPr>
                <w:rFonts w:ascii="Times New Roman" w:hAnsi="Times New Roman"/>
              </w:rPr>
            </w:pPr>
            <w:r>
              <w:rPr>
                <w:rFonts w:hint="eastAsia"/>
                <w:sz w:val="28"/>
              </w:rPr>
              <w:sym w:font="Wingdings 2" w:char="F0A3"/>
            </w:r>
            <w:r>
              <w:rPr>
                <w:rFonts w:ascii="Times New Roman" w:hAnsi="Times New Roman"/>
              </w:rPr>
              <w:t>场地出入口到达医院的步行距离不超过1000m</w:t>
            </w:r>
          </w:p>
          <w:p>
            <w:pPr>
              <w:rPr>
                <w:rFonts w:ascii="Times New Roman" w:hAnsi="Times New Roman"/>
              </w:rPr>
            </w:pPr>
            <w:r>
              <w:rPr>
                <w:rFonts w:hint="eastAsia"/>
                <w:sz w:val="28"/>
              </w:rPr>
              <w:sym w:font="Wingdings 2" w:char="F0A3"/>
            </w:r>
            <w:r>
              <w:rPr>
                <w:rFonts w:ascii="Times New Roman" w:hAnsi="Times New Roman"/>
              </w:rPr>
              <w:t>场地出入口到达群众文化活动设施的步行距离不超过800m</w:t>
            </w:r>
          </w:p>
          <w:p>
            <w:pPr>
              <w:rPr>
                <w:rFonts w:ascii="Times New Roman" w:hAnsi="Times New Roman"/>
              </w:rPr>
            </w:pPr>
            <w:r>
              <w:rPr>
                <w:rFonts w:hint="eastAsia"/>
                <w:sz w:val="28"/>
              </w:rPr>
              <w:sym w:font="Wingdings 2" w:char="F0A3"/>
            </w:r>
            <w:r>
              <w:rPr>
                <w:rFonts w:ascii="Times New Roman" w:hAnsi="Times New Roman"/>
              </w:rPr>
              <w:t>场地出入口到达老年人日间照料设施的步行距离不超过500m</w:t>
            </w:r>
          </w:p>
          <w:p>
            <w:pPr>
              <w:rPr>
                <w:rFonts w:ascii="Times New Roman" w:hAnsi="Times New Roman"/>
                <w:lang w:val="zh-CN"/>
              </w:rPr>
            </w:pPr>
            <w:r>
              <w:rPr>
                <w:rFonts w:hint="eastAsia"/>
                <w:sz w:val="28"/>
              </w:rPr>
              <w:sym w:font="Wingdings 2" w:char="F0A3"/>
            </w:r>
            <w:r>
              <w:rPr>
                <w:rFonts w:ascii="Times New Roman" w:hAnsi="Times New Roman"/>
              </w:rPr>
              <w:t>场地周边500m范围内具有3种及以上的商业服务设施</w:t>
            </w:r>
          </w:p>
        </w:tc>
        <w:tc>
          <w:tcPr>
            <w:tcW w:w="1186" w:type="dxa"/>
            <w:noWrap w:val="0"/>
            <w:vAlign w:val="center"/>
          </w:tcPr>
          <w:p>
            <w:pPr>
              <w:jc w:val="center"/>
              <w:rPr>
                <w:rFonts w:ascii="Times New Roman" w:hAnsi="Times New Roman"/>
                <w:lang w:val="zh-CN"/>
              </w:rPr>
            </w:pPr>
            <w:r>
              <w:rPr>
                <w:rFonts w:ascii="Times New Roman" w:hAnsi="Times New Roman"/>
                <w:lang w:val="zh-CN"/>
              </w:rPr>
              <w:t>满足4项</w:t>
            </w:r>
          </w:p>
        </w:tc>
        <w:tc>
          <w:tcPr>
            <w:tcW w:w="1701" w:type="dxa"/>
            <w:noWrap w:val="0"/>
            <w:vAlign w:val="center"/>
          </w:tcPr>
          <w:p>
            <w:pPr>
              <w:jc w:val="center"/>
              <w:rPr>
                <w:rFonts w:ascii="Times New Roman" w:hAnsi="Times New Roman"/>
                <w:lang w:val="zh-CN"/>
              </w:rPr>
            </w:pPr>
            <w:r>
              <w:rPr>
                <w:rFonts w:ascii="Times New Roman" w:hAnsi="Times New Roman"/>
                <w:lang w:val="zh-CN"/>
              </w:rPr>
              <w:t>5</w:t>
            </w:r>
          </w:p>
        </w:tc>
        <w:tc>
          <w:tcPr>
            <w:tcW w:w="1559" w:type="dxa"/>
            <w:vMerge w:val="restart"/>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1" w:hRule="atLeast"/>
          <w:jc w:val="center"/>
        </w:trPr>
        <w:tc>
          <w:tcPr>
            <w:tcW w:w="851" w:type="dxa"/>
            <w:vMerge w:val="continue"/>
            <w:noWrap w:val="0"/>
            <w:vAlign w:val="center"/>
          </w:tcPr>
          <w:p>
            <w:pPr>
              <w:jc w:val="center"/>
              <w:rPr>
                <w:rFonts w:ascii="Times New Roman" w:hAnsi="Times New Roman"/>
              </w:rPr>
            </w:pPr>
          </w:p>
        </w:tc>
        <w:tc>
          <w:tcPr>
            <w:tcW w:w="3790" w:type="dxa"/>
            <w:vMerge w:val="continue"/>
            <w:noWrap w:val="0"/>
            <w:vAlign w:val="center"/>
          </w:tcPr>
          <w:p>
            <w:pPr>
              <w:rPr>
                <w:rFonts w:ascii="Times New Roman" w:hAnsi="Times New Roman"/>
              </w:rPr>
            </w:pPr>
          </w:p>
        </w:tc>
        <w:tc>
          <w:tcPr>
            <w:tcW w:w="1186" w:type="dxa"/>
            <w:noWrap w:val="0"/>
            <w:vAlign w:val="center"/>
          </w:tcPr>
          <w:p>
            <w:pPr>
              <w:jc w:val="center"/>
              <w:rPr>
                <w:rFonts w:ascii="Times New Roman" w:hAnsi="Times New Roman"/>
                <w:lang w:val="zh-CN"/>
              </w:rPr>
            </w:pPr>
            <w:r>
              <w:rPr>
                <w:rFonts w:ascii="Times New Roman" w:hAnsi="Times New Roman"/>
                <w:lang w:val="zh-CN"/>
              </w:rPr>
              <w:t>满足6项及以上</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559" w:type="dxa"/>
            <w:vMerge w:val="continue"/>
            <w:noWrap w:val="0"/>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1" w:hRule="atLeast"/>
          <w:jc w:val="center"/>
        </w:trPr>
        <w:tc>
          <w:tcPr>
            <w:tcW w:w="851" w:type="dxa"/>
            <w:vMerge w:val="restart"/>
            <w:noWrap w:val="0"/>
            <w:vAlign w:val="center"/>
          </w:tcPr>
          <w:p>
            <w:pPr>
              <w:jc w:val="center"/>
              <w:rPr>
                <w:rFonts w:ascii="Times New Roman" w:hAnsi="Times New Roman"/>
              </w:rPr>
            </w:pPr>
            <w:r>
              <w:rPr>
                <w:rFonts w:hint="eastAsia"/>
                <w:sz w:val="28"/>
              </w:rPr>
              <w:sym w:font="Wingdings 2" w:char="F0A3"/>
            </w:r>
          </w:p>
          <w:p>
            <w:pPr>
              <w:jc w:val="center"/>
              <w:rPr>
                <w:rFonts w:ascii="Times New Roman" w:hAnsi="Times New Roman"/>
              </w:rPr>
            </w:pPr>
            <w:r>
              <w:rPr>
                <w:rFonts w:ascii="Times New Roman" w:hAnsi="Times New Roman"/>
              </w:rPr>
              <w:t>公共建筑</w:t>
            </w:r>
          </w:p>
        </w:tc>
        <w:tc>
          <w:tcPr>
            <w:tcW w:w="3790" w:type="dxa"/>
            <w:vMerge w:val="restart"/>
            <w:noWrap w:val="0"/>
            <w:vAlign w:val="center"/>
          </w:tcPr>
          <w:p>
            <w:pPr>
              <w:rPr>
                <w:rFonts w:ascii="Times New Roman" w:hAnsi="Times New Roman"/>
              </w:rPr>
            </w:pPr>
            <w:r>
              <w:rPr>
                <w:rFonts w:hint="eastAsia"/>
                <w:sz w:val="28"/>
              </w:rPr>
              <w:sym w:font="Wingdings 2" w:char="F0A3"/>
            </w:r>
            <w:r>
              <w:rPr>
                <w:rFonts w:ascii="Times New Roman" w:hAnsi="Times New Roman"/>
              </w:rPr>
              <w:t>建筑内兼容2种及以上面向社会的公共服务功能</w:t>
            </w:r>
          </w:p>
          <w:p>
            <w:pPr>
              <w:rPr>
                <w:rFonts w:ascii="Times New Roman" w:hAnsi="Times New Roman"/>
              </w:rPr>
            </w:pPr>
            <w:r>
              <w:rPr>
                <w:rFonts w:hint="eastAsia"/>
                <w:sz w:val="28"/>
              </w:rPr>
              <w:sym w:font="Wingdings 2" w:char="F0A3"/>
            </w:r>
            <w:r>
              <w:rPr>
                <w:rFonts w:ascii="Times New Roman" w:hAnsi="Times New Roman"/>
              </w:rPr>
              <w:t>建筑向社会公众提供开放的公共活动空间</w:t>
            </w:r>
          </w:p>
          <w:p>
            <w:pPr>
              <w:rPr>
                <w:rFonts w:ascii="Times New Roman" w:hAnsi="Times New Roman"/>
              </w:rPr>
            </w:pPr>
            <w:r>
              <w:rPr>
                <w:rFonts w:hint="eastAsia"/>
                <w:sz w:val="28"/>
              </w:rPr>
              <w:sym w:font="Wingdings 2" w:char="F0A3"/>
            </w:r>
            <w:r>
              <w:rPr>
                <w:rFonts w:ascii="Times New Roman" w:hAnsi="Times New Roman"/>
              </w:rPr>
              <w:t>电动汽车充电桩的车位数占总车位数的比例不低于10%</w:t>
            </w:r>
          </w:p>
          <w:p>
            <w:pPr>
              <w:rPr>
                <w:rFonts w:ascii="Times New Roman" w:hAnsi="Times New Roman"/>
              </w:rPr>
            </w:pPr>
            <w:r>
              <w:rPr>
                <w:rFonts w:hint="eastAsia"/>
                <w:sz w:val="28"/>
              </w:rPr>
              <w:sym w:font="Wingdings 2" w:char="F0A3"/>
            </w:r>
            <w:r>
              <w:rPr>
                <w:rFonts w:ascii="Times New Roman" w:hAnsi="Times New Roman"/>
              </w:rPr>
              <w:t>周边500m范围内设有社会公共停车场（库）</w:t>
            </w:r>
          </w:p>
          <w:p>
            <w:pPr>
              <w:rPr>
                <w:rFonts w:ascii="Times New Roman" w:hAnsi="Times New Roman"/>
              </w:rPr>
            </w:pPr>
            <w:r>
              <w:rPr>
                <w:rFonts w:hint="eastAsia"/>
                <w:sz w:val="28"/>
              </w:rPr>
              <w:sym w:font="Wingdings 2" w:char="F0A3"/>
            </w:r>
            <w:r>
              <w:rPr>
                <w:rFonts w:ascii="Times New Roman" w:hAnsi="Times New Roman"/>
              </w:rPr>
              <w:t>场地不封闭或场地内步行公共通道向社会开放</w:t>
            </w:r>
          </w:p>
        </w:tc>
        <w:tc>
          <w:tcPr>
            <w:tcW w:w="1186" w:type="dxa"/>
            <w:noWrap w:val="0"/>
            <w:vAlign w:val="center"/>
          </w:tcPr>
          <w:p>
            <w:pPr>
              <w:jc w:val="center"/>
              <w:rPr>
                <w:rFonts w:ascii="Times New Roman" w:hAnsi="Times New Roman"/>
                <w:lang w:val="zh-CN"/>
              </w:rPr>
            </w:pPr>
            <w:r>
              <w:rPr>
                <w:rFonts w:ascii="Times New Roman" w:hAnsi="Times New Roman"/>
                <w:lang w:val="zh-CN"/>
              </w:rPr>
              <w:t>满足3项</w:t>
            </w:r>
          </w:p>
        </w:tc>
        <w:tc>
          <w:tcPr>
            <w:tcW w:w="1701" w:type="dxa"/>
            <w:noWrap w:val="0"/>
            <w:vAlign w:val="center"/>
          </w:tcPr>
          <w:p>
            <w:pPr>
              <w:jc w:val="center"/>
              <w:rPr>
                <w:rFonts w:ascii="Times New Roman" w:hAnsi="Times New Roman"/>
                <w:lang w:val="zh-CN"/>
              </w:rPr>
            </w:pPr>
            <w:r>
              <w:rPr>
                <w:rFonts w:ascii="Times New Roman" w:hAnsi="Times New Roman"/>
                <w:lang w:val="zh-CN"/>
              </w:rPr>
              <w:t>5</w:t>
            </w:r>
          </w:p>
        </w:tc>
        <w:tc>
          <w:tcPr>
            <w:tcW w:w="1559" w:type="dxa"/>
            <w:vMerge w:val="restart"/>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1" w:hRule="atLeast"/>
          <w:jc w:val="center"/>
        </w:trPr>
        <w:tc>
          <w:tcPr>
            <w:tcW w:w="851" w:type="dxa"/>
            <w:vMerge w:val="continue"/>
            <w:noWrap w:val="0"/>
            <w:vAlign w:val="center"/>
          </w:tcPr>
          <w:p>
            <w:pPr>
              <w:jc w:val="center"/>
              <w:rPr>
                <w:rFonts w:ascii="Times New Roman" w:hAnsi="Times New Roman"/>
              </w:rPr>
            </w:pPr>
          </w:p>
        </w:tc>
        <w:tc>
          <w:tcPr>
            <w:tcW w:w="3790" w:type="dxa"/>
            <w:vMerge w:val="continue"/>
            <w:noWrap w:val="0"/>
            <w:vAlign w:val="center"/>
          </w:tcPr>
          <w:p>
            <w:pPr>
              <w:jc w:val="center"/>
              <w:rPr>
                <w:rFonts w:ascii="Times New Roman" w:hAnsi="Times New Roman"/>
              </w:rPr>
            </w:pPr>
          </w:p>
        </w:tc>
        <w:tc>
          <w:tcPr>
            <w:tcW w:w="1186" w:type="dxa"/>
            <w:noWrap w:val="0"/>
            <w:vAlign w:val="center"/>
          </w:tcPr>
          <w:p>
            <w:pPr>
              <w:jc w:val="center"/>
              <w:rPr>
                <w:rFonts w:ascii="Times New Roman" w:hAnsi="Times New Roman"/>
                <w:lang w:val="zh-CN"/>
              </w:rPr>
            </w:pPr>
            <w:r>
              <w:rPr>
                <w:rFonts w:ascii="Times New Roman" w:hAnsi="Times New Roman"/>
                <w:lang w:val="zh-CN"/>
              </w:rPr>
              <w:t>满足5项</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559" w:type="dxa"/>
            <w:vMerge w:val="continue"/>
            <w:noWrap w:val="0"/>
            <w:vAlign w:val="center"/>
          </w:tcPr>
          <w:p>
            <w:pPr>
              <w:jc w:val="center"/>
              <w:rPr>
                <w:rFonts w:ascii="Times New Roman" w:hAnsi="Times New Roman"/>
                <w:lang w:val="zh-CN"/>
              </w:rPr>
            </w:pP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lang w:val="zh-CN"/>
        </w:rPr>
      </w:pPr>
      <w:r>
        <w:rPr>
          <w:rFonts w:ascii="Times New Roman" w:hAnsi="Times New Roman"/>
          <w:szCs w:val="21"/>
          <w:lang w:val="zh-CN"/>
        </w:rPr>
        <w:t>住区</w:t>
      </w:r>
      <w:r>
        <w:rPr>
          <w:rFonts w:ascii="Times New Roman" w:hAnsi="Times New Roman"/>
          <w:kern w:val="0"/>
          <w:szCs w:val="21"/>
        </w:rPr>
        <w:t>场地1000m范围</w:t>
      </w:r>
      <w:r>
        <w:rPr>
          <w:rFonts w:ascii="Times New Roman" w:hAnsi="Times New Roman"/>
          <w:szCs w:val="21"/>
          <w:lang w:val="zh-CN"/>
        </w:rPr>
        <w:t>内的公共服务设施</w:t>
      </w:r>
    </w:p>
    <w:tbl>
      <w:tblPr>
        <w:tblStyle w:val="7"/>
        <w:tblW w:w="9236" w:type="dxa"/>
        <w:jc w:val="center"/>
        <w:tblLayout w:type="fixed"/>
        <w:tblCellMar>
          <w:top w:w="0" w:type="dxa"/>
          <w:left w:w="108" w:type="dxa"/>
          <w:bottom w:w="0" w:type="dxa"/>
          <w:right w:w="108" w:type="dxa"/>
        </w:tblCellMar>
      </w:tblPr>
      <w:tblGrid>
        <w:gridCol w:w="1596"/>
        <w:gridCol w:w="2552"/>
        <w:gridCol w:w="2157"/>
        <w:gridCol w:w="2931"/>
      </w:tblGrid>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lang w:val="zh-CN"/>
              </w:rPr>
              <w:t>类别</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lang w:val="zh-CN"/>
              </w:rPr>
              <w:t>名称</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lang w:val="zh-CN"/>
              </w:rPr>
              <w:t>距主要出入口</w:t>
            </w:r>
          </w:p>
          <w:p>
            <w:pPr>
              <w:jc w:val="center"/>
              <w:rPr>
                <w:lang w:val="zh-CN"/>
              </w:rPr>
            </w:pPr>
            <w:r>
              <w:rPr>
                <w:rFonts w:hint="eastAsia"/>
                <w:lang w:val="zh-CN"/>
              </w:rPr>
              <w:t>步行距离（m）</w:t>
            </w:r>
          </w:p>
        </w:tc>
        <w:tc>
          <w:tcPr>
            <w:tcW w:w="2931"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lang w:val="zh-CN"/>
              </w:rPr>
              <w:t>是否集中设置并向周边居民开放</w:t>
            </w:r>
          </w:p>
        </w:tc>
      </w:tr>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rPr>
            </w:pPr>
            <w:r>
              <w:rPr>
                <w:rFonts w:hint="eastAsia" w:ascii="MS Gothic" w:hAnsi="MS Gothic" w:eastAsia="MS Gothic"/>
              </w:rPr>
              <w:t>☐</w:t>
            </w:r>
            <w:r>
              <w:rPr>
                <w:rFonts w:ascii="宋体" w:hAnsi="宋体"/>
              </w:rPr>
              <w:t>教育</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rPr>
            </w:pPr>
            <w:r>
              <w:rPr>
                <w:rFonts w:hint="eastAsia" w:ascii="MS Gothic" w:hAnsi="MS Gothic" w:eastAsia="MS Gothic"/>
              </w:rPr>
              <w:t>☐</w:t>
            </w:r>
            <w:r>
              <w:rPr>
                <w:rFonts w:ascii="宋体" w:hAnsi="宋体"/>
              </w:rPr>
              <w:t>医疗卫生</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93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r>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rPr>
            </w:pPr>
            <w:r>
              <w:rPr>
                <w:rFonts w:hint="eastAsia" w:ascii="MS Gothic" w:hAnsi="MS Gothic" w:eastAsia="MS Gothic"/>
              </w:rPr>
              <w:t>☐</w:t>
            </w:r>
            <w:r>
              <w:rPr>
                <w:rFonts w:ascii="宋体" w:hAnsi="宋体"/>
              </w:rPr>
              <w:t>文化体育</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93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r>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rPr>
            </w:pPr>
            <w:r>
              <w:rPr>
                <w:rFonts w:hint="eastAsia" w:ascii="MS Gothic" w:hAnsi="MS Gothic" w:eastAsia="MS Gothic"/>
              </w:rPr>
              <w:t>☐</w:t>
            </w:r>
            <w:r>
              <w:rPr>
                <w:rFonts w:ascii="宋体" w:hAnsi="宋体"/>
              </w:rPr>
              <w:t>商业服务</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93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r>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rPr>
            </w:pPr>
            <w:r>
              <w:rPr>
                <w:rFonts w:hint="eastAsia" w:ascii="MS Gothic" w:hAnsi="MS Gothic" w:eastAsia="MS Gothic"/>
              </w:rPr>
              <w:t>☐</w:t>
            </w:r>
            <w:r>
              <w:rPr>
                <w:rFonts w:ascii="宋体" w:hAnsi="宋体"/>
              </w:rPr>
              <w:t>金融邮电</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93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r>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rPr>
            </w:pPr>
            <w:r>
              <w:rPr>
                <w:rFonts w:hint="eastAsia" w:ascii="MS Gothic" w:hAnsi="MS Gothic" w:eastAsia="MS Gothic"/>
              </w:rPr>
              <w:t>☐</w:t>
            </w:r>
            <w:r>
              <w:rPr>
                <w:rFonts w:ascii="宋体" w:hAnsi="宋体"/>
              </w:rPr>
              <w:t>社区服务</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93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r>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rPr>
            </w:pPr>
            <w:r>
              <w:rPr>
                <w:rFonts w:hint="eastAsia" w:ascii="MS Gothic" w:hAnsi="MS Gothic" w:eastAsia="MS Gothic"/>
              </w:rPr>
              <w:t>☐</w:t>
            </w:r>
            <w:r>
              <w:rPr>
                <w:rFonts w:ascii="宋体" w:hAnsi="宋体"/>
              </w:rPr>
              <w:t>市政公用</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Times New Roman" w:hAnsi="Times New Roman"/>
                <w:szCs w:val="21"/>
              </w:rPr>
              <w:t xml:space="preserve">  </w:t>
            </w:r>
          </w:p>
        </w:tc>
        <w:tc>
          <w:tcPr>
            <w:tcW w:w="293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r>
      <w:tr>
        <w:tblPrEx>
          <w:tblCellMar>
            <w:top w:w="0" w:type="dxa"/>
            <w:left w:w="108" w:type="dxa"/>
            <w:bottom w:w="0" w:type="dxa"/>
            <w:right w:w="108" w:type="dxa"/>
          </w:tblCellMar>
        </w:tblPrEx>
        <w:trPr>
          <w:wBefore w:w="0" w:type="dxa"/>
          <w:trHeight w:val="284"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MS Gothic" w:hAnsi="MS Gothic" w:eastAsia="MS Gothic"/>
              </w:rPr>
              <w:t>☐</w:t>
            </w:r>
            <w:r>
              <w:rPr>
                <w:rFonts w:ascii="Times New Roman" w:hAnsi="Times New Roman"/>
              </w:rPr>
              <w:t>行政</w:t>
            </w:r>
            <w:r>
              <w:rPr>
                <w:rFonts w:hint="eastAsia"/>
              </w:rPr>
              <w:t>管理</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215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2931" w:type="dxa"/>
            <w:tcBorders>
              <w:top w:val="single" w:color="auto" w:sz="4" w:space="0"/>
              <w:left w:val="single" w:color="auto" w:sz="4" w:space="0"/>
              <w:bottom w:val="single" w:color="auto" w:sz="4" w:space="0"/>
              <w:right w:val="single" w:color="auto" w:sz="4" w:space="0"/>
            </w:tcBorders>
            <w:noWrap w:val="0"/>
            <w:vAlign w:val="top"/>
          </w:tcPr>
          <w:p>
            <w:pPr>
              <w:jc w:val="center"/>
            </w:pPr>
          </w:p>
        </w:tc>
      </w:tr>
    </w:tbl>
    <w:p>
      <w:r>
        <w:rPr>
          <w:rFonts w:hint="eastAsia"/>
        </w:rPr>
        <w:t>公共建筑的集中设置、配套辅助设施</w:t>
      </w:r>
    </w:p>
    <w:tbl>
      <w:tblPr>
        <w:tblStyle w:val="7"/>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984"/>
        <w:gridCol w:w="226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84" w:type="dxa"/>
            <w:noWrap w:val="0"/>
            <w:vAlign w:val="center"/>
          </w:tcPr>
          <w:p>
            <w:pPr>
              <w:jc w:val="center"/>
            </w:pPr>
            <w:r>
              <w:rPr>
                <w:rFonts w:hint="eastAsia"/>
              </w:rPr>
              <w:t>功能或类型</w:t>
            </w:r>
          </w:p>
        </w:tc>
        <w:tc>
          <w:tcPr>
            <w:tcW w:w="1984" w:type="dxa"/>
            <w:noWrap w:val="0"/>
            <w:vAlign w:val="center"/>
          </w:tcPr>
          <w:p>
            <w:pPr>
              <w:jc w:val="center"/>
            </w:pPr>
            <w:r>
              <w:rPr>
                <w:rFonts w:hint="eastAsia"/>
              </w:rPr>
              <w:t>数量</w:t>
            </w:r>
          </w:p>
        </w:tc>
        <w:tc>
          <w:tcPr>
            <w:tcW w:w="2268" w:type="dxa"/>
            <w:noWrap w:val="0"/>
            <w:vAlign w:val="center"/>
          </w:tcPr>
          <w:p>
            <w:pPr>
              <w:jc w:val="center"/>
            </w:pPr>
            <w:r>
              <w:rPr>
                <w:rFonts w:hint="eastAsia"/>
              </w:rPr>
              <w:t>作用</w:t>
            </w:r>
          </w:p>
        </w:tc>
        <w:tc>
          <w:tcPr>
            <w:tcW w:w="1560" w:type="dxa"/>
            <w:noWrap w:val="0"/>
            <w:vAlign w:val="center"/>
          </w:tcPr>
          <w:p>
            <w:pPr>
              <w:jc w:val="center"/>
            </w:pPr>
            <w:r>
              <w:rPr>
                <w:rFonts w:hint="eastAsia"/>
              </w:rPr>
              <w:t>共享对象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84" w:type="dxa"/>
            <w:noWrap w:val="0"/>
            <w:vAlign w:val="center"/>
          </w:tcPr>
          <w:p>
            <w:pPr>
              <w:jc w:val="center"/>
            </w:pPr>
            <w:r>
              <w:rPr>
                <w:rFonts w:hint="eastAsia"/>
              </w:rPr>
              <w:t>会议设施</w:t>
            </w:r>
          </w:p>
        </w:tc>
        <w:tc>
          <w:tcPr>
            <w:tcW w:w="1984"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560"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84" w:type="dxa"/>
            <w:noWrap w:val="0"/>
            <w:vAlign w:val="center"/>
          </w:tcPr>
          <w:p>
            <w:pPr>
              <w:jc w:val="center"/>
            </w:pPr>
            <w:r>
              <w:rPr>
                <w:rFonts w:hint="eastAsia"/>
              </w:rPr>
              <w:t>展览设施</w:t>
            </w:r>
          </w:p>
        </w:tc>
        <w:tc>
          <w:tcPr>
            <w:tcW w:w="1984"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560"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84" w:type="dxa"/>
            <w:noWrap w:val="0"/>
            <w:vAlign w:val="center"/>
          </w:tcPr>
          <w:p>
            <w:pPr>
              <w:jc w:val="center"/>
            </w:pPr>
            <w:r>
              <w:rPr>
                <w:rFonts w:hint="eastAsia"/>
              </w:rPr>
              <w:t>健身设施</w:t>
            </w:r>
          </w:p>
        </w:tc>
        <w:tc>
          <w:tcPr>
            <w:tcW w:w="1984"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560"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84" w:type="dxa"/>
            <w:noWrap w:val="0"/>
            <w:vAlign w:val="center"/>
          </w:tcPr>
          <w:p>
            <w:pPr>
              <w:jc w:val="center"/>
            </w:pPr>
            <w:r>
              <w:rPr>
                <w:rFonts w:hint="eastAsia"/>
              </w:rPr>
              <w:t>餐饮服务设施</w:t>
            </w:r>
          </w:p>
        </w:tc>
        <w:tc>
          <w:tcPr>
            <w:tcW w:w="1984"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560"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84" w:type="dxa"/>
            <w:noWrap w:val="0"/>
            <w:vAlign w:val="center"/>
          </w:tcPr>
          <w:p>
            <w:pPr>
              <w:jc w:val="center"/>
            </w:pPr>
            <w:r>
              <w:rPr>
                <w:rFonts w:hint="eastAsia"/>
              </w:rPr>
              <w:t>交往空间</w:t>
            </w:r>
          </w:p>
        </w:tc>
        <w:tc>
          <w:tcPr>
            <w:tcW w:w="1984"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560" w:type="dxa"/>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84" w:type="dxa"/>
            <w:noWrap w:val="0"/>
            <w:vAlign w:val="center"/>
          </w:tcPr>
          <w:p>
            <w:pPr>
              <w:jc w:val="center"/>
            </w:pPr>
            <w:r>
              <w:rPr>
                <w:rFonts w:hint="eastAsia"/>
              </w:rPr>
              <w:t>休息空间</w:t>
            </w:r>
          </w:p>
        </w:tc>
        <w:tc>
          <w:tcPr>
            <w:tcW w:w="1984"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560" w:type="dxa"/>
            <w:noWrap w:val="0"/>
            <w:vAlign w:val="top"/>
          </w:tcPr>
          <w:p>
            <w:pPr>
              <w:jc w:val="center"/>
            </w:pPr>
            <w:r>
              <w:rPr>
                <w:rFonts w:hint="eastAsia" w:ascii="Times New Roman" w:hAnsi="Times New Roman"/>
                <w:szCs w:val="21"/>
              </w:rPr>
              <w:t xml:space="preserve">  </w:t>
            </w:r>
          </w:p>
        </w:tc>
      </w:tr>
    </w:tbl>
    <w:p>
      <w:r>
        <w:rPr>
          <w:rFonts w:hint="eastAsia"/>
        </w:rPr>
        <w:t>公共建筑向社会公众开放的公共空间</w:t>
      </w:r>
    </w:p>
    <w:tbl>
      <w:tblPr>
        <w:tblStyle w:val="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560"/>
        <w:gridCol w:w="2126"/>
        <w:gridCol w:w="2268"/>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354" w:type="dxa"/>
            <w:noWrap w:val="0"/>
            <w:vAlign w:val="center"/>
          </w:tcPr>
          <w:p>
            <w:pPr>
              <w:jc w:val="center"/>
              <w:rPr>
                <w:rFonts w:ascii="Times New Roman" w:hAnsi="Times New Roman"/>
              </w:rPr>
            </w:pPr>
            <w:r>
              <w:rPr>
                <w:rFonts w:hint="eastAsia"/>
              </w:rPr>
              <w:t>功能或类型</w:t>
            </w:r>
          </w:p>
        </w:tc>
        <w:tc>
          <w:tcPr>
            <w:tcW w:w="1560" w:type="dxa"/>
            <w:noWrap w:val="0"/>
            <w:vAlign w:val="center"/>
          </w:tcPr>
          <w:p>
            <w:pPr>
              <w:jc w:val="center"/>
            </w:pPr>
            <w:r>
              <w:rPr>
                <w:rFonts w:hint="eastAsia"/>
              </w:rPr>
              <w:t>数量</w:t>
            </w:r>
          </w:p>
        </w:tc>
        <w:tc>
          <w:tcPr>
            <w:tcW w:w="2126" w:type="dxa"/>
            <w:noWrap w:val="0"/>
            <w:vAlign w:val="center"/>
          </w:tcPr>
          <w:p>
            <w:pPr>
              <w:jc w:val="center"/>
            </w:pPr>
            <w:r>
              <w:rPr>
                <w:rFonts w:hint="eastAsia"/>
              </w:rPr>
              <w:t>作用</w:t>
            </w:r>
          </w:p>
        </w:tc>
        <w:tc>
          <w:tcPr>
            <w:tcW w:w="2268" w:type="dxa"/>
            <w:noWrap w:val="0"/>
            <w:vAlign w:val="center"/>
          </w:tcPr>
          <w:p>
            <w:pPr>
              <w:jc w:val="center"/>
            </w:pPr>
            <w:r>
              <w:rPr>
                <w:rFonts w:hint="eastAsia"/>
              </w:rPr>
              <w:t>开放时间</w:t>
            </w:r>
          </w:p>
        </w:tc>
        <w:tc>
          <w:tcPr>
            <w:tcW w:w="1770" w:type="dxa"/>
            <w:noWrap w:val="0"/>
            <w:vAlign w:val="center"/>
          </w:tcPr>
          <w:p>
            <w:pPr>
              <w:jc w:val="center"/>
            </w:pPr>
            <w:r>
              <w:rPr>
                <w:rFonts w:hint="eastAsia"/>
              </w:rPr>
              <w:t>是否免费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354" w:type="dxa"/>
            <w:noWrap w:val="0"/>
            <w:vAlign w:val="center"/>
          </w:tcPr>
          <w:p>
            <w:pPr>
              <w:jc w:val="left"/>
            </w:pPr>
            <w:r>
              <w:rPr>
                <w:rFonts w:ascii="Times New Roman" w:hAnsi="Times New Roman"/>
              </w:rPr>
              <w:t>运动场地</w:t>
            </w:r>
          </w:p>
        </w:tc>
        <w:tc>
          <w:tcPr>
            <w:tcW w:w="1560" w:type="dxa"/>
            <w:noWrap w:val="0"/>
            <w:vAlign w:val="top"/>
          </w:tcPr>
          <w:p>
            <w:pPr>
              <w:jc w:val="center"/>
            </w:pPr>
            <w:r>
              <w:rPr>
                <w:rFonts w:hint="eastAsia" w:ascii="Times New Roman" w:hAnsi="Times New Roman"/>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770"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354" w:type="dxa"/>
            <w:noWrap w:val="0"/>
            <w:vAlign w:val="center"/>
          </w:tcPr>
          <w:p>
            <w:pPr>
              <w:jc w:val="left"/>
            </w:pPr>
            <w:r>
              <w:rPr>
                <w:rFonts w:hint="eastAsia"/>
              </w:rPr>
              <w:t>文化设施</w:t>
            </w:r>
          </w:p>
        </w:tc>
        <w:tc>
          <w:tcPr>
            <w:tcW w:w="1560" w:type="dxa"/>
            <w:noWrap w:val="0"/>
            <w:vAlign w:val="top"/>
          </w:tcPr>
          <w:p>
            <w:pPr>
              <w:jc w:val="center"/>
            </w:pPr>
            <w:r>
              <w:rPr>
                <w:rFonts w:hint="eastAsia" w:ascii="Times New Roman" w:hAnsi="Times New Roman"/>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770"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354" w:type="dxa"/>
            <w:noWrap w:val="0"/>
            <w:vAlign w:val="center"/>
          </w:tcPr>
          <w:p>
            <w:pPr>
              <w:jc w:val="left"/>
            </w:pPr>
            <w:r>
              <w:rPr>
                <w:rFonts w:ascii="Times New Roman" w:hAnsi="Times New Roman"/>
              </w:rPr>
              <w:t>公共广场</w:t>
            </w:r>
          </w:p>
        </w:tc>
        <w:tc>
          <w:tcPr>
            <w:tcW w:w="1560" w:type="dxa"/>
            <w:noWrap w:val="0"/>
            <w:vAlign w:val="top"/>
          </w:tcPr>
          <w:p>
            <w:pPr>
              <w:jc w:val="center"/>
            </w:pPr>
            <w:r>
              <w:rPr>
                <w:rFonts w:hint="eastAsia" w:ascii="Times New Roman" w:hAnsi="Times New Roman"/>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770"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354" w:type="dxa"/>
            <w:noWrap w:val="0"/>
            <w:vAlign w:val="center"/>
          </w:tcPr>
          <w:p>
            <w:pPr>
              <w:jc w:val="left"/>
            </w:pPr>
            <w:r>
              <w:rPr>
                <w:rFonts w:ascii="Times New Roman" w:hAnsi="Times New Roman"/>
              </w:rPr>
              <w:t>公共绿地</w:t>
            </w:r>
          </w:p>
        </w:tc>
        <w:tc>
          <w:tcPr>
            <w:tcW w:w="1560" w:type="dxa"/>
            <w:noWrap w:val="0"/>
            <w:vAlign w:val="top"/>
          </w:tcPr>
          <w:p>
            <w:pPr>
              <w:jc w:val="center"/>
            </w:pPr>
            <w:r>
              <w:rPr>
                <w:rFonts w:hint="eastAsia" w:ascii="Times New Roman" w:hAnsi="Times New Roman"/>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770"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354" w:type="dxa"/>
            <w:noWrap w:val="0"/>
            <w:vAlign w:val="center"/>
          </w:tcPr>
          <w:p>
            <w:pPr>
              <w:jc w:val="left"/>
            </w:pPr>
            <w:r>
              <w:rPr>
                <w:rFonts w:hint="eastAsia"/>
              </w:rPr>
              <w:t>其 他</w:t>
            </w:r>
            <w:r>
              <w:rPr>
                <w:rFonts w:hint="eastAsia"/>
                <w:u w:val="single"/>
              </w:rPr>
              <w:t xml:space="preserve">      </w:t>
            </w:r>
          </w:p>
        </w:tc>
        <w:tc>
          <w:tcPr>
            <w:tcW w:w="1560" w:type="dxa"/>
            <w:noWrap w:val="0"/>
            <w:vAlign w:val="top"/>
          </w:tcPr>
          <w:p>
            <w:pPr>
              <w:jc w:val="center"/>
            </w:pPr>
            <w:r>
              <w:rPr>
                <w:rFonts w:hint="eastAsia" w:ascii="Times New Roman" w:hAnsi="Times New Roman"/>
                <w:szCs w:val="21"/>
              </w:rPr>
              <w:t xml:space="preserve">  </w:t>
            </w:r>
          </w:p>
        </w:tc>
        <w:tc>
          <w:tcPr>
            <w:tcW w:w="2126" w:type="dxa"/>
            <w:noWrap w:val="0"/>
            <w:vAlign w:val="top"/>
          </w:tcPr>
          <w:p>
            <w:pPr>
              <w:jc w:val="center"/>
            </w:pPr>
            <w:r>
              <w:rPr>
                <w:rFonts w:hint="eastAsia" w:ascii="Times New Roman" w:hAnsi="Times New Roman"/>
                <w:szCs w:val="21"/>
              </w:rPr>
              <w:t xml:space="preserve">  </w:t>
            </w:r>
          </w:p>
        </w:tc>
        <w:tc>
          <w:tcPr>
            <w:tcW w:w="2268" w:type="dxa"/>
            <w:noWrap w:val="0"/>
            <w:vAlign w:val="top"/>
          </w:tcPr>
          <w:p>
            <w:pPr>
              <w:jc w:val="center"/>
            </w:pPr>
            <w:r>
              <w:rPr>
                <w:rFonts w:hint="eastAsia" w:ascii="Times New Roman" w:hAnsi="Times New Roman"/>
                <w:szCs w:val="21"/>
              </w:rPr>
              <w:t xml:space="preserve">  </w:t>
            </w:r>
          </w:p>
        </w:tc>
        <w:tc>
          <w:tcPr>
            <w:tcW w:w="1770" w:type="dxa"/>
            <w:noWrap w:val="0"/>
            <w:vAlign w:val="top"/>
          </w:tcPr>
          <w:p>
            <w:pPr>
              <w:jc w:val="center"/>
            </w:pPr>
          </w:p>
        </w:tc>
      </w:tr>
    </w:tbl>
    <w:p>
      <w:pPr>
        <w:rPr>
          <w:rFonts w:ascii="Times New Roman" w:hAnsi="Times New Roman"/>
          <w:szCs w:val="21"/>
        </w:rPr>
      </w:pPr>
      <w:r>
        <w:rPr>
          <w:rFonts w:hint="eastAsia"/>
        </w:rPr>
        <w:t>如有向周边居民免费开放的室外活动场地，请简要描述场地类型、开放对象及具体实施办法。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室外活动场地如运动场可在周末或者节假日免费供周边居民使用，由学校后勤处负责管</w:t>
            </w:r>
          </w:p>
          <w:p>
            <w:pPr>
              <w:rPr>
                <w:rFonts w:ascii="Times New Roman" w:hAnsi="Times New Roman"/>
                <w:kern w:val="0"/>
                <w:sz w:val="20"/>
                <w:szCs w:val="21"/>
              </w:rPr>
            </w:pPr>
            <w:r>
              <w:rPr>
                <w:rFonts w:hint="eastAsia" w:ascii="Times New Roman" w:hAnsi="Times New Roman"/>
                <w:kern w:val="0"/>
                <w:sz w:val="20"/>
                <w:szCs w:val="21"/>
              </w:rPr>
              <w:t>理。</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1）竣工总平面图；</w:t>
      </w:r>
    </w:p>
    <w:p>
      <w:pPr>
        <w:rPr>
          <w:rFonts w:ascii="Times New Roman" w:hAnsi="Times New Roman"/>
        </w:rPr>
      </w:pPr>
      <w:r>
        <w:rPr>
          <w:rFonts w:hint="eastAsia" w:ascii="Times New Roman" w:hAnsi="Times New Roman"/>
        </w:rPr>
        <w:t>2）公共服务设施布局图及位置标识图；</w:t>
      </w:r>
    </w:p>
    <w:p>
      <w:pPr>
        <w:rPr>
          <w:rFonts w:ascii="Times New Roman" w:hAnsi="Times New Roman"/>
        </w:rPr>
      </w:pPr>
      <w:r>
        <w:rPr>
          <w:rFonts w:hint="eastAsia" w:ascii="Times New Roman" w:hAnsi="Times New Roman"/>
        </w:rPr>
        <w:t>3）设施向社会共享的管理办法、实施方案、使用说明及工作记录文件。</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w:t>
      </w:r>
      <w:r>
        <w:rPr>
          <w:sz w:val="24"/>
          <w:szCs w:val="40"/>
        </w:rPr>
        <w:t>.2.</w:t>
      </w:r>
      <w:r>
        <w:rPr>
          <w:rFonts w:hint="eastAsia"/>
          <w:sz w:val="24"/>
          <w:szCs w:val="40"/>
        </w:rPr>
        <w:t>4</w:t>
      </w:r>
      <w:r>
        <w:rPr>
          <w:sz w:val="24"/>
          <w:szCs w:val="40"/>
        </w:rPr>
        <w:t xml:space="preserve"> </w:t>
      </w:r>
      <w:r>
        <w:rPr>
          <w:rFonts w:hint="eastAsia"/>
          <w:sz w:val="24"/>
          <w:szCs w:val="40"/>
        </w:rPr>
        <w:t>城市绿地、广场及公共运动场地等开敞空间，步行可达。（5分）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961"/>
        <w:gridCol w:w="1597"/>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970" w:type="dxa"/>
            <w:noWrap w:val="0"/>
            <w:vAlign w:val="center"/>
          </w:tcPr>
          <w:p>
            <w:pPr>
              <w:jc w:val="center"/>
              <w:rPr>
                <w:rFonts w:ascii="Times New Roman" w:hAnsi="Times New Roman"/>
                <w:lang w:val="zh-CN"/>
              </w:rPr>
            </w:pPr>
            <w:r>
              <w:rPr>
                <w:rFonts w:ascii="Times New Roman" w:hAnsi="Times New Roman"/>
                <w:lang w:val="zh-CN"/>
              </w:rPr>
              <w:t>序号</w:t>
            </w:r>
          </w:p>
        </w:tc>
        <w:tc>
          <w:tcPr>
            <w:tcW w:w="4961" w:type="dxa"/>
            <w:noWrap w:val="0"/>
            <w:vAlign w:val="center"/>
          </w:tcPr>
          <w:p>
            <w:pPr>
              <w:jc w:val="center"/>
              <w:rPr>
                <w:rFonts w:ascii="Times New Roman" w:hAnsi="Times New Roman"/>
                <w:lang w:val="zh-CN"/>
              </w:rPr>
            </w:pPr>
            <w:r>
              <w:rPr>
                <w:rFonts w:ascii="Times New Roman" w:hAnsi="Times New Roman"/>
                <w:lang w:val="zh-CN"/>
              </w:rPr>
              <w:t>评价内容</w:t>
            </w:r>
          </w:p>
        </w:tc>
        <w:tc>
          <w:tcPr>
            <w:tcW w:w="1597"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63"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970" w:type="dxa"/>
            <w:noWrap w:val="0"/>
            <w:vAlign w:val="center"/>
          </w:tcPr>
          <w:p>
            <w:pPr>
              <w:jc w:val="center"/>
              <w:rPr>
                <w:rFonts w:ascii="Times New Roman" w:hAnsi="Times New Roman"/>
              </w:rPr>
            </w:pPr>
            <w:r>
              <w:rPr>
                <w:rFonts w:ascii="Times New Roman" w:hAnsi="Times New Roman"/>
              </w:rPr>
              <w:t>1</w:t>
            </w:r>
          </w:p>
        </w:tc>
        <w:tc>
          <w:tcPr>
            <w:tcW w:w="4961" w:type="dxa"/>
            <w:noWrap w:val="0"/>
            <w:vAlign w:val="center"/>
          </w:tcPr>
          <w:p>
            <w:pPr>
              <w:rPr>
                <w:rFonts w:ascii="Times New Roman" w:hAnsi="Times New Roman"/>
              </w:rPr>
            </w:pPr>
            <w:r>
              <w:rPr>
                <w:rFonts w:ascii="Times New Roman" w:hAnsi="Times New Roman"/>
              </w:rPr>
              <w:t>场地出入口到达城市公园绿地、居住区公园、广场的步行距离不超过300m</w:t>
            </w:r>
          </w:p>
        </w:tc>
        <w:tc>
          <w:tcPr>
            <w:tcW w:w="1597" w:type="dxa"/>
            <w:noWrap w:val="0"/>
            <w:vAlign w:val="center"/>
          </w:tcPr>
          <w:p>
            <w:pPr>
              <w:jc w:val="center"/>
              <w:rPr>
                <w:rFonts w:ascii="Times New Roman" w:hAnsi="Times New Roman"/>
              </w:rPr>
            </w:pPr>
            <w:r>
              <w:rPr>
                <w:rFonts w:ascii="Times New Roman" w:hAnsi="Times New Roman"/>
              </w:rPr>
              <w:t>3</w:t>
            </w:r>
          </w:p>
        </w:tc>
        <w:tc>
          <w:tcPr>
            <w:tcW w:w="1663"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jc w:val="center"/>
        </w:trPr>
        <w:tc>
          <w:tcPr>
            <w:tcW w:w="970" w:type="dxa"/>
            <w:noWrap w:val="0"/>
            <w:vAlign w:val="center"/>
          </w:tcPr>
          <w:p>
            <w:pPr>
              <w:jc w:val="center"/>
              <w:rPr>
                <w:rFonts w:ascii="Times New Roman" w:hAnsi="Times New Roman"/>
              </w:rPr>
            </w:pPr>
            <w:r>
              <w:rPr>
                <w:rFonts w:ascii="Times New Roman" w:hAnsi="Times New Roman"/>
              </w:rPr>
              <w:t>2</w:t>
            </w:r>
          </w:p>
        </w:tc>
        <w:tc>
          <w:tcPr>
            <w:tcW w:w="4961" w:type="dxa"/>
            <w:noWrap w:val="0"/>
            <w:vAlign w:val="center"/>
          </w:tcPr>
          <w:p>
            <w:pPr>
              <w:rPr>
                <w:rFonts w:ascii="Times New Roman" w:hAnsi="Times New Roman"/>
                <w:kern w:val="0"/>
              </w:rPr>
            </w:pPr>
            <w:r>
              <w:rPr>
                <w:rFonts w:ascii="Times New Roman" w:hAnsi="Times New Roman"/>
              </w:rPr>
              <w:t>到达中型多功能运动场地的步行距离不超过500m</w:t>
            </w:r>
          </w:p>
        </w:tc>
        <w:tc>
          <w:tcPr>
            <w:tcW w:w="1597" w:type="dxa"/>
            <w:noWrap w:val="0"/>
            <w:vAlign w:val="center"/>
          </w:tcPr>
          <w:p>
            <w:pPr>
              <w:jc w:val="center"/>
              <w:rPr>
                <w:rFonts w:ascii="Times New Roman" w:hAnsi="Times New Roman"/>
              </w:rPr>
            </w:pPr>
            <w:r>
              <w:rPr>
                <w:rFonts w:ascii="Times New Roman" w:hAnsi="Times New Roman"/>
              </w:rPr>
              <w:t>2</w:t>
            </w:r>
          </w:p>
        </w:tc>
        <w:tc>
          <w:tcPr>
            <w:tcW w:w="1663" w:type="dxa"/>
            <w:noWrap w:val="0"/>
            <w:vAlign w:val="top"/>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931" w:type="dxa"/>
            <w:gridSpan w:val="2"/>
            <w:noWrap w:val="0"/>
            <w:vAlign w:val="top"/>
          </w:tcPr>
          <w:p>
            <w:pPr>
              <w:jc w:val="center"/>
              <w:rPr>
                <w:rFonts w:ascii="Times New Roman" w:hAnsi="Times New Roman"/>
              </w:rPr>
            </w:pPr>
            <w:r>
              <w:rPr>
                <w:rFonts w:ascii="Times New Roman" w:hAnsi="Times New Roman"/>
              </w:rPr>
              <w:t>合计</w:t>
            </w:r>
          </w:p>
        </w:tc>
        <w:tc>
          <w:tcPr>
            <w:tcW w:w="1597" w:type="dxa"/>
            <w:noWrap w:val="0"/>
            <w:vAlign w:val="center"/>
          </w:tcPr>
          <w:p>
            <w:pPr>
              <w:jc w:val="center"/>
              <w:rPr>
                <w:rFonts w:ascii="Times New Roman" w:hAnsi="Times New Roman"/>
              </w:rPr>
            </w:pPr>
            <w:r>
              <w:rPr>
                <w:rFonts w:ascii="Times New Roman" w:hAnsi="Times New Roman"/>
              </w:rPr>
              <w:t>5</w:t>
            </w:r>
          </w:p>
        </w:tc>
        <w:tc>
          <w:tcPr>
            <w:tcW w:w="1663"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lang w:val="zh-CN"/>
        </w:rPr>
      </w:pPr>
      <w:r>
        <w:rPr>
          <w:rFonts w:hint="eastAsia"/>
          <w:lang w:val="zh-CN"/>
        </w:rPr>
        <w:t>场地周围是否有城市公共开敞空间：</w:t>
      </w:r>
      <w:r>
        <w:rPr>
          <w:rFonts w:hint="eastAsia" w:ascii="MS Gothic" w:hAnsi="MS Gothic" w:eastAsia="MS Gothic"/>
        </w:rPr>
        <w:t>☐</w:t>
      </w:r>
      <w:r>
        <w:rPr>
          <w:rFonts w:hint="eastAsia"/>
          <w:lang w:val="zh-CN"/>
        </w:rPr>
        <w:t xml:space="preserve">是 </w:t>
      </w:r>
      <w:r>
        <w:rPr>
          <w:rFonts w:hint="eastAsia" w:ascii="MS Gothic" w:hAnsi="MS Gothic" w:eastAsia="MS Gothic"/>
        </w:rPr>
        <w:t>☐</w:t>
      </w:r>
      <w:r>
        <w:rPr>
          <w:rFonts w:hint="eastAsia"/>
          <w:lang w:val="zh-CN"/>
        </w:rPr>
        <w:t>否</w:t>
      </w:r>
    </w:p>
    <w:p>
      <w:r>
        <w:rPr>
          <w:rFonts w:hint="eastAsia"/>
          <w:lang w:val="zh-CN"/>
        </w:rPr>
        <w:t>是否有中型多功能运动场地：</w:t>
      </w:r>
      <w:r>
        <w:rPr>
          <w:rFonts w:hint="eastAsia" w:ascii="MS Gothic" w:hAnsi="MS Gothic" w:eastAsia="MS Gothic"/>
        </w:rPr>
        <w:t>☐</w:t>
      </w:r>
      <w:r>
        <w:rPr>
          <w:rFonts w:hint="eastAsia"/>
          <w:lang w:val="zh-CN"/>
        </w:rPr>
        <w:t xml:space="preserve">是 </w:t>
      </w:r>
      <w:r>
        <w:rPr>
          <w:rFonts w:hint="eastAsia" w:ascii="MS Gothic" w:hAnsi="MS Gothic" w:eastAsia="MS Gothic"/>
        </w:rPr>
        <w:t>☐</w:t>
      </w:r>
      <w:r>
        <w:rPr>
          <w:rFonts w:hint="eastAsia"/>
          <w:lang w:val="zh-CN"/>
        </w:rPr>
        <w:t>否</w:t>
      </w:r>
    </w:p>
    <w:tbl>
      <w:tblPr>
        <w:tblStyle w:val="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3543"/>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7" w:hRule="atLeast"/>
          <w:jc w:val="center"/>
        </w:trPr>
        <w:tc>
          <w:tcPr>
            <w:tcW w:w="3134" w:type="dxa"/>
            <w:noWrap w:val="0"/>
            <w:vAlign w:val="center"/>
          </w:tcPr>
          <w:p>
            <w:pPr>
              <w:jc w:val="center"/>
              <w:rPr>
                <w:lang w:val="zh-CN"/>
              </w:rPr>
            </w:pPr>
            <w:r>
              <w:rPr>
                <w:rFonts w:hint="eastAsia"/>
                <w:lang w:val="zh-CN"/>
              </w:rPr>
              <w:t>城市公共开敞空间/中型多功能运动场地</w:t>
            </w:r>
          </w:p>
        </w:tc>
        <w:tc>
          <w:tcPr>
            <w:tcW w:w="3543" w:type="dxa"/>
            <w:noWrap w:val="0"/>
            <w:vAlign w:val="center"/>
          </w:tcPr>
          <w:p>
            <w:pPr>
              <w:jc w:val="center"/>
              <w:rPr>
                <w:lang w:val="zh-CN"/>
              </w:rPr>
            </w:pPr>
            <w:r>
              <w:rPr>
                <w:rFonts w:hint="eastAsia"/>
                <w:lang w:val="zh-CN"/>
              </w:rPr>
              <w:t>场地出入口至开敞空间的步行距离（m）</w:t>
            </w:r>
          </w:p>
        </w:tc>
        <w:tc>
          <w:tcPr>
            <w:tcW w:w="2514" w:type="dxa"/>
            <w:noWrap w:val="0"/>
            <w:vAlign w:val="center"/>
          </w:tcPr>
          <w:p>
            <w:pPr>
              <w:jc w:val="center"/>
              <w:rPr>
                <w:lang w:val="zh-CN"/>
              </w:rPr>
            </w:pPr>
            <w:r>
              <w:rPr>
                <w:rFonts w:hint="eastAsia"/>
                <w:lang w:val="zh-CN"/>
              </w:rPr>
              <w:t>已建/规划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 w:hRule="atLeast"/>
          <w:jc w:val="center"/>
        </w:trPr>
        <w:tc>
          <w:tcPr>
            <w:tcW w:w="3134"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3543"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2514" w:type="dxa"/>
            <w:noWrap w:val="0"/>
            <w:vAlign w:val="center"/>
          </w:tcPr>
          <w:p>
            <w:pPr>
              <w:jc w:val="center"/>
              <w:rPr>
                <w:lang w:val="zh-CN"/>
              </w:rPr>
            </w:pPr>
            <w:r>
              <w:rPr>
                <w:rFonts w:hint="eastAsia"/>
                <w:sz w:val="28"/>
              </w:rPr>
              <w:sym w:font="Wingdings 2" w:char="F0A3"/>
            </w:r>
            <w:r>
              <w:rPr>
                <w:rFonts w:hint="eastAsia"/>
                <w:lang w:val="zh-CN"/>
              </w:rPr>
              <w:t xml:space="preserve">已建 </w:t>
            </w:r>
            <w:r>
              <w:rPr>
                <w:rFonts w:hint="eastAsia"/>
                <w:sz w:val="28"/>
              </w:rPr>
              <w:sym w:font="Wingdings 2" w:char="F0A3"/>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6" w:hRule="atLeast"/>
          <w:jc w:val="center"/>
        </w:trPr>
        <w:tc>
          <w:tcPr>
            <w:tcW w:w="3134"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3543"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2514" w:type="dxa"/>
            <w:noWrap w:val="0"/>
            <w:vAlign w:val="top"/>
          </w:tcPr>
          <w:p>
            <w:pPr>
              <w:jc w:val="center"/>
              <w:rPr>
                <w:lang w:val="zh-CN"/>
              </w:rPr>
            </w:pPr>
            <w:r>
              <w:rPr>
                <w:rFonts w:hint="eastAsia"/>
                <w:sz w:val="28"/>
              </w:rPr>
              <w:sym w:font="Wingdings 2" w:char="F0A3"/>
            </w:r>
            <w:r>
              <w:rPr>
                <w:rFonts w:hint="eastAsia"/>
                <w:lang w:val="zh-CN"/>
              </w:rPr>
              <w:t xml:space="preserve">已建 </w:t>
            </w:r>
            <w:r>
              <w:rPr>
                <w:rFonts w:hint="eastAsia"/>
                <w:sz w:val="28"/>
              </w:rPr>
              <w:sym w:font="Wingdings 2" w:char="F0A3"/>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6" w:hRule="atLeast"/>
          <w:jc w:val="center"/>
        </w:trPr>
        <w:tc>
          <w:tcPr>
            <w:tcW w:w="3134"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3543"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2514" w:type="dxa"/>
            <w:noWrap w:val="0"/>
            <w:vAlign w:val="top"/>
          </w:tcPr>
          <w:p>
            <w:pPr>
              <w:jc w:val="center"/>
              <w:rPr>
                <w:color w:val="808080"/>
              </w:rPr>
            </w:pPr>
            <w:r>
              <w:rPr>
                <w:rFonts w:hint="eastAsia"/>
                <w:sz w:val="28"/>
              </w:rPr>
              <w:sym w:font="Wingdings 2" w:char="F0A3"/>
            </w:r>
            <w:r>
              <w:rPr>
                <w:rFonts w:hint="eastAsia"/>
                <w:lang w:val="zh-CN"/>
              </w:rPr>
              <w:t xml:space="preserve">已建 </w:t>
            </w:r>
            <w:r>
              <w:rPr>
                <w:rFonts w:hint="eastAsia"/>
                <w:sz w:val="28"/>
              </w:rPr>
              <w:sym w:font="Wingdings 2" w:char="F0A3"/>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6" w:hRule="atLeast"/>
          <w:jc w:val="center"/>
        </w:trPr>
        <w:tc>
          <w:tcPr>
            <w:tcW w:w="3134"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3543" w:type="dxa"/>
            <w:noWrap w:val="0"/>
            <w:vAlign w:val="top"/>
          </w:tcPr>
          <w:p>
            <w:pPr>
              <w:tabs>
                <w:tab w:val="left" w:pos="2702"/>
              </w:tabs>
              <w:spacing w:line="288" w:lineRule="auto"/>
              <w:jc w:val="center"/>
              <w:rPr>
                <w:lang w:val="zh-CN"/>
              </w:rPr>
            </w:pPr>
            <w:r>
              <w:rPr>
                <w:rFonts w:hint="eastAsia" w:ascii="Times New Roman" w:hAnsi="Times New Roman"/>
                <w:szCs w:val="21"/>
              </w:rPr>
              <w:t xml:space="preserve">  </w:t>
            </w:r>
          </w:p>
        </w:tc>
        <w:tc>
          <w:tcPr>
            <w:tcW w:w="2514" w:type="dxa"/>
            <w:noWrap w:val="0"/>
            <w:vAlign w:val="top"/>
          </w:tcPr>
          <w:p>
            <w:pPr>
              <w:jc w:val="center"/>
              <w:rPr>
                <w:color w:val="808080"/>
              </w:rPr>
            </w:pPr>
            <w:r>
              <w:rPr>
                <w:rFonts w:hint="eastAsia"/>
                <w:sz w:val="28"/>
              </w:rPr>
              <w:sym w:font="Wingdings 2" w:char="F0A3"/>
            </w:r>
            <w:r>
              <w:rPr>
                <w:rFonts w:hint="eastAsia"/>
                <w:lang w:val="zh-CN"/>
              </w:rPr>
              <w:t xml:space="preserve">已建 </w:t>
            </w:r>
            <w:r>
              <w:rPr>
                <w:rFonts w:hint="eastAsia"/>
                <w:sz w:val="28"/>
              </w:rPr>
              <w:sym w:font="Wingdings 2" w:char="F0A3"/>
            </w:r>
            <w:r>
              <w:rPr>
                <w:rFonts w:hint="eastAsia"/>
                <w:lang w:val="zh-CN"/>
              </w:rPr>
              <w:t>规划</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1）建筑总平面竣工图；</w:t>
      </w:r>
    </w:p>
    <w:p>
      <w:pPr>
        <w:rPr>
          <w:rFonts w:ascii="Times New Roman" w:hAnsi="Times New Roman"/>
        </w:rPr>
      </w:pPr>
      <w:r>
        <w:rPr>
          <w:rFonts w:hint="eastAsia" w:ascii="Times New Roman" w:hAnsi="Times New Roman"/>
        </w:rPr>
        <w:t>2）场地周边公共设施局部图或规划图，应体现步行路线、位置标识；</w:t>
      </w:r>
    </w:p>
    <w:p>
      <w:pPr>
        <w:rPr>
          <w:rFonts w:ascii="Times New Roman" w:hAnsi="Times New Roman"/>
        </w:rPr>
      </w:pPr>
      <w:r>
        <w:rPr>
          <w:rFonts w:hint="eastAsia" w:ascii="Times New Roman" w:hAnsi="Times New Roman"/>
        </w:rPr>
        <w:t>3）步行路线图及开敞空间出入口实景照片。</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w:t>
      </w:r>
      <w:r>
        <w:rPr>
          <w:sz w:val="24"/>
          <w:szCs w:val="40"/>
        </w:rPr>
        <w:t>.2.</w:t>
      </w:r>
      <w:r>
        <w:rPr>
          <w:rFonts w:hint="eastAsia"/>
          <w:sz w:val="24"/>
          <w:szCs w:val="40"/>
        </w:rPr>
        <w:t>5</w:t>
      </w:r>
      <w:r>
        <w:rPr>
          <w:sz w:val="24"/>
          <w:szCs w:val="40"/>
        </w:rPr>
        <w:t xml:space="preserve"> </w:t>
      </w:r>
      <w:r>
        <w:rPr>
          <w:rFonts w:hint="eastAsia"/>
          <w:sz w:val="24"/>
          <w:szCs w:val="40"/>
        </w:rPr>
        <w:t>合理设置健身场地和空间。（10分）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961"/>
        <w:gridCol w:w="170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821" w:type="dxa"/>
            <w:noWrap w:val="0"/>
            <w:vAlign w:val="center"/>
          </w:tcPr>
          <w:p>
            <w:pPr>
              <w:jc w:val="center"/>
              <w:rPr>
                <w:rFonts w:ascii="Times New Roman" w:hAnsi="Times New Roman"/>
                <w:lang w:val="zh-CN"/>
              </w:rPr>
            </w:pPr>
            <w:r>
              <w:rPr>
                <w:rFonts w:ascii="Times New Roman" w:hAnsi="Times New Roman"/>
                <w:lang w:val="zh-CN"/>
              </w:rPr>
              <w:t>序号</w:t>
            </w:r>
          </w:p>
        </w:tc>
        <w:tc>
          <w:tcPr>
            <w:tcW w:w="4961"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19"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21" w:type="dxa"/>
            <w:noWrap w:val="0"/>
            <w:vAlign w:val="center"/>
          </w:tcPr>
          <w:p>
            <w:pPr>
              <w:jc w:val="center"/>
              <w:rPr>
                <w:rFonts w:ascii="Times New Roman" w:hAnsi="Times New Roman"/>
              </w:rPr>
            </w:pPr>
            <w:r>
              <w:rPr>
                <w:rFonts w:ascii="Times New Roman" w:hAnsi="Times New Roman"/>
              </w:rPr>
              <w:t>1</w:t>
            </w:r>
          </w:p>
        </w:tc>
        <w:tc>
          <w:tcPr>
            <w:tcW w:w="4961" w:type="dxa"/>
            <w:noWrap w:val="0"/>
            <w:vAlign w:val="center"/>
          </w:tcPr>
          <w:p>
            <w:pPr>
              <w:rPr>
                <w:rFonts w:ascii="Times New Roman" w:hAnsi="Times New Roman"/>
              </w:rPr>
            </w:pPr>
            <w:r>
              <w:rPr>
                <w:rFonts w:ascii="Times New Roman" w:hAnsi="Times New Roman"/>
              </w:rPr>
              <w:t>室外健身场地面积不少于总用地面积的0.5%</w:t>
            </w:r>
          </w:p>
        </w:tc>
        <w:tc>
          <w:tcPr>
            <w:tcW w:w="1701" w:type="dxa"/>
            <w:noWrap w:val="0"/>
            <w:vAlign w:val="center"/>
          </w:tcPr>
          <w:p>
            <w:pPr>
              <w:jc w:val="center"/>
              <w:rPr>
                <w:rFonts w:ascii="Times New Roman" w:hAnsi="Times New Roman"/>
              </w:rPr>
            </w:pPr>
            <w:r>
              <w:rPr>
                <w:rFonts w:ascii="Times New Roman" w:hAnsi="Times New Roman"/>
              </w:rPr>
              <w:t>3</w:t>
            </w:r>
          </w:p>
        </w:tc>
        <w:tc>
          <w:tcPr>
            <w:tcW w:w="161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9" w:hRule="atLeast"/>
          <w:jc w:val="center"/>
        </w:trPr>
        <w:tc>
          <w:tcPr>
            <w:tcW w:w="821" w:type="dxa"/>
            <w:noWrap w:val="0"/>
            <w:vAlign w:val="center"/>
          </w:tcPr>
          <w:p>
            <w:pPr>
              <w:jc w:val="center"/>
              <w:rPr>
                <w:rFonts w:ascii="Times New Roman" w:hAnsi="Times New Roman"/>
              </w:rPr>
            </w:pPr>
            <w:r>
              <w:rPr>
                <w:rFonts w:ascii="Times New Roman" w:hAnsi="Times New Roman"/>
              </w:rPr>
              <w:t>2</w:t>
            </w:r>
          </w:p>
        </w:tc>
        <w:tc>
          <w:tcPr>
            <w:tcW w:w="4961" w:type="dxa"/>
            <w:noWrap w:val="0"/>
            <w:vAlign w:val="center"/>
          </w:tcPr>
          <w:p>
            <w:pPr>
              <w:rPr>
                <w:rFonts w:ascii="Times New Roman" w:hAnsi="Times New Roman"/>
                <w:kern w:val="0"/>
              </w:rPr>
            </w:pPr>
            <w:r>
              <w:rPr>
                <w:rFonts w:ascii="Times New Roman" w:hAnsi="Times New Roman"/>
              </w:rPr>
              <w:t>设置宽度不少于1.25m的专用健身慢行道，健身慢行道长度不少于用地红线周长的1/4且不少于100m</w:t>
            </w:r>
          </w:p>
        </w:tc>
        <w:tc>
          <w:tcPr>
            <w:tcW w:w="1701" w:type="dxa"/>
            <w:noWrap w:val="0"/>
            <w:vAlign w:val="center"/>
          </w:tcPr>
          <w:p>
            <w:pPr>
              <w:jc w:val="center"/>
              <w:rPr>
                <w:rFonts w:ascii="Times New Roman" w:hAnsi="Times New Roman"/>
              </w:rPr>
            </w:pPr>
            <w:r>
              <w:rPr>
                <w:rFonts w:ascii="Times New Roman" w:hAnsi="Times New Roman"/>
              </w:rPr>
              <w:t>2</w:t>
            </w:r>
          </w:p>
        </w:tc>
        <w:tc>
          <w:tcPr>
            <w:tcW w:w="161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9" w:hRule="atLeast"/>
          <w:jc w:val="center"/>
        </w:trPr>
        <w:tc>
          <w:tcPr>
            <w:tcW w:w="821" w:type="dxa"/>
            <w:noWrap w:val="0"/>
            <w:vAlign w:val="center"/>
          </w:tcPr>
          <w:p>
            <w:pPr>
              <w:jc w:val="center"/>
              <w:rPr>
                <w:rFonts w:ascii="Times New Roman" w:hAnsi="Times New Roman"/>
              </w:rPr>
            </w:pPr>
            <w:r>
              <w:rPr>
                <w:rFonts w:ascii="Times New Roman" w:hAnsi="Times New Roman"/>
              </w:rPr>
              <w:t>3</w:t>
            </w:r>
          </w:p>
        </w:tc>
        <w:tc>
          <w:tcPr>
            <w:tcW w:w="4961" w:type="dxa"/>
            <w:noWrap w:val="0"/>
            <w:vAlign w:val="center"/>
          </w:tcPr>
          <w:p>
            <w:pPr>
              <w:rPr>
                <w:rFonts w:ascii="Times New Roman" w:hAnsi="Times New Roman"/>
              </w:rPr>
            </w:pPr>
            <w:r>
              <w:rPr>
                <w:rFonts w:ascii="Times New Roman" w:hAnsi="Times New Roman"/>
              </w:rPr>
              <w:t>室内健身空间的面积不少于地上建筑面积的0.3%且不少于60m</w:t>
            </w:r>
            <w:r>
              <w:rPr>
                <w:rFonts w:ascii="Times New Roman" w:hAnsi="Times New Roman"/>
                <w:vertAlign w:val="superscript"/>
              </w:rPr>
              <w:t>2</w:t>
            </w:r>
          </w:p>
        </w:tc>
        <w:tc>
          <w:tcPr>
            <w:tcW w:w="1701" w:type="dxa"/>
            <w:noWrap w:val="0"/>
            <w:vAlign w:val="center"/>
          </w:tcPr>
          <w:p>
            <w:pPr>
              <w:jc w:val="center"/>
              <w:rPr>
                <w:rFonts w:ascii="Times New Roman" w:hAnsi="Times New Roman"/>
              </w:rPr>
            </w:pPr>
            <w:r>
              <w:rPr>
                <w:rFonts w:ascii="Times New Roman" w:hAnsi="Times New Roman"/>
              </w:rPr>
              <w:t>3</w:t>
            </w:r>
          </w:p>
        </w:tc>
        <w:tc>
          <w:tcPr>
            <w:tcW w:w="161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9" w:hRule="atLeast"/>
          <w:jc w:val="center"/>
        </w:trPr>
        <w:tc>
          <w:tcPr>
            <w:tcW w:w="821" w:type="dxa"/>
            <w:noWrap w:val="0"/>
            <w:vAlign w:val="center"/>
          </w:tcPr>
          <w:p>
            <w:pPr>
              <w:jc w:val="center"/>
              <w:rPr>
                <w:rFonts w:ascii="Times New Roman" w:hAnsi="Times New Roman"/>
              </w:rPr>
            </w:pPr>
            <w:r>
              <w:rPr>
                <w:rFonts w:ascii="Times New Roman" w:hAnsi="Times New Roman"/>
              </w:rPr>
              <w:t>4</w:t>
            </w:r>
          </w:p>
        </w:tc>
        <w:tc>
          <w:tcPr>
            <w:tcW w:w="4961" w:type="dxa"/>
            <w:noWrap w:val="0"/>
            <w:vAlign w:val="center"/>
          </w:tcPr>
          <w:p>
            <w:pPr>
              <w:rPr>
                <w:rFonts w:ascii="Times New Roman" w:hAnsi="Times New Roman"/>
              </w:rPr>
            </w:pPr>
            <w:r>
              <w:rPr>
                <w:rFonts w:ascii="Times New Roman" w:hAnsi="Times New Roman"/>
              </w:rPr>
              <w:t>楼梯间具有天然采光和良好的视野，且距离主入口的距离不大于15m</w:t>
            </w:r>
          </w:p>
        </w:tc>
        <w:tc>
          <w:tcPr>
            <w:tcW w:w="1701" w:type="dxa"/>
            <w:noWrap w:val="0"/>
            <w:vAlign w:val="center"/>
          </w:tcPr>
          <w:p>
            <w:pPr>
              <w:jc w:val="center"/>
              <w:rPr>
                <w:rFonts w:ascii="Times New Roman" w:hAnsi="Times New Roman"/>
              </w:rPr>
            </w:pPr>
            <w:r>
              <w:rPr>
                <w:rFonts w:ascii="Times New Roman" w:hAnsi="Times New Roman"/>
              </w:rPr>
              <w:t>2</w:t>
            </w:r>
          </w:p>
        </w:tc>
        <w:tc>
          <w:tcPr>
            <w:tcW w:w="161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782" w:type="dxa"/>
            <w:gridSpan w:val="2"/>
            <w:noWrap w:val="0"/>
            <w:vAlign w:val="top"/>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rPr>
            </w:pPr>
            <w:r>
              <w:rPr>
                <w:rFonts w:ascii="Times New Roman" w:hAnsi="Times New Roman"/>
              </w:rPr>
              <w:t>10</w:t>
            </w:r>
          </w:p>
        </w:tc>
        <w:tc>
          <w:tcPr>
            <w:tcW w:w="1619" w:type="dxa"/>
            <w:noWrap w:val="0"/>
            <w:vAlign w:val="center"/>
          </w:tcPr>
          <w:p>
            <w:pPr>
              <w:jc w:val="center"/>
              <w:rPr>
                <w:rFonts w:ascii="Times New Roman" w:hAnsi="Times New Roma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宋体" w:hAnsi="宋体"/>
        </w:rPr>
      </w:pPr>
      <w:r>
        <w:rPr>
          <w:rFonts w:hint="eastAsia"/>
        </w:rPr>
        <w:t>是否设置健身场地和空间：</w:t>
      </w:r>
      <w:r>
        <w:rPr>
          <w:rFonts w:hint="eastAsia"/>
          <w:sz w:val="28"/>
        </w:rPr>
        <w:sym w:font="Wingdings 2" w:char="F0A3"/>
      </w:r>
      <w:r>
        <w:rPr>
          <w:rFonts w:ascii="宋体" w:hAnsi="宋体"/>
        </w:rPr>
        <w:t xml:space="preserve">是 </w:t>
      </w:r>
      <w:r>
        <w:rPr>
          <w:rFonts w:hint="eastAsia"/>
          <w:sz w:val="28"/>
        </w:rPr>
        <w:sym w:font="Wingdings 2" w:char="F0A3"/>
      </w:r>
      <w:r>
        <w:rPr>
          <w:rFonts w:ascii="宋体" w:hAnsi="宋体"/>
        </w:rPr>
        <w:t>否</w:t>
      </w:r>
      <w:r>
        <w:rPr>
          <w:rFonts w:hint="eastAsia" w:ascii="宋体" w:hAnsi="宋体"/>
        </w:rPr>
        <w:t>。若是，设置类别为：</w:t>
      </w:r>
    </w:p>
    <w:p>
      <w:pPr>
        <w:rPr>
          <w:rFonts w:ascii="宋体" w:hAnsi="宋体"/>
        </w:rPr>
      </w:pPr>
      <w:r>
        <w:rPr>
          <w:rFonts w:hint="eastAsia"/>
          <w:sz w:val="28"/>
        </w:rPr>
        <w:sym w:font="Wingdings 2" w:char="F0A3"/>
      </w:r>
      <w:r>
        <w:rPr>
          <w:rFonts w:hint="eastAsia" w:ascii="宋体" w:hAnsi="宋体"/>
        </w:rPr>
        <w:t>室外健身场地，其规模为：</w:t>
      </w:r>
      <w:r>
        <w:rPr>
          <w:rFonts w:hint="eastAsia" w:ascii="宋体" w:hAnsi="宋体"/>
          <w:u w:val="single"/>
        </w:rPr>
        <w:t xml:space="preserve">      </w:t>
      </w:r>
      <w:r>
        <w:rPr>
          <w:rFonts w:hint="eastAsia" w:ascii="宋体" w:hAnsi="宋体"/>
        </w:rPr>
        <w:t xml:space="preserve"> m</w:t>
      </w:r>
      <w:r>
        <w:rPr>
          <w:rFonts w:hint="eastAsia" w:ascii="宋体" w:hAnsi="宋体"/>
          <w:vertAlign w:val="superscript"/>
        </w:rPr>
        <w:t>2</w:t>
      </w:r>
      <w:r>
        <w:rPr>
          <w:rFonts w:hint="eastAsia" w:ascii="宋体" w:hAnsi="宋体"/>
        </w:rPr>
        <w:t>，占总用地面积的比例为：</w:t>
      </w:r>
      <w:r>
        <w:rPr>
          <w:rFonts w:hint="eastAsia" w:ascii="宋体" w:hAnsi="宋体"/>
          <w:u w:val="single"/>
        </w:rPr>
        <w:t xml:space="preserve">       </w:t>
      </w:r>
      <w:r>
        <w:rPr>
          <w:rFonts w:hint="eastAsia" w:ascii="宋体" w:hAnsi="宋体"/>
        </w:rPr>
        <w:t xml:space="preserve"> %</w:t>
      </w:r>
    </w:p>
    <w:p>
      <w:pPr>
        <w:rPr>
          <w:rFonts w:ascii="宋体" w:hAnsi="宋体"/>
        </w:rPr>
      </w:pPr>
      <w:r>
        <w:rPr>
          <w:rFonts w:hint="eastAsia"/>
          <w:sz w:val="28"/>
        </w:rPr>
        <w:sym w:font="Wingdings 2" w:char="F0A3"/>
      </w:r>
      <w:r>
        <w:rPr>
          <w:rFonts w:hint="eastAsia" w:ascii="宋体" w:hAnsi="宋体"/>
        </w:rPr>
        <w:t>室内健身场地，其规模为：</w:t>
      </w:r>
      <w:r>
        <w:rPr>
          <w:rFonts w:hint="eastAsia" w:ascii="宋体" w:hAnsi="宋体"/>
          <w:u w:val="single"/>
        </w:rPr>
        <w:t xml:space="preserve">       </w:t>
      </w:r>
      <w:r>
        <w:rPr>
          <w:rFonts w:hint="eastAsia" w:ascii="宋体" w:hAnsi="宋体"/>
        </w:rPr>
        <w:t xml:space="preserve"> m</w:t>
      </w:r>
      <w:r>
        <w:rPr>
          <w:rFonts w:hint="eastAsia" w:ascii="宋体" w:hAnsi="宋体"/>
          <w:vertAlign w:val="superscript"/>
        </w:rPr>
        <w:t>2</w:t>
      </w:r>
      <w:r>
        <w:rPr>
          <w:rFonts w:hint="eastAsia" w:ascii="宋体" w:hAnsi="宋体"/>
        </w:rPr>
        <w:t>，占地上建筑面积的比例为：</w:t>
      </w:r>
      <w:r>
        <w:rPr>
          <w:rFonts w:hint="eastAsia" w:ascii="宋体" w:hAnsi="宋体"/>
          <w:u w:val="single"/>
        </w:rPr>
        <w:t xml:space="preserve">        </w:t>
      </w:r>
      <w:r>
        <w:rPr>
          <w:rFonts w:hint="eastAsia" w:ascii="宋体" w:hAnsi="宋体"/>
        </w:rPr>
        <w:t xml:space="preserve"> %</w:t>
      </w:r>
    </w:p>
    <w:p>
      <w:pPr>
        <w:rPr>
          <w:rFonts w:ascii="宋体" w:hAnsi="宋体"/>
        </w:rPr>
      </w:pPr>
      <w:r>
        <w:rPr>
          <w:rFonts w:hint="eastAsia"/>
          <w:sz w:val="28"/>
        </w:rPr>
        <w:sym w:font="Wingdings 2" w:char="F0A3"/>
      </w:r>
      <w:r>
        <w:rPr>
          <w:rFonts w:hint="eastAsia" w:ascii="宋体" w:hAnsi="宋体"/>
        </w:rPr>
        <w:t>专用健身慢行道，其设置规模为：长</w:t>
      </w:r>
      <w:r>
        <w:rPr>
          <w:rFonts w:hint="eastAsia" w:ascii="宋体" w:hAnsi="宋体"/>
          <w:u w:val="single"/>
        </w:rPr>
        <w:t xml:space="preserve">      </w:t>
      </w:r>
      <w:r>
        <w:rPr>
          <w:rFonts w:hint="eastAsia" w:ascii="宋体" w:hAnsi="宋体"/>
        </w:rPr>
        <w:t xml:space="preserve"> m，占用地红线周长的比例为：</w:t>
      </w:r>
      <w:r>
        <w:rPr>
          <w:rFonts w:hint="eastAsia" w:ascii="宋体" w:hAnsi="宋体"/>
          <w:u w:val="single"/>
        </w:rPr>
        <w:t xml:space="preserve">      </w:t>
      </w:r>
      <w:r>
        <w:rPr>
          <w:rFonts w:hint="eastAsia" w:ascii="宋体" w:hAnsi="宋体"/>
        </w:rPr>
        <w:t xml:space="preserve"> %</w:t>
      </w:r>
    </w:p>
    <w:p>
      <w:pPr>
        <w:rPr>
          <w:rFonts w:ascii="宋体" w:hAnsi="宋体"/>
        </w:rPr>
      </w:pPr>
      <w:r>
        <w:rPr>
          <w:rFonts w:hint="eastAsia"/>
          <w:sz w:val="28"/>
        </w:rPr>
        <w:sym w:font="Wingdings 2" w:char="F0A3"/>
      </w:r>
      <w:r>
        <w:rPr>
          <w:rFonts w:hint="eastAsia" w:ascii="宋体" w:hAnsi="宋体"/>
        </w:rPr>
        <w:t>其他</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p>
    <w:p>
      <w:pPr>
        <w:rPr>
          <w:rFonts w:ascii="Times New Roman" w:hAnsi="Times New Roman"/>
          <w:szCs w:val="21"/>
        </w:rPr>
      </w:pPr>
      <w:r>
        <w:rPr>
          <w:rFonts w:hint="eastAsia"/>
        </w:rPr>
        <w:t>请简要说明场地内健身场地和空间的设置情况及使用效果（位置、类型、功能等）。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57" w:hRule="atLeast"/>
          <w:jc w:val="center"/>
        </w:trPr>
        <w:tc>
          <w:tcPr>
            <w:tcW w:w="9356" w:type="dxa"/>
            <w:shd w:val="clear" w:color="auto" w:fill="auto"/>
            <w:noWrap w:val="0"/>
            <w:vAlign w:val="top"/>
          </w:tcPr>
          <w:p>
            <w:pPr>
              <w:rPr>
                <w:rFonts w:ascii="宋体" w:hAnsi="宋体"/>
                <w:kern w:val="0"/>
                <w:sz w:val="20"/>
                <w:szCs w:val="21"/>
              </w:rPr>
            </w:pPr>
          </w:p>
        </w:tc>
      </w:tr>
    </w:tbl>
    <w:p>
      <w:pPr>
        <w:rPr>
          <w:lang w:val="zh-CN"/>
        </w:rPr>
      </w:pPr>
      <w:r>
        <w:rPr>
          <w:rFonts w:hint="eastAsia"/>
          <w:lang w:val="zh-CN"/>
        </w:rPr>
        <w:t>项目是否设有楼梯：</w:t>
      </w:r>
      <w:r>
        <w:rPr>
          <w:rFonts w:hint="eastAsia"/>
          <w:sz w:val="28"/>
        </w:rPr>
        <w:sym w:font="Wingdings 2" w:char="F0A3"/>
      </w:r>
      <w:r>
        <w:rPr>
          <w:rFonts w:hint="eastAsia"/>
          <w:lang w:val="zh-CN"/>
        </w:rPr>
        <w:t xml:space="preserve">是 </w:t>
      </w:r>
      <w:r>
        <w:rPr>
          <w:rFonts w:hint="eastAsia"/>
          <w:sz w:val="28"/>
        </w:rPr>
        <w:sym w:font="Wingdings 2" w:char="F0A3"/>
      </w:r>
      <w:r>
        <w:rPr>
          <w:rFonts w:hint="eastAsia"/>
          <w:lang w:val="zh-CN"/>
        </w:rPr>
        <w:t>否</w:t>
      </w:r>
    </w:p>
    <w:p>
      <w:pPr>
        <w:rPr>
          <w:lang w:val="zh-CN"/>
        </w:rPr>
      </w:pPr>
      <w:r>
        <w:rPr>
          <w:rFonts w:hint="eastAsia"/>
          <w:lang w:val="zh-CN"/>
        </w:rPr>
        <w:t>若是，设置位置为：</w:t>
      </w:r>
      <w:r>
        <w:rPr>
          <w:rFonts w:hint="eastAsia"/>
          <w:u w:val="single"/>
          <w:lang w:val="zh-CN"/>
        </w:rPr>
        <w:t xml:space="preserve"> </w:t>
      </w:r>
      <w:r>
        <w:rPr>
          <w:rFonts w:hint="eastAsia" w:ascii="宋体" w:hAnsi="宋体"/>
          <w:u w:val="single"/>
        </w:rPr>
        <w:t xml:space="preserve">     </w:t>
      </w:r>
      <w:r>
        <w:rPr>
          <w:rFonts w:hint="eastAsia"/>
          <w:u w:val="single"/>
          <w:lang w:val="zh-CN"/>
        </w:rPr>
        <w:t xml:space="preserve"> </w:t>
      </w:r>
      <w:r>
        <w:rPr>
          <w:rFonts w:hint="eastAsia"/>
          <w:lang w:val="zh-CN"/>
        </w:rPr>
        <w:t>，是否靠近主出入口：</w:t>
      </w:r>
      <w:r>
        <w:rPr>
          <w:rFonts w:hint="eastAsia"/>
          <w:sz w:val="28"/>
        </w:rPr>
        <w:sym w:font="Wingdings 2" w:char="F0A3"/>
      </w:r>
      <w:r>
        <w:rPr>
          <w:rFonts w:hint="eastAsia"/>
          <w:lang w:val="zh-CN"/>
        </w:rPr>
        <w:t xml:space="preserve">是 </w:t>
      </w:r>
      <w:r>
        <w:rPr>
          <w:rFonts w:hint="eastAsia"/>
          <w:sz w:val="28"/>
        </w:rPr>
        <w:sym w:font="Wingdings 2" w:char="F0A3"/>
      </w:r>
      <w:r>
        <w:rPr>
          <w:rFonts w:hint="eastAsia"/>
        </w:rPr>
        <w:t xml:space="preserve"> </w:t>
      </w:r>
      <w:r>
        <w:rPr>
          <w:rFonts w:hint="eastAsia"/>
          <w:lang w:val="zh-CN"/>
        </w:rPr>
        <w:t xml:space="preserve">否，距离主出入口的距离为： </w:t>
      </w:r>
      <w:r>
        <w:rPr>
          <w:rFonts w:hint="eastAsia" w:ascii="宋体" w:hAnsi="宋体"/>
          <w:u w:val="single"/>
        </w:rPr>
        <w:t xml:space="preserve">100m  </w:t>
      </w:r>
      <w:r>
        <w:rPr>
          <w:rFonts w:hint="eastAsia"/>
          <w:u w:val="single"/>
          <w:lang w:val="zh-CN"/>
        </w:rPr>
        <w:t xml:space="preserve">  </w:t>
      </w:r>
    </w:p>
    <w:p>
      <w:pPr>
        <w:rPr>
          <w:lang w:val="zh-CN"/>
        </w:rPr>
      </w:pPr>
      <w:r>
        <w:rPr>
          <w:rFonts w:hint="eastAsia"/>
          <w:lang w:val="zh-CN"/>
        </w:rPr>
        <w:t>是否具备：</w:t>
      </w:r>
      <w:r>
        <w:rPr>
          <w:rFonts w:hint="eastAsia"/>
          <w:sz w:val="28"/>
        </w:rPr>
        <w:sym w:font="Wingdings 2" w:char="F0A3"/>
      </w:r>
      <w:r>
        <w:rPr>
          <w:rFonts w:hint="eastAsia"/>
          <w:lang w:val="zh-CN"/>
        </w:rPr>
        <w:t xml:space="preserve">自然光充足 </w:t>
      </w:r>
      <w:r>
        <w:rPr>
          <w:rFonts w:hint="eastAsia"/>
          <w:sz w:val="28"/>
        </w:rPr>
        <w:sym w:font="Wingdings 2" w:char="F0A3"/>
      </w:r>
      <w:r>
        <w:rPr>
          <w:rFonts w:hint="eastAsia"/>
          <w:lang w:val="zh-CN"/>
        </w:rPr>
        <w:t xml:space="preserve">良好的视野 </w:t>
      </w:r>
      <w:r>
        <w:rPr>
          <w:rFonts w:hint="eastAsia"/>
          <w:sz w:val="28"/>
        </w:rPr>
        <w:sym w:font="Wingdings 2" w:char="F0A3"/>
      </w:r>
      <w:r>
        <w:rPr>
          <w:rFonts w:hint="eastAsia"/>
          <w:lang w:val="zh-CN"/>
        </w:rPr>
        <w:t>人体感应灯</w:t>
      </w: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1）景观专业竣工图纸及设计说明，应标明室外健身场地和设施布局和健身慢行道线路</w:t>
      </w:r>
      <w:r>
        <w:rPr>
          <w:rFonts w:ascii="Times New Roman" w:hAnsi="Times New Roman"/>
        </w:rPr>
        <w:t>；</w:t>
      </w:r>
    </w:p>
    <w:p>
      <w:pPr>
        <w:rPr>
          <w:rFonts w:ascii="Times New Roman" w:hAnsi="Times New Roman"/>
        </w:rPr>
      </w:pPr>
      <w:r>
        <w:rPr>
          <w:rFonts w:hint="eastAsia" w:ascii="Times New Roman" w:hAnsi="Times New Roman"/>
        </w:rPr>
        <w:t>2）装修竣工图纸及设计说明，应标明室内健身场地和设施布局；</w:t>
      </w:r>
    </w:p>
    <w:p>
      <w:pPr>
        <w:rPr>
          <w:rFonts w:ascii="Times New Roman" w:hAnsi="Times New Roman"/>
        </w:rPr>
      </w:pPr>
      <w:r>
        <w:rPr>
          <w:rFonts w:hint="eastAsia" w:ascii="Times New Roman" w:hAnsi="Times New Roman"/>
        </w:rPr>
        <w:t>3）建筑专业竣工图纸及设计说明，应体现楼梯间的设置位置及照明系统设计内容；</w:t>
      </w:r>
    </w:p>
    <w:p>
      <w:pPr>
        <w:rPr>
          <w:rFonts w:ascii="Times New Roman" w:hAnsi="Times New Roman"/>
        </w:rPr>
      </w:pPr>
      <w:r>
        <w:rPr>
          <w:rFonts w:hint="eastAsia" w:ascii="Times New Roman" w:hAnsi="Times New Roman"/>
        </w:rPr>
        <w:t>4）健身设施的相关产品说明书。</w:t>
      </w:r>
    </w:p>
    <w:p>
      <w:pPr>
        <w:rPr>
          <w:rFonts w:ascii="Times New Roman" w:hAnsi="Times New Roman"/>
        </w:rPr>
      </w:pPr>
    </w:p>
    <w:p>
      <w:pPr>
        <w:widowControl/>
        <w:jc w:val="left"/>
        <w:rPr>
          <w:rFonts w:ascii="Times New Roman" w:hAnsi="Times New Roman"/>
          <w:szCs w:val="21"/>
        </w:rPr>
      </w:pPr>
      <w:r>
        <w:rPr>
          <w:rFonts w:ascii="Times New Roman" w:hAnsi="Times New Roman"/>
          <w:szCs w:val="21"/>
        </w:rPr>
        <w:br w:type="page"/>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6.2.6 设置分类、分级用能自动远传计量系统，且设置能源管理系统实现对建筑能耗的监测、数据分析和管理。（8分）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4961"/>
        <w:gridCol w:w="1701"/>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序号</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评价内容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评价分值</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1</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rPr>
              <w:t>设置分类、分级用能自动远传计量系统，且设置能源管理系统实现对建筑能耗的监测、数据分析和管理</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8</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57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合计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8</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lang w:val="zh-CN"/>
        </w:rPr>
      </w:pPr>
      <w:r>
        <w:rPr>
          <w:rFonts w:hint="eastAsia"/>
        </w:rPr>
        <w:t>以下实行能耗分项计量的部分：</w:t>
      </w:r>
      <w:r>
        <w:rPr>
          <w:rFonts w:hint="eastAsia"/>
          <w:sz w:val="28"/>
        </w:rPr>
        <w:sym w:font="Wingdings 2" w:char="F0A3"/>
      </w:r>
      <w:r>
        <w:rPr>
          <w:rFonts w:hint="eastAsia"/>
          <w:lang w:val="zh-CN"/>
        </w:rPr>
        <w:t>空调冷热源</w:t>
      </w:r>
      <w:r>
        <w:rPr>
          <w:rFonts w:hint="eastAsia"/>
        </w:rPr>
        <w:t xml:space="preserve"> </w:t>
      </w:r>
      <w:r>
        <w:rPr>
          <w:rFonts w:hint="eastAsia"/>
          <w:sz w:val="28"/>
        </w:rPr>
        <w:sym w:font="Wingdings 2" w:char="F0A3"/>
      </w:r>
      <w:r>
        <w:rPr>
          <w:rFonts w:hint="eastAsia"/>
        </w:rPr>
        <w:t xml:space="preserve">输配系统 </w:t>
      </w:r>
      <w:r>
        <w:rPr>
          <w:rFonts w:hint="eastAsia"/>
          <w:sz w:val="28"/>
        </w:rPr>
        <w:sym w:font="Wingdings 2" w:char="F0A3"/>
      </w:r>
      <w:r>
        <w:rPr>
          <w:rFonts w:hint="eastAsia"/>
        </w:rPr>
        <w:t xml:space="preserve">照明插座 </w:t>
      </w:r>
      <w:r>
        <w:rPr>
          <w:rFonts w:hint="eastAsia"/>
          <w:sz w:val="28"/>
        </w:rPr>
        <w:sym w:font="Wingdings 2" w:char="F0A3"/>
      </w:r>
      <w:r>
        <w:rPr>
          <w:rFonts w:hint="eastAsia"/>
        </w:rPr>
        <w:t xml:space="preserve">动力 </w:t>
      </w:r>
      <w:r>
        <w:rPr>
          <w:rFonts w:hint="eastAsia"/>
          <w:sz w:val="28"/>
        </w:rPr>
        <w:sym w:font="Wingdings 2" w:char="F0A3"/>
      </w:r>
      <w:r>
        <w:rPr>
          <w:rFonts w:hint="eastAsia"/>
        </w:rPr>
        <w:t xml:space="preserve">特殊用电 </w:t>
      </w:r>
      <w:r>
        <w:rPr>
          <w:rFonts w:hint="eastAsia"/>
          <w:sz w:val="28"/>
        </w:rPr>
        <w:sym w:font="Wingdings 2" w:char="F0A3"/>
      </w:r>
      <w:r>
        <w:rPr>
          <w:rFonts w:hint="eastAsia"/>
          <w:lang w:val="zh-CN"/>
        </w:rPr>
        <w:t>其他</w:t>
      </w:r>
    </w:p>
    <w:p>
      <w:pPr>
        <w:rPr>
          <w:lang w:val="zh-CN"/>
        </w:rPr>
      </w:pPr>
      <w:r>
        <w:rPr>
          <w:rFonts w:hint="eastAsia"/>
          <w:lang w:val="zh-CN"/>
        </w:rPr>
        <w:t>能源管理系统是否具备建筑能耗进行监测、数据分析及管理功能：</w:t>
      </w:r>
      <w:r>
        <w:rPr>
          <w:rFonts w:hint="eastAsia"/>
          <w:sz w:val="28"/>
        </w:rPr>
        <w:sym w:font="Wingdings 2" w:char="F0A3"/>
      </w:r>
      <w:r>
        <w:rPr>
          <w:rFonts w:hint="eastAsia"/>
          <w:lang w:val="zh-CN"/>
        </w:rPr>
        <w:t>是</w:t>
      </w:r>
      <w:r>
        <w:rPr>
          <w:rFonts w:hint="eastAsia"/>
        </w:rPr>
        <w:t xml:space="preserve"> </w:t>
      </w:r>
      <w:r>
        <w:rPr>
          <w:rFonts w:hint="eastAsia"/>
          <w:sz w:val="28"/>
        </w:rPr>
        <w:sym w:font="Wingdings 2" w:char="F0A3"/>
      </w:r>
      <w:r>
        <w:rPr>
          <w:rFonts w:hint="eastAsia"/>
        </w:rPr>
        <w:t>否</w:t>
      </w:r>
    </w:p>
    <w:p>
      <w:pPr>
        <w:rPr>
          <w:rFonts w:ascii="Times New Roman" w:hAnsi="Times New Roman"/>
          <w:szCs w:val="21"/>
        </w:rPr>
      </w:pPr>
      <w:r>
        <w:rPr>
          <w:rFonts w:hint="eastAsia"/>
        </w:rPr>
        <w:t>请简要说明自动远传计量系统以及能源管理系统的设置、使用情况。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供暖冷热源由热泵机组提供，供暖制冷能耗以电量表计量。</w:t>
            </w:r>
          </w:p>
          <w:p>
            <w:pPr>
              <w:ind w:firstLine="400" w:firstLineChars="200"/>
              <w:rPr>
                <w:rFonts w:ascii="Times New Roman" w:hAnsi="Times New Roman"/>
                <w:kern w:val="0"/>
                <w:sz w:val="20"/>
                <w:szCs w:val="21"/>
              </w:rPr>
            </w:pPr>
            <w:r>
              <w:rPr>
                <w:rFonts w:hint="eastAsia" w:ascii="Times New Roman" w:hAnsi="Times New Roman"/>
                <w:kern w:val="0"/>
                <w:sz w:val="20"/>
                <w:szCs w:val="21"/>
              </w:rPr>
              <w:t>本项目实时监测计量各部能耗。智能仪表按不同功能用电分开计量，主要有空调冷热源、照明插座、动力、特殊用电分开计量。且本项目能耗数据上传到内蒙古自治区能耗监测系统。</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1）电气专业竣工图纸及设计说明，应包括用能系统、自动远传计量系统、能源管理系统、系统配置的设计内容；</w:t>
      </w:r>
    </w:p>
    <w:p>
      <w:pPr>
        <w:rPr>
          <w:rFonts w:ascii="Times New Roman" w:hAnsi="Times New Roman"/>
        </w:rPr>
      </w:pPr>
      <w:r>
        <w:rPr>
          <w:rFonts w:hint="eastAsia" w:ascii="Times New Roman" w:hAnsi="Times New Roman"/>
        </w:rPr>
        <w:t>2）能源系统原理图，应体现数据的传输、存储、分析功能；</w:t>
      </w:r>
    </w:p>
    <w:p>
      <w:pPr>
        <w:rPr>
          <w:rFonts w:ascii="Times New Roman" w:hAnsi="Times New Roman"/>
        </w:rPr>
      </w:pPr>
      <w:r>
        <w:rPr>
          <w:rFonts w:hint="eastAsia" w:ascii="Times New Roman" w:hAnsi="Times New Roman"/>
        </w:rPr>
        <w:t>3）相关产品型式检验报告；</w:t>
      </w:r>
    </w:p>
    <w:p>
      <w:pPr>
        <w:rPr>
          <w:rFonts w:ascii="Times New Roman" w:hAnsi="Times New Roman"/>
        </w:rPr>
      </w:pPr>
      <w:r>
        <w:rPr>
          <w:rFonts w:hint="eastAsia" w:ascii="Times New Roman" w:hAnsi="Times New Roman"/>
        </w:rPr>
        <w:t>4）能源管理系统使用和维护的管理制度、历史检测数据、运行记录。</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6.2.7 设置PM10、PM2.5、CO2浓度的空气质量监测系统，且具有存储至少一年的监测数据和实时显示等功能。（5分）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914"/>
        <w:gridCol w:w="123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816" w:type="dxa"/>
            <w:noWrap w:val="0"/>
            <w:vAlign w:val="center"/>
          </w:tcPr>
          <w:p>
            <w:pPr>
              <w:jc w:val="center"/>
              <w:rPr>
                <w:rFonts w:ascii="Times New Roman" w:hAnsi="Times New Roman"/>
              </w:rPr>
            </w:pPr>
            <w:r>
              <w:rPr>
                <w:rFonts w:ascii="Times New Roman" w:hAnsi="Times New Roman"/>
              </w:rPr>
              <w:t>序号</w:t>
            </w:r>
          </w:p>
        </w:tc>
        <w:tc>
          <w:tcPr>
            <w:tcW w:w="5914" w:type="dxa"/>
            <w:noWrap w:val="0"/>
            <w:vAlign w:val="center"/>
          </w:tcPr>
          <w:p>
            <w:pPr>
              <w:jc w:val="center"/>
              <w:rPr>
                <w:rFonts w:ascii="Times New Roman" w:hAnsi="Times New Roman"/>
              </w:rPr>
            </w:pPr>
            <w:r>
              <w:rPr>
                <w:rFonts w:ascii="Times New Roman" w:hAnsi="Times New Roman"/>
              </w:rPr>
              <w:t>评价内容</w:t>
            </w:r>
          </w:p>
        </w:tc>
        <w:tc>
          <w:tcPr>
            <w:tcW w:w="1236" w:type="dxa"/>
            <w:noWrap w:val="0"/>
            <w:vAlign w:val="center"/>
          </w:tcPr>
          <w:p>
            <w:pPr>
              <w:jc w:val="center"/>
              <w:rPr>
                <w:rFonts w:ascii="Times New Roman" w:hAnsi="Times New Roman"/>
              </w:rPr>
            </w:pPr>
            <w:r>
              <w:rPr>
                <w:rFonts w:ascii="Times New Roman" w:hAnsi="Times New Roman"/>
              </w:rPr>
              <w:t>评价分值</w:t>
            </w:r>
          </w:p>
        </w:tc>
        <w:tc>
          <w:tcPr>
            <w:tcW w:w="1268" w:type="dxa"/>
            <w:noWrap w:val="0"/>
            <w:vAlign w:val="center"/>
          </w:tcPr>
          <w:p>
            <w:pPr>
              <w:jc w:val="center"/>
              <w:rPr>
                <w:rFonts w:ascii="Times New Roman" w:hAnsi="Times New Roman"/>
              </w:rPr>
            </w:pPr>
            <w:r>
              <w:rPr>
                <w:rFonts w:ascii="Times New Roman" w:hAnsi="Times New Roma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816" w:type="dxa"/>
            <w:noWrap w:val="0"/>
            <w:vAlign w:val="center"/>
          </w:tcPr>
          <w:p>
            <w:pPr>
              <w:jc w:val="center"/>
              <w:rPr>
                <w:rFonts w:ascii="Times New Roman" w:hAnsi="Times New Roman"/>
              </w:rPr>
            </w:pPr>
            <w:r>
              <w:rPr>
                <w:rFonts w:ascii="Times New Roman" w:hAnsi="Times New Roman"/>
              </w:rPr>
              <w:t>1</w:t>
            </w:r>
          </w:p>
        </w:tc>
        <w:tc>
          <w:tcPr>
            <w:tcW w:w="5914" w:type="dxa"/>
            <w:noWrap w:val="0"/>
            <w:vAlign w:val="center"/>
          </w:tcPr>
          <w:p>
            <w:pPr>
              <w:rPr>
                <w:rFonts w:ascii="Times New Roman" w:hAnsi="Times New Roman"/>
              </w:rPr>
            </w:pPr>
            <w:r>
              <w:rPr>
                <w:rFonts w:ascii="Times New Roman" w:hAnsi="Times New Roman"/>
              </w:rPr>
              <w:t>设置PM</w:t>
            </w:r>
            <w:r>
              <w:rPr>
                <w:rFonts w:ascii="Times New Roman" w:hAnsi="Times New Roman"/>
                <w:vertAlign w:val="subscript"/>
              </w:rPr>
              <w:t>10</w:t>
            </w:r>
            <w:r>
              <w:rPr>
                <w:rFonts w:ascii="Times New Roman" w:hAnsi="Times New Roman"/>
              </w:rPr>
              <w:t>、PM</w:t>
            </w:r>
            <w:r>
              <w:rPr>
                <w:rFonts w:ascii="Times New Roman" w:hAnsi="Times New Roman"/>
                <w:vertAlign w:val="subscript"/>
              </w:rPr>
              <w:t>2.5</w:t>
            </w:r>
            <w:r>
              <w:rPr>
                <w:rFonts w:ascii="Times New Roman" w:hAnsi="Times New Roman"/>
              </w:rPr>
              <w:t>、CO</w:t>
            </w:r>
            <w:r>
              <w:rPr>
                <w:rFonts w:ascii="Times New Roman" w:hAnsi="Times New Roman"/>
                <w:vertAlign w:val="subscript"/>
              </w:rPr>
              <w:t>2</w:t>
            </w:r>
            <w:r>
              <w:rPr>
                <w:rFonts w:ascii="Times New Roman" w:hAnsi="Times New Roman"/>
              </w:rPr>
              <w:t>浓度的空气质量监测系统，且具有存储至少一年的监测数据和实时显示等功能</w:t>
            </w:r>
          </w:p>
        </w:tc>
        <w:tc>
          <w:tcPr>
            <w:tcW w:w="1236" w:type="dxa"/>
            <w:noWrap w:val="0"/>
            <w:vAlign w:val="center"/>
          </w:tcPr>
          <w:p>
            <w:pPr>
              <w:jc w:val="center"/>
              <w:rPr>
                <w:rFonts w:ascii="Times New Roman" w:hAnsi="Times New Roman"/>
              </w:rPr>
            </w:pPr>
            <w:r>
              <w:rPr>
                <w:rFonts w:ascii="Times New Roman" w:hAnsi="Times New Roman"/>
              </w:rPr>
              <w:t>5</w:t>
            </w:r>
          </w:p>
        </w:tc>
        <w:tc>
          <w:tcPr>
            <w:tcW w:w="1268"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816" w:type="dxa"/>
            <w:shd w:val="clear" w:color="auto" w:fill="auto"/>
            <w:noWrap w:val="0"/>
            <w:vAlign w:val="center"/>
          </w:tcPr>
          <w:p>
            <w:pPr>
              <w:jc w:val="center"/>
              <w:rPr>
                <w:rFonts w:ascii="Times New Roman" w:hAnsi="Times New Roman"/>
              </w:rPr>
            </w:pPr>
            <w:r>
              <w:rPr>
                <w:rFonts w:ascii="Times New Roman" w:hAnsi="Times New Roman"/>
              </w:rPr>
              <w:t>合计</w:t>
            </w:r>
          </w:p>
        </w:tc>
        <w:tc>
          <w:tcPr>
            <w:tcW w:w="5914" w:type="dxa"/>
            <w:shd w:val="clear" w:color="auto" w:fill="auto"/>
            <w:noWrap w:val="0"/>
            <w:vAlign w:val="center"/>
          </w:tcPr>
          <w:p>
            <w:pPr>
              <w:jc w:val="center"/>
              <w:rPr>
                <w:rFonts w:ascii="Times New Roman" w:hAnsi="Times New Roman"/>
              </w:rPr>
            </w:pPr>
            <w:r>
              <w:rPr>
                <w:rFonts w:ascii="Times New Roman" w:hAnsi="Times New Roman"/>
              </w:rPr>
              <w:t>5</w:t>
            </w:r>
          </w:p>
        </w:tc>
        <w:tc>
          <w:tcPr>
            <w:tcW w:w="1236" w:type="dxa"/>
            <w:shd w:val="clear" w:color="auto" w:fill="auto"/>
            <w:noWrap w:val="0"/>
            <w:vAlign w:val="center"/>
          </w:tcPr>
          <w:p>
            <w:pPr>
              <w:jc w:val="center"/>
              <w:rPr>
                <w:rFonts w:ascii="Times New Roman" w:hAnsi="Times New Roman"/>
              </w:rPr>
            </w:pPr>
            <w:r>
              <w:rPr>
                <w:rFonts w:ascii="Times New Roman" w:hAnsi="Times New Roman"/>
                <w:szCs w:val="21"/>
              </w:rPr>
              <w:t>5</w:t>
            </w:r>
          </w:p>
        </w:tc>
        <w:tc>
          <w:tcPr>
            <w:tcW w:w="1268" w:type="dxa"/>
            <w:shd w:val="clear" w:color="auto" w:fill="auto"/>
            <w:noWrap w:val="0"/>
            <w:vAlign w:val="center"/>
          </w:tcPr>
          <w:p>
            <w:pPr>
              <w:widowControl/>
              <w:jc w:val="center"/>
              <w:rPr>
                <w:rFonts w:ascii="Times New Roman" w:hAnsi="Times New Roma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设置的室内空气质量监控系统：</w:t>
      </w:r>
      <w:r>
        <w:rPr>
          <w:rFonts w:hint="eastAsia"/>
          <w:sz w:val="28"/>
        </w:rPr>
        <w:sym w:font="Wingdings 2" w:char="F0A3"/>
      </w:r>
      <w:r>
        <w:rPr>
          <w:rFonts w:hint="eastAsia"/>
        </w:rPr>
        <w:t xml:space="preserve"> PM</w:t>
      </w:r>
      <w:r>
        <w:rPr>
          <w:rFonts w:hint="eastAsia"/>
          <w:vertAlign w:val="subscript"/>
        </w:rPr>
        <w:t>10</w:t>
      </w:r>
      <w:r>
        <w:rPr>
          <w:rFonts w:hint="eastAsia"/>
        </w:rPr>
        <w:t xml:space="preserve"> </w:t>
      </w:r>
      <w:r>
        <w:rPr>
          <w:rFonts w:hint="eastAsia"/>
          <w:sz w:val="28"/>
        </w:rPr>
        <w:sym w:font="Wingdings 2" w:char="F0A3"/>
      </w:r>
      <w:r>
        <w:rPr>
          <w:rFonts w:hint="eastAsia"/>
        </w:rPr>
        <w:t xml:space="preserve"> PM</w:t>
      </w:r>
      <w:r>
        <w:rPr>
          <w:rFonts w:hint="eastAsia"/>
          <w:vertAlign w:val="subscript"/>
        </w:rPr>
        <w:t>2.5</w:t>
      </w:r>
      <w:r>
        <w:rPr>
          <w:rFonts w:hint="eastAsia"/>
        </w:rPr>
        <w:t xml:space="preserve"> </w:t>
      </w:r>
      <w:r>
        <w:rPr>
          <w:rFonts w:hint="eastAsia"/>
          <w:sz w:val="28"/>
        </w:rPr>
        <w:sym w:font="Wingdings 2" w:char="F0A3"/>
      </w:r>
      <w:r>
        <w:rPr>
          <w:rFonts w:hint="eastAsia"/>
        </w:rPr>
        <w:t xml:space="preserve"> CO</w:t>
      </w:r>
      <w:r>
        <w:rPr>
          <w:rFonts w:hint="eastAsia"/>
          <w:vertAlign w:val="subscript"/>
        </w:rPr>
        <w:t>2</w:t>
      </w:r>
      <w:r>
        <w:rPr>
          <w:rFonts w:hint="eastAsia"/>
        </w:rPr>
        <w:t xml:space="preserve"> </w:t>
      </w:r>
      <w:r>
        <w:rPr>
          <w:rFonts w:hint="eastAsia"/>
          <w:sz w:val="28"/>
        </w:rPr>
        <w:sym w:font="Wingdings 2" w:char="F0A3"/>
      </w:r>
      <w:r>
        <w:rPr>
          <w:rFonts w:hint="eastAsia"/>
        </w:rPr>
        <w:t>其他</w:t>
      </w:r>
      <w:r>
        <w:rPr>
          <w:rFonts w:hint="eastAsia"/>
          <w:u w:val="single"/>
        </w:rPr>
        <w:t xml:space="preserve">        </w:t>
      </w:r>
    </w:p>
    <w:p>
      <w:r>
        <w:rPr>
          <w:rFonts w:hint="eastAsia"/>
        </w:rPr>
        <w:t>监控系统能够实现：</w:t>
      </w:r>
      <w:r>
        <w:rPr>
          <w:rFonts w:hint="eastAsia"/>
          <w:sz w:val="28"/>
        </w:rPr>
        <w:sym w:font="Wingdings 2" w:char="F0A3"/>
      </w:r>
      <w:r>
        <w:rPr>
          <w:rFonts w:hint="eastAsia"/>
        </w:rPr>
        <w:t xml:space="preserve">连续测量 </w:t>
      </w:r>
      <w:r>
        <w:rPr>
          <w:rFonts w:hint="eastAsia"/>
          <w:sz w:val="28"/>
        </w:rPr>
        <w:sym w:font="Wingdings 2" w:char="F0A3"/>
      </w:r>
      <w:r>
        <w:rPr>
          <w:rFonts w:hint="eastAsia"/>
        </w:rPr>
        <w:t xml:space="preserve">显示 </w:t>
      </w:r>
      <w:r>
        <w:rPr>
          <w:rFonts w:hint="eastAsia"/>
          <w:sz w:val="28"/>
        </w:rPr>
        <w:sym w:font="Wingdings 2" w:char="F0A3"/>
      </w:r>
      <w:r>
        <w:rPr>
          <w:rFonts w:hint="eastAsia"/>
        </w:rPr>
        <w:t xml:space="preserve">记录 </w:t>
      </w:r>
      <w:r>
        <w:rPr>
          <w:rFonts w:hint="eastAsia"/>
          <w:sz w:val="28"/>
        </w:rPr>
        <w:sym w:font="Wingdings 2" w:char="F0A3"/>
      </w:r>
      <w:r>
        <w:rPr>
          <w:rFonts w:hint="eastAsia"/>
        </w:rPr>
        <w:t xml:space="preserve">数据传输 </w:t>
      </w:r>
      <w:r>
        <w:rPr>
          <w:rFonts w:hint="eastAsia"/>
          <w:sz w:val="28"/>
        </w:rPr>
        <w:sym w:font="Wingdings 2" w:char="F0A3"/>
      </w:r>
      <w:r>
        <w:rPr>
          <w:rFonts w:hint="eastAsia"/>
        </w:rPr>
        <w:t>其他</w:t>
      </w:r>
      <w:r>
        <w:rPr>
          <w:rFonts w:hint="eastAsia"/>
          <w:u w:val="single"/>
        </w:rPr>
        <w:t xml:space="preserve">       </w:t>
      </w:r>
    </w:p>
    <w:p>
      <w:r>
        <w:rPr>
          <w:rFonts w:hint="eastAsia"/>
        </w:rPr>
        <w:t>监控系统对污染物浓度的读数时间间隔为：</w:t>
      </w:r>
      <w:r>
        <w:rPr>
          <w:rFonts w:hint="eastAsia"/>
          <w:u w:val="single"/>
        </w:rPr>
        <w:t xml:space="preserve">  </w:t>
      </w:r>
    </w:p>
    <w:p>
      <w:pPr>
        <w:rPr>
          <w:rFonts w:ascii="Times New Roman" w:hAnsi="Times New Roman"/>
          <w:szCs w:val="21"/>
        </w:rPr>
      </w:pPr>
      <w:r>
        <w:rPr>
          <w:rFonts w:hint="eastAsia"/>
        </w:rPr>
        <w:t>请简要说明室内空气质量监控系统设置情况及控制策略。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室内新风除霾空调一体机上有空气参数显示面板，当空气参数超标时进行预警，并联动新风机进行空气处理。</w:t>
            </w:r>
          </w:p>
          <w:p>
            <w:pPr>
              <w:ind w:firstLine="400" w:firstLineChars="200"/>
              <w:rPr>
                <w:rFonts w:ascii="Times New Roman" w:hAnsi="Times New Roman"/>
                <w:kern w:val="0"/>
                <w:sz w:val="20"/>
                <w:szCs w:val="21"/>
              </w:rPr>
            </w:pPr>
            <w:r>
              <w:rPr>
                <w:rFonts w:hint="eastAsia" w:ascii="Times New Roman" w:hAnsi="Times New Roman"/>
                <w:kern w:val="0"/>
                <w:sz w:val="20"/>
                <w:szCs w:val="21"/>
              </w:rPr>
              <w:t>采用窗式新风机，可实时监控室内污染物浓度，如甲醛，二氧化碳，PM2.5，实现污染物超标联动新风，报警。</w:t>
            </w:r>
          </w:p>
          <w:p>
            <w:pPr>
              <w:ind w:firstLine="400" w:firstLineChars="200"/>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1）电气专业竣工图及设计说明，应包括监测系统的系统设置及说明、监测点位图、系统功能说明；</w:t>
      </w:r>
    </w:p>
    <w:p>
      <w:pPr>
        <w:rPr>
          <w:rFonts w:ascii="Times New Roman" w:hAnsi="Times New Roman"/>
        </w:rPr>
      </w:pPr>
      <w:r>
        <w:rPr>
          <w:rFonts w:hint="eastAsia" w:ascii="Times New Roman" w:hAnsi="Times New Roman"/>
        </w:rPr>
        <w:t>2）相关产品型式检验报告；</w:t>
      </w:r>
    </w:p>
    <w:p>
      <w:pPr>
        <w:rPr>
          <w:rFonts w:ascii="Times New Roman" w:hAnsi="Times New Roman"/>
        </w:rPr>
      </w:pPr>
      <w:r>
        <w:rPr>
          <w:rFonts w:hint="eastAsia" w:ascii="Times New Roman" w:hAnsi="Times New Roman"/>
        </w:rPr>
        <w:t>3）能源管理系统使用和维护的管理制度、历史检测数据、运行记录。</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6.2.8设置用水远传计量系统、水质在线监测系统。（7分）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96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816" w:type="dxa"/>
            <w:noWrap w:val="0"/>
            <w:vAlign w:val="center"/>
          </w:tcPr>
          <w:p>
            <w:pPr>
              <w:jc w:val="center"/>
              <w:rPr>
                <w:rFonts w:ascii="Times New Roman" w:hAnsi="Times New Roman"/>
                <w:lang w:val="zh-CN"/>
              </w:rPr>
            </w:pPr>
            <w:r>
              <w:rPr>
                <w:rFonts w:ascii="Times New Roman" w:hAnsi="Times New Roman"/>
                <w:lang w:val="zh-CN"/>
              </w:rPr>
              <w:t>序号</w:t>
            </w:r>
          </w:p>
        </w:tc>
        <w:tc>
          <w:tcPr>
            <w:tcW w:w="4961" w:type="dxa"/>
            <w:noWrap w:val="0"/>
            <w:vAlign w:val="center"/>
          </w:tcPr>
          <w:p>
            <w:pPr>
              <w:jc w:val="center"/>
              <w:rPr>
                <w:rFonts w:ascii="Times New Roman" w:hAnsi="Times New Roman"/>
                <w:lang w:val="zh-CN"/>
              </w:rPr>
            </w:pPr>
            <w:r>
              <w:rPr>
                <w:rFonts w:ascii="Times New Roman" w:hAnsi="Times New Roman"/>
                <w:lang w:val="zh-CN"/>
              </w:rPr>
              <w:t>评价内容</w:t>
            </w:r>
          </w:p>
        </w:tc>
        <w:tc>
          <w:tcPr>
            <w:tcW w:w="1843" w:type="dxa"/>
            <w:noWrap w:val="0"/>
            <w:vAlign w:val="center"/>
          </w:tcPr>
          <w:p>
            <w:pPr>
              <w:jc w:val="center"/>
              <w:rPr>
                <w:rFonts w:ascii="Times New Roman" w:hAnsi="Times New Roman"/>
                <w:lang w:val="zh-CN"/>
              </w:rPr>
            </w:pPr>
            <w:r>
              <w:rPr>
                <w:rFonts w:ascii="Times New Roman" w:hAnsi="Times New Roman"/>
                <w:lang w:val="zh-CN"/>
              </w:rPr>
              <w:t>评价分值</w:t>
            </w:r>
          </w:p>
        </w:tc>
        <w:tc>
          <w:tcPr>
            <w:tcW w:w="1559"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16" w:type="dxa"/>
            <w:noWrap w:val="0"/>
            <w:vAlign w:val="center"/>
          </w:tcPr>
          <w:p>
            <w:pPr>
              <w:jc w:val="center"/>
              <w:rPr>
                <w:rFonts w:ascii="Times New Roman" w:hAnsi="Times New Roman"/>
              </w:rPr>
            </w:pPr>
            <w:r>
              <w:rPr>
                <w:rFonts w:ascii="Times New Roman" w:hAnsi="Times New Roman"/>
              </w:rPr>
              <w:t>1</w:t>
            </w:r>
          </w:p>
        </w:tc>
        <w:tc>
          <w:tcPr>
            <w:tcW w:w="4961" w:type="dxa"/>
            <w:noWrap w:val="0"/>
            <w:vAlign w:val="center"/>
          </w:tcPr>
          <w:p>
            <w:pPr>
              <w:rPr>
                <w:rFonts w:ascii="Times New Roman" w:hAnsi="Times New Roman"/>
              </w:rPr>
            </w:pPr>
            <w:r>
              <w:rPr>
                <w:rFonts w:ascii="Times New Roman" w:hAnsi="Times New Roman"/>
              </w:rPr>
              <w:t>设置用水远传计量系统，能分类、分级记录、统计分析各种用水情况</w:t>
            </w:r>
          </w:p>
        </w:tc>
        <w:tc>
          <w:tcPr>
            <w:tcW w:w="1843" w:type="dxa"/>
            <w:noWrap w:val="0"/>
            <w:vAlign w:val="center"/>
          </w:tcPr>
          <w:p>
            <w:pPr>
              <w:jc w:val="center"/>
              <w:rPr>
                <w:rFonts w:ascii="Times New Roman" w:hAnsi="Times New Roman"/>
              </w:rPr>
            </w:pPr>
            <w:r>
              <w:rPr>
                <w:rFonts w:ascii="Times New Roman" w:hAnsi="Times New Roman"/>
              </w:rPr>
              <w:t>3</w:t>
            </w:r>
          </w:p>
        </w:tc>
        <w:tc>
          <w:tcPr>
            <w:tcW w:w="155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16" w:type="dxa"/>
            <w:noWrap w:val="0"/>
            <w:vAlign w:val="center"/>
          </w:tcPr>
          <w:p>
            <w:pPr>
              <w:jc w:val="center"/>
              <w:rPr>
                <w:rFonts w:ascii="Times New Roman" w:hAnsi="Times New Roman"/>
              </w:rPr>
            </w:pPr>
            <w:r>
              <w:rPr>
                <w:rFonts w:ascii="Times New Roman" w:hAnsi="Times New Roman"/>
              </w:rPr>
              <w:t>2</w:t>
            </w:r>
          </w:p>
        </w:tc>
        <w:tc>
          <w:tcPr>
            <w:tcW w:w="4961" w:type="dxa"/>
            <w:noWrap w:val="0"/>
            <w:vAlign w:val="center"/>
          </w:tcPr>
          <w:p>
            <w:pPr>
              <w:rPr>
                <w:rFonts w:ascii="Times New Roman" w:hAnsi="Times New Roman"/>
              </w:rPr>
            </w:pPr>
            <w:r>
              <w:rPr>
                <w:rFonts w:ascii="Times New Roman" w:hAnsi="Times New Roman"/>
              </w:rPr>
              <w:t>利用计量数据进行管网漏损自动监测、分析与整改，管道漏损率低于5%</w:t>
            </w:r>
          </w:p>
        </w:tc>
        <w:tc>
          <w:tcPr>
            <w:tcW w:w="1843" w:type="dxa"/>
            <w:noWrap w:val="0"/>
            <w:vAlign w:val="center"/>
          </w:tcPr>
          <w:p>
            <w:pPr>
              <w:jc w:val="center"/>
              <w:rPr>
                <w:rFonts w:ascii="Times New Roman" w:hAnsi="Times New Roman"/>
              </w:rPr>
            </w:pPr>
            <w:r>
              <w:rPr>
                <w:rFonts w:ascii="Times New Roman" w:hAnsi="Times New Roman"/>
              </w:rPr>
              <w:t>2</w:t>
            </w:r>
          </w:p>
        </w:tc>
        <w:tc>
          <w:tcPr>
            <w:tcW w:w="155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9" w:hRule="atLeast"/>
          <w:jc w:val="center"/>
        </w:trPr>
        <w:tc>
          <w:tcPr>
            <w:tcW w:w="816" w:type="dxa"/>
            <w:noWrap w:val="0"/>
            <w:vAlign w:val="center"/>
          </w:tcPr>
          <w:p>
            <w:pPr>
              <w:jc w:val="center"/>
              <w:rPr>
                <w:rFonts w:ascii="Times New Roman" w:hAnsi="Times New Roman"/>
              </w:rPr>
            </w:pPr>
            <w:r>
              <w:rPr>
                <w:rFonts w:ascii="Times New Roman" w:hAnsi="Times New Roman"/>
              </w:rPr>
              <w:t>3</w:t>
            </w:r>
          </w:p>
        </w:tc>
        <w:tc>
          <w:tcPr>
            <w:tcW w:w="4961" w:type="dxa"/>
            <w:noWrap w:val="0"/>
            <w:vAlign w:val="center"/>
          </w:tcPr>
          <w:p>
            <w:pPr>
              <w:rPr>
                <w:rFonts w:ascii="Times New Roman" w:hAnsi="Times New Roman"/>
                <w:kern w:val="0"/>
              </w:rPr>
            </w:pPr>
            <w:r>
              <w:rPr>
                <w:rFonts w:ascii="Times New Roman" w:hAnsi="Times New Roman"/>
                <w:kern w:val="0"/>
              </w:rPr>
              <w:t>设置水质在线监测系统，监测生活饮用水、管道直饮水、游泳池水、非传统水源、空调冷却水的水质指标，记录并保存水质监测结果，且能随时供用户查询</w:t>
            </w:r>
          </w:p>
        </w:tc>
        <w:tc>
          <w:tcPr>
            <w:tcW w:w="1843" w:type="dxa"/>
            <w:noWrap w:val="0"/>
            <w:vAlign w:val="center"/>
          </w:tcPr>
          <w:p>
            <w:pPr>
              <w:jc w:val="center"/>
              <w:rPr>
                <w:rFonts w:ascii="Times New Roman" w:hAnsi="Times New Roman"/>
              </w:rPr>
            </w:pPr>
            <w:r>
              <w:rPr>
                <w:rFonts w:ascii="Times New Roman" w:hAnsi="Times New Roman"/>
              </w:rPr>
              <w:t>2</w:t>
            </w:r>
          </w:p>
        </w:tc>
        <w:tc>
          <w:tcPr>
            <w:tcW w:w="1559"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777" w:type="dxa"/>
            <w:gridSpan w:val="2"/>
            <w:noWrap w:val="0"/>
            <w:vAlign w:val="top"/>
          </w:tcPr>
          <w:p>
            <w:pPr>
              <w:jc w:val="center"/>
              <w:rPr>
                <w:rFonts w:ascii="Times New Roman" w:hAnsi="Times New Roman"/>
              </w:rPr>
            </w:pPr>
            <w:r>
              <w:rPr>
                <w:rFonts w:ascii="Times New Roman" w:hAnsi="Times New Roman"/>
              </w:rPr>
              <w:t>合计</w:t>
            </w:r>
          </w:p>
        </w:tc>
        <w:tc>
          <w:tcPr>
            <w:tcW w:w="1843" w:type="dxa"/>
            <w:noWrap w:val="0"/>
            <w:vAlign w:val="center"/>
          </w:tcPr>
          <w:p>
            <w:pPr>
              <w:jc w:val="center"/>
              <w:rPr>
                <w:rFonts w:ascii="Times New Roman" w:hAnsi="Times New Roman"/>
              </w:rPr>
            </w:pPr>
            <w:r>
              <w:rPr>
                <w:rFonts w:ascii="Times New Roman" w:hAnsi="Times New Roman"/>
              </w:rPr>
              <w:t>7</w:t>
            </w:r>
          </w:p>
        </w:tc>
        <w:tc>
          <w:tcPr>
            <w:tcW w:w="1559"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是否分用途设置用水计量表：</w:t>
      </w:r>
      <w:r>
        <w:rPr>
          <w:rFonts w:hint="eastAsia"/>
          <w:sz w:val="28"/>
        </w:rPr>
        <w:sym w:font="Wingdings 2" w:char="F0A3"/>
      </w:r>
      <w:r>
        <w:rPr>
          <w:rFonts w:hint="eastAsia"/>
          <w:lang w:val="zh-CN"/>
        </w:rPr>
        <w:t>是</w:t>
      </w:r>
      <w:r>
        <w:rPr>
          <w:rFonts w:hint="eastAsia"/>
        </w:rPr>
        <w:t xml:space="preserve"> </w:t>
      </w:r>
      <w:r>
        <w:rPr>
          <w:rFonts w:hint="eastAsia"/>
          <w:sz w:val="28"/>
        </w:rPr>
        <w:sym w:font="Wingdings 2" w:char="F0A3"/>
      </w:r>
      <w:r>
        <w:rPr>
          <w:rFonts w:hint="eastAsia"/>
        </w:rPr>
        <w:t>否</w:t>
      </w:r>
    </w:p>
    <w:p>
      <w:r>
        <w:rPr>
          <w:rFonts w:hint="eastAsia"/>
        </w:rPr>
        <w:t>是否采用远传计量系统：</w:t>
      </w:r>
      <w:r>
        <w:rPr>
          <w:rFonts w:hint="eastAsia"/>
          <w:sz w:val="28"/>
        </w:rPr>
        <w:sym w:font="Wingdings 2" w:char="F0A3"/>
      </w:r>
      <w:r>
        <w:rPr>
          <w:rFonts w:hint="eastAsia"/>
          <w:lang w:val="zh-CN"/>
        </w:rPr>
        <w:t>是</w:t>
      </w:r>
      <w:r>
        <w:rPr>
          <w:rFonts w:hint="eastAsia"/>
        </w:rPr>
        <w:t xml:space="preserve"> </w:t>
      </w:r>
      <w:r>
        <w:rPr>
          <w:rFonts w:hint="eastAsia"/>
          <w:sz w:val="28"/>
        </w:rPr>
        <w:sym w:font="Wingdings 2" w:char="F0A3"/>
      </w:r>
      <w:r>
        <w:rPr>
          <w:rFonts w:hint="eastAsia"/>
        </w:rPr>
        <w:t>否</w:t>
      </w:r>
    </w:p>
    <w:p>
      <w:r>
        <w:rPr>
          <w:rFonts w:hint="eastAsia"/>
        </w:rPr>
        <w:t>是否能够分类、分级记录、统计分析各种用水情况：</w:t>
      </w:r>
      <w:r>
        <w:rPr>
          <w:rFonts w:hint="eastAsia" w:ascii="MS Gothic" w:hAnsi="MS Gothic" w:eastAsia="MS Gothic"/>
        </w:rPr>
        <w:t>☐</w:t>
      </w:r>
      <w:r>
        <w:rPr>
          <w:rFonts w:hint="eastAsia"/>
          <w:lang w:val="zh-CN"/>
        </w:rPr>
        <w:t>是</w:t>
      </w:r>
      <w:r>
        <w:rPr>
          <w:rFonts w:hint="eastAsia"/>
        </w:rPr>
        <w:t xml:space="preserve"> </w:t>
      </w:r>
      <w:r>
        <w:rPr>
          <w:rFonts w:hint="eastAsia" w:ascii="MS Gothic" w:hAnsi="MS Gothic" w:eastAsia="MS Gothic"/>
        </w:rPr>
        <w:t>☐</w:t>
      </w:r>
      <w:r>
        <w:rPr>
          <w:rFonts w:hint="eastAsia"/>
        </w:rPr>
        <w:t>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3213"/>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8" w:type="dxa"/>
            <w:shd w:val="clear" w:color="auto" w:fill="auto"/>
            <w:noWrap w:val="0"/>
            <w:vAlign w:val="center"/>
          </w:tcPr>
          <w:p>
            <w:pPr>
              <w:jc w:val="center"/>
            </w:pPr>
            <w:r>
              <w:rPr>
                <w:rFonts w:hint="eastAsia"/>
              </w:rPr>
              <w:t>水表编号</w:t>
            </w:r>
          </w:p>
        </w:tc>
        <w:tc>
          <w:tcPr>
            <w:tcW w:w="3213" w:type="dxa"/>
            <w:shd w:val="clear" w:color="auto" w:fill="auto"/>
            <w:noWrap w:val="0"/>
            <w:vAlign w:val="center"/>
          </w:tcPr>
          <w:p>
            <w:pPr>
              <w:jc w:val="center"/>
            </w:pPr>
            <w:r>
              <w:rPr>
                <w:rFonts w:hint="eastAsia"/>
              </w:rPr>
              <w:t>用途</w:t>
            </w:r>
          </w:p>
        </w:tc>
        <w:tc>
          <w:tcPr>
            <w:tcW w:w="3125" w:type="dxa"/>
            <w:shd w:val="clear" w:color="auto" w:fill="auto"/>
            <w:noWrap w:val="0"/>
            <w:vAlign w:val="center"/>
          </w:tcPr>
          <w:p>
            <w:pPr>
              <w:jc w:val="center"/>
            </w:pPr>
            <w:r>
              <w:rPr>
                <w:rFonts w:hint="eastAsia"/>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8" w:type="dxa"/>
            <w:shd w:val="clear" w:color="auto" w:fill="auto"/>
            <w:noWrap w:val="0"/>
            <w:vAlign w:val="top"/>
          </w:tcPr>
          <w:p>
            <w:pPr>
              <w:jc w:val="center"/>
            </w:pPr>
            <w:r>
              <w:rPr>
                <w:rFonts w:hint="eastAsia" w:ascii="Times New Roman" w:hAnsi="Times New Roman"/>
                <w:szCs w:val="21"/>
              </w:rPr>
              <w:t xml:space="preserve">  </w:t>
            </w:r>
          </w:p>
        </w:tc>
        <w:tc>
          <w:tcPr>
            <w:tcW w:w="3213" w:type="dxa"/>
            <w:shd w:val="clear" w:color="auto" w:fill="auto"/>
            <w:noWrap w:val="0"/>
            <w:vAlign w:val="top"/>
          </w:tcPr>
          <w:p>
            <w:pPr>
              <w:jc w:val="center"/>
            </w:pPr>
            <w:r>
              <w:rPr>
                <w:rFonts w:hint="eastAsia" w:ascii="Times New Roman" w:hAnsi="Times New Roman"/>
                <w:szCs w:val="21"/>
              </w:rPr>
              <w:t xml:space="preserve">  </w:t>
            </w:r>
          </w:p>
        </w:tc>
        <w:tc>
          <w:tcPr>
            <w:tcW w:w="3125" w:type="dxa"/>
            <w:shd w:val="clear" w:color="auto" w:fill="auto"/>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8" w:type="dxa"/>
            <w:shd w:val="clear" w:color="auto" w:fill="auto"/>
            <w:noWrap w:val="0"/>
            <w:vAlign w:val="top"/>
          </w:tcPr>
          <w:p>
            <w:pPr>
              <w:jc w:val="center"/>
            </w:pPr>
            <w:r>
              <w:rPr>
                <w:rFonts w:hint="eastAsia" w:ascii="Times New Roman" w:hAnsi="Times New Roman"/>
                <w:szCs w:val="21"/>
              </w:rPr>
              <w:t xml:space="preserve">  </w:t>
            </w:r>
          </w:p>
        </w:tc>
        <w:tc>
          <w:tcPr>
            <w:tcW w:w="3213" w:type="dxa"/>
            <w:shd w:val="clear" w:color="auto" w:fill="auto"/>
            <w:noWrap w:val="0"/>
            <w:vAlign w:val="top"/>
          </w:tcPr>
          <w:p>
            <w:pPr>
              <w:jc w:val="center"/>
            </w:pPr>
            <w:r>
              <w:rPr>
                <w:rFonts w:hint="eastAsia" w:ascii="Times New Roman" w:hAnsi="Times New Roman"/>
                <w:szCs w:val="21"/>
              </w:rPr>
              <w:t xml:space="preserve">  </w:t>
            </w:r>
          </w:p>
        </w:tc>
        <w:tc>
          <w:tcPr>
            <w:tcW w:w="3125" w:type="dxa"/>
            <w:shd w:val="clear" w:color="auto" w:fill="auto"/>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8" w:type="dxa"/>
            <w:shd w:val="clear" w:color="auto" w:fill="auto"/>
            <w:noWrap w:val="0"/>
            <w:vAlign w:val="top"/>
          </w:tcPr>
          <w:p>
            <w:pPr>
              <w:jc w:val="center"/>
            </w:pPr>
            <w:r>
              <w:rPr>
                <w:rFonts w:hint="eastAsia" w:ascii="Times New Roman" w:hAnsi="Times New Roman"/>
                <w:szCs w:val="21"/>
              </w:rPr>
              <w:t xml:space="preserve">  </w:t>
            </w:r>
          </w:p>
        </w:tc>
        <w:tc>
          <w:tcPr>
            <w:tcW w:w="3213" w:type="dxa"/>
            <w:shd w:val="clear" w:color="auto" w:fill="auto"/>
            <w:noWrap w:val="0"/>
            <w:vAlign w:val="top"/>
          </w:tcPr>
          <w:p>
            <w:pPr>
              <w:jc w:val="center"/>
            </w:pPr>
            <w:r>
              <w:rPr>
                <w:rFonts w:hint="eastAsia" w:ascii="Times New Roman" w:hAnsi="Times New Roman"/>
                <w:szCs w:val="21"/>
              </w:rPr>
              <w:t xml:space="preserve">  </w:t>
            </w:r>
          </w:p>
        </w:tc>
        <w:tc>
          <w:tcPr>
            <w:tcW w:w="3125" w:type="dxa"/>
            <w:shd w:val="clear" w:color="auto" w:fill="auto"/>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8" w:type="dxa"/>
            <w:shd w:val="clear" w:color="auto" w:fill="auto"/>
            <w:noWrap w:val="0"/>
            <w:vAlign w:val="top"/>
          </w:tcPr>
          <w:p>
            <w:pPr>
              <w:jc w:val="center"/>
            </w:pPr>
            <w:r>
              <w:rPr>
                <w:rFonts w:hint="eastAsia" w:ascii="Times New Roman" w:hAnsi="Times New Roman"/>
                <w:szCs w:val="21"/>
              </w:rPr>
              <w:t xml:space="preserve">  </w:t>
            </w:r>
          </w:p>
        </w:tc>
        <w:tc>
          <w:tcPr>
            <w:tcW w:w="3213" w:type="dxa"/>
            <w:shd w:val="clear" w:color="auto" w:fill="auto"/>
            <w:noWrap w:val="0"/>
            <w:vAlign w:val="top"/>
          </w:tcPr>
          <w:p>
            <w:pPr>
              <w:jc w:val="center"/>
            </w:pPr>
            <w:r>
              <w:rPr>
                <w:rFonts w:hint="eastAsia" w:ascii="Times New Roman" w:hAnsi="Times New Roman"/>
                <w:szCs w:val="21"/>
              </w:rPr>
              <w:t xml:space="preserve">  </w:t>
            </w:r>
          </w:p>
        </w:tc>
        <w:tc>
          <w:tcPr>
            <w:tcW w:w="3125" w:type="dxa"/>
            <w:shd w:val="clear" w:color="auto" w:fill="auto"/>
            <w:noWrap w:val="0"/>
            <w:vAlign w:val="top"/>
          </w:tcPr>
          <w:p>
            <w:pPr>
              <w:jc w:val="center"/>
            </w:pPr>
            <w:r>
              <w:rPr>
                <w:rFonts w:hint="eastAsia" w:ascii="Times New Roman" w:hAnsi="Times New Roman"/>
                <w:szCs w:val="21"/>
              </w:rPr>
              <w:t xml:space="preserve">  </w:t>
            </w:r>
          </w:p>
        </w:tc>
      </w:tr>
    </w:tbl>
    <w:p>
      <w:r>
        <w:rPr>
          <w:rFonts w:hint="eastAsia"/>
        </w:rPr>
        <w:t>是否能够实现：</w:t>
      </w:r>
      <w:r>
        <w:rPr>
          <w:rFonts w:hint="eastAsia"/>
          <w:sz w:val="28"/>
        </w:rPr>
        <w:sym w:font="Wingdings 2" w:char="F0A3"/>
      </w:r>
      <w:r>
        <w:rPr>
          <w:rFonts w:hint="eastAsia"/>
        </w:rPr>
        <w:t>管网漏损自动监测、分析与整改，管道漏损率为</w:t>
      </w:r>
      <w:r>
        <w:rPr>
          <w:rFonts w:hint="eastAsia"/>
          <w:u w:val="single"/>
        </w:rPr>
        <w:t xml:space="preserve">        </w:t>
      </w:r>
      <w:r>
        <w:rPr>
          <w:rFonts w:hint="eastAsia"/>
        </w:rPr>
        <w:t>%</w:t>
      </w:r>
    </w:p>
    <w:p>
      <w:r>
        <w:rPr>
          <w:rFonts w:hint="eastAsia"/>
          <w:color w:val="FFFFFF"/>
        </w:rPr>
        <w:t>是否能够实现：</w:t>
      </w:r>
      <w:r>
        <w:rPr>
          <w:rFonts w:hint="eastAsia"/>
          <w:sz w:val="28"/>
        </w:rPr>
        <w:sym w:font="Wingdings 2" w:char="F0A3"/>
      </w:r>
      <w:r>
        <w:rPr>
          <w:rFonts w:hint="eastAsia" w:ascii="MS Gothic" w:hAnsi="MS Gothic"/>
        </w:rPr>
        <w:t>各类用水</w:t>
      </w:r>
      <w:r>
        <w:rPr>
          <w:rFonts w:hint="eastAsia"/>
        </w:rPr>
        <w:t>水质在线监测、记录并能随时查询</w:t>
      </w:r>
    </w:p>
    <w:p>
      <w:pPr>
        <w:rPr>
          <w:rFonts w:ascii="Times New Roman" w:hAnsi="Times New Roman"/>
          <w:szCs w:val="21"/>
        </w:rPr>
      </w:pPr>
      <w:r>
        <w:rPr>
          <w:rFonts w:hint="eastAsia"/>
        </w:rPr>
        <w:t>请简要说明用水分项计量、管网漏损及水质在线监测系统设置情况及使用效果。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根据水平衡的要求分级安装计量水表，分级计量水表安装率达100%，车库冲洗、室外绿化灌溉用水等也均设水表独立计量。</w:t>
            </w:r>
          </w:p>
          <w:p>
            <w:pPr>
              <w:ind w:firstLine="400" w:firstLineChars="200"/>
              <w:rPr>
                <w:rFonts w:ascii="Times New Roman" w:hAnsi="Times New Roman"/>
                <w:kern w:val="0"/>
                <w:sz w:val="20"/>
                <w:szCs w:val="21"/>
              </w:rPr>
            </w:pPr>
            <w:r>
              <w:rPr>
                <w:rFonts w:hint="eastAsia" w:ascii="Times New Roman" w:hAnsi="Times New Roman"/>
                <w:kern w:val="0"/>
                <w:sz w:val="20"/>
                <w:szCs w:val="21"/>
              </w:rPr>
              <w:t>生活及中水给水管采用优质PP-R管，热水管采用热水型管材，采用热熔连接。室内排水管(含出户管)采用UPVC塑料排水管，承插粘接。室外埋地管采用HDPE双壁波纹排水管，胶圈承插接口。承压排水管采用给水PE管，热熔连接。给水管DN&lt;50采用截止阀，DN&gt;50采用碟阀或闸阀。消防管阀门采用碟阀或闸阀，且有明显的开启标志。</w:t>
            </w:r>
          </w:p>
          <w:p>
            <w:pPr>
              <w:ind w:firstLine="400" w:firstLineChars="200"/>
              <w:rPr>
                <w:rFonts w:ascii="Times New Roman" w:hAnsi="Times New Roman"/>
                <w:kern w:val="0"/>
                <w:sz w:val="20"/>
                <w:szCs w:val="21"/>
              </w:rPr>
            </w:pPr>
            <w:r>
              <w:rPr>
                <w:rFonts w:hint="eastAsia" w:ascii="Times New Roman" w:hAnsi="Times New Roman"/>
                <w:kern w:val="0"/>
                <w:sz w:val="20"/>
                <w:szCs w:val="21"/>
              </w:rPr>
              <w:t>给水系统无超压现象，用水点供水压力均控制在0.1～0.20MPa之间。</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1）给排水专业竣工图纸及设计说明，应包括用水量远传计量系统设置及设计、分级水表设置及位置、水质监测系统设置及点位；</w:t>
      </w:r>
    </w:p>
    <w:p>
      <w:pPr>
        <w:rPr>
          <w:rFonts w:ascii="Times New Roman" w:hAnsi="Times New Roman"/>
        </w:rPr>
      </w:pPr>
      <w:r>
        <w:rPr>
          <w:rFonts w:hint="eastAsia" w:ascii="Times New Roman" w:hAnsi="Times New Roman"/>
        </w:rPr>
        <w:t>2）用水远传计量系统、水质在线监测与发布系统说明；</w:t>
      </w:r>
    </w:p>
    <w:p>
      <w:pPr>
        <w:rPr>
          <w:rFonts w:ascii="Times New Roman" w:hAnsi="Times New Roman"/>
        </w:rPr>
      </w:pPr>
      <w:r>
        <w:rPr>
          <w:rFonts w:hint="eastAsia" w:ascii="Times New Roman" w:hAnsi="Times New Roman"/>
        </w:rPr>
        <w:t>3）远传水表、水质监测设备的产品型式检验报告；</w:t>
      </w:r>
    </w:p>
    <w:p>
      <w:pPr>
        <w:rPr>
          <w:rFonts w:ascii="Times New Roman" w:hAnsi="Times New Roman"/>
        </w:rPr>
      </w:pPr>
      <w:r>
        <w:rPr>
          <w:rFonts w:hint="eastAsia" w:ascii="Times New Roman" w:hAnsi="Times New Roman"/>
        </w:rPr>
        <w:t>）用水量远传计量及水质在线监测运行记录文件，应包括管理制度、历史监测数据、运行记录，以及用水量分类、分项计量记录和统计分析报告，管网漏损自动检测分析记录和整改报告。</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6.2.9 具有智能化服务系统。（9分）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4961"/>
        <w:gridCol w:w="1701"/>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796" w:type="dxa"/>
            <w:noWrap w:val="0"/>
            <w:vAlign w:val="center"/>
          </w:tcPr>
          <w:p>
            <w:pPr>
              <w:jc w:val="center"/>
              <w:rPr>
                <w:rFonts w:ascii="Times New Roman" w:hAnsi="Times New Roman"/>
                <w:lang w:val="zh-CN"/>
              </w:rPr>
            </w:pPr>
            <w:r>
              <w:rPr>
                <w:rFonts w:ascii="Times New Roman" w:hAnsi="Times New Roman"/>
                <w:lang w:val="zh-CN"/>
              </w:rPr>
              <w:t>序号</w:t>
            </w:r>
          </w:p>
        </w:tc>
        <w:tc>
          <w:tcPr>
            <w:tcW w:w="4961"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594"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796" w:type="dxa"/>
            <w:noWrap w:val="0"/>
            <w:vAlign w:val="center"/>
          </w:tcPr>
          <w:p>
            <w:pPr>
              <w:jc w:val="center"/>
              <w:rPr>
                <w:rFonts w:ascii="Times New Roman" w:hAnsi="Times New Roman"/>
              </w:rPr>
            </w:pPr>
            <w:r>
              <w:rPr>
                <w:rFonts w:ascii="Times New Roman" w:hAnsi="Times New Roman"/>
              </w:rPr>
              <w:t>1</w:t>
            </w:r>
          </w:p>
        </w:tc>
        <w:tc>
          <w:tcPr>
            <w:tcW w:w="4961" w:type="dxa"/>
            <w:noWrap w:val="0"/>
            <w:vAlign w:val="center"/>
          </w:tcPr>
          <w:p>
            <w:pPr>
              <w:rPr>
                <w:rFonts w:ascii="Times New Roman" w:hAnsi="Times New Roman"/>
              </w:rPr>
            </w:pPr>
            <w:r>
              <w:rPr>
                <w:rFonts w:ascii="Times New Roman" w:hAnsi="Times New Roman"/>
              </w:rPr>
              <w:t>具有家电控制、照明控制、安全报警、环境监测、建筑设备控制、公共生活服务等3种及以上的服务功能</w:t>
            </w:r>
          </w:p>
        </w:tc>
        <w:tc>
          <w:tcPr>
            <w:tcW w:w="1701" w:type="dxa"/>
            <w:noWrap w:val="0"/>
            <w:vAlign w:val="center"/>
          </w:tcPr>
          <w:p>
            <w:pPr>
              <w:jc w:val="center"/>
              <w:rPr>
                <w:rFonts w:ascii="Times New Roman" w:hAnsi="Times New Roman"/>
              </w:rPr>
            </w:pPr>
            <w:r>
              <w:rPr>
                <w:rFonts w:ascii="Times New Roman" w:hAnsi="Times New Roman"/>
              </w:rPr>
              <w:t>3</w:t>
            </w:r>
          </w:p>
        </w:tc>
        <w:tc>
          <w:tcPr>
            <w:tcW w:w="1594"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3" w:hRule="atLeast"/>
          <w:jc w:val="center"/>
        </w:trPr>
        <w:tc>
          <w:tcPr>
            <w:tcW w:w="796" w:type="dxa"/>
            <w:noWrap w:val="0"/>
            <w:vAlign w:val="center"/>
          </w:tcPr>
          <w:p>
            <w:pPr>
              <w:jc w:val="center"/>
              <w:rPr>
                <w:rFonts w:ascii="Times New Roman" w:hAnsi="Times New Roman"/>
              </w:rPr>
            </w:pPr>
            <w:r>
              <w:rPr>
                <w:rFonts w:ascii="Times New Roman" w:hAnsi="Times New Roman"/>
              </w:rPr>
              <w:t>2</w:t>
            </w:r>
          </w:p>
        </w:tc>
        <w:tc>
          <w:tcPr>
            <w:tcW w:w="4961" w:type="dxa"/>
            <w:noWrap w:val="0"/>
            <w:vAlign w:val="center"/>
          </w:tcPr>
          <w:p>
            <w:pPr>
              <w:rPr>
                <w:rFonts w:ascii="Times New Roman" w:hAnsi="Times New Roman"/>
              </w:rPr>
            </w:pPr>
            <w:r>
              <w:rPr>
                <w:rFonts w:ascii="Times New Roman" w:hAnsi="Times New Roman"/>
              </w:rPr>
              <w:t>具有远程监控的功能</w:t>
            </w:r>
          </w:p>
        </w:tc>
        <w:tc>
          <w:tcPr>
            <w:tcW w:w="1701" w:type="dxa"/>
            <w:noWrap w:val="0"/>
            <w:vAlign w:val="center"/>
          </w:tcPr>
          <w:p>
            <w:pPr>
              <w:jc w:val="center"/>
              <w:rPr>
                <w:rFonts w:ascii="Times New Roman" w:hAnsi="Times New Roman"/>
              </w:rPr>
            </w:pPr>
            <w:r>
              <w:rPr>
                <w:rFonts w:ascii="Times New Roman" w:hAnsi="Times New Roman"/>
              </w:rPr>
              <w:t>3</w:t>
            </w:r>
          </w:p>
        </w:tc>
        <w:tc>
          <w:tcPr>
            <w:tcW w:w="1594" w:type="dxa"/>
            <w:noWrap w:val="0"/>
            <w:vAlign w:val="top"/>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 w:hRule="atLeast"/>
          <w:jc w:val="center"/>
        </w:trPr>
        <w:tc>
          <w:tcPr>
            <w:tcW w:w="796" w:type="dxa"/>
            <w:noWrap w:val="0"/>
            <w:vAlign w:val="center"/>
          </w:tcPr>
          <w:p>
            <w:pPr>
              <w:jc w:val="center"/>
              <w:rPr>
                <w:rFonts w:ascii="Times New Roman" w:hAnsi="Times New Roman"/>
              </w:rPr>
            </w:pPr>
            <w:r>
              <w:rPr>
                <w:rFonts w:ascii="Times New Roman" w:hAnsi="Times New Roman"/>
              </w:rPr>
              <w:t>3</w:t>
            </w:r>
          </w:p>
        </w:tc>
        <w:tc>
          <w:tcPr>
            <w:tcW w:w="4961" w:type="dxa"/>
            <w:noWrap w:val="0"/>
            <w:vAlign w:val="center"/>
          </w:tcPr>
          <w:p>
            <w:pPr>
              <w:rPr>
                <w:rFonts w:ascii="Times New Roman" w:hAnsi="Times New Roman"/>
                <w:kern w:val="0"/>
              </w:rPr>
            </w:pPr>
            <w:r>
              <w:rPr>
                <w:rFonts w:ascii="Times New Roman" w:hAnsi="Times New Roman"/>
                <w:kern w:val="0"/>
              </w:rPr>
              <w:t>具有接入智慧城市（城区、社区）的功能</w:t>
            </w:r>
          </w:p>
        </w:tc>
        <w:tc>
          <w:tcPr>
            <w:tcW w:w="1701" w:type="dxa"/>
            <w:noWrap w:val="0"/>
            <w:vAlign w:val="center"/>
          </w:tcPr>
          <w:p>
            <w:pPr>
              <w:jc w:val="center"/>
              <w:rPr>
                <w:rFonts w:ascii="Times New Roman" w:hAnsi="Times New Roman"/>
              </w:rPr>
            </w:pPr>
            <w:r>
              <w:rPr>
                <w:rFonts w:ascii="Times New Roman" w:hAnsi="Times New Roman"/>
              </w:rPr>
              <w:t>3</w:t>
            </w:r>
          </w:p>
        </w:tc>
        <w:tc>
          <w:tcPr>
            <w:tcW w:w="1594" w:type="dxa"/>
            <w:noWrap w:val="0"/>
            <w:vAlign w:val="top"/>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757" w:type="dxa"/>
            <w:gridSpan w:val="2"/>
            <w:noWrap w:val="0"/>
            <w:vAlign w:val="top"/>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rPr>
            </w:pPr>
            <w:r>
              <w:rPr>
                <w:rFonts w:ascii="Times New Roman" w:hAnsi="Times New Roman"/>
              </w:rPr>
              <w:t>9</w:t>
            </w:r>
          </w:p>
        </w:tc>
        <w:tc>
          <w:tcPr>
            <w:tcW w:w="1594"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是否采用智能化服务系统：</w:t>
      </w:r>
      <w:r>
        <w:rPr>
          <w:rFonts w:hint="eastAsia"/>
          <w:sz w:val="28"/>
        </w:rPr>
        <w:sym w:font="Wingdings 2" w:char="F0A3"/>
      </w:r>
      <w:r>
        <w:rPr>
          <w:rFonts w:hint="eastAsia"/>
          <w:lang w:val="zh-CN"/>
        </w:rPr>
        <w:t>是</w:t>
      </w:r>
      <w:r>
        <w:rPr>
          <w:rFonts w:hint="eastAsia"/>
        </w:rPr>
        <w:t xml:space="preserve"> </w:t>
      </w:r>
      <w:r>
        <w:rPr>
          <w:rFonts w:hint="eastAsia"/>
          <w:sz w:val="28"/>
        </w:rPr>
        <w:sym w:font="Wingdings 2" w:char="F0A3"/>
      </w:r>
      <w:r>
        <w:rPr>
          <w:rFonts w:hint="eastAsia"/>
        </w:rPr>
        <w:t>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2112"/>
        <w:gridCol w:w="243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53" w:type="dxa"/>
            <w:shd w:val="clear" w:color="auto" w:fill="auto"/>
            <w:noWrap w:val="0"/>
            <w:vAlign w:val="center"/>
          </w:tcPr>
          <w:p>
            <w:pPr>
              <w:jc w:val="center"/>
            </w:pPr>
            <w:r>
              <w:rPr>
                <w:rFonts w:hint="eastAsia"/>
              </w:rPr>
              <w:t>分 类</w:t>
            </w:r>
          </w:p>
        </w:tc>
        <w:tc>
          <w:tcPr>
            <w:tcW w:w="2112" w:type="dxa"/>
            <w:shd w:val="clear" w:color="auto" w:fill="auto"/>
            <w:noWrap w:val="0"/>
            <w:vAlign w:val="center"/>
          </w:tcPr>
          <w:p>
            <w:pPr>
              <w:jc w:val="center"/>
            </w:pPr>
            <w:r>
              <w:rPr>
                <w:rFonts w:hint="eastAsia"/>
              </w:rPr>
              <w:t>控制方式</w:t>
            </w:r>
          </w:p>
        </w:tc>
        <w:tc>
          <w:tcPr>
            <w:tcW w:w="2436" w:type="dxa"/>
            <w:shd w:val="clear" w:color="auto" w:fill="auto"/>
            <w:noWrap w:val="0"/>
            <w:vAlign w:val="center"/>
          </w:tcPr>
          <w:p>
            <w:pPr>
              <w:jc w:val="center"/>
            </w:pPr>
            <w:r>
              <w:rPr>
                <w:rFonts w:hint="eastAsia"/>
              </w:rPr>
              <w:t>技术支持</w:t>
            </w:r>
          </w:p>
        </w:tc>
        <w:tc>
          <w:tcPr>
            <w:tcW w:w="2121" w:type="dxa"/>
            <w:shd w:val="clear" w:color="auto" w:fill="auto"/>
            <w:noWrap w:val="0"/>
            <w:vAlign w:val="center"/>
          </w:tcPr>
          <w:p>
            <w:pPr>
              <w:jc w:val="center"/>
            </w:pPr>
            <w:r>
              <w:rPr>
                <w:rFonts w:hint="eastAsia"/>
              </w:rPr>
              <w:t>是否可远程监控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53" w:type="dxa"/>
            <w:shd w:val="clear" w:color="auto" w:fill="auto"/>
            <w:noWrap w:val="0"/>
            <w:vAlign w:val="center"/>
          </w:tcPr>
          <w:p>
            <w:pPr>
              <w:jc w:val="center"/>
            </w:pPr>
            <w:r>
              <w:rPr>
                <w:rFonts w:hint="eastAsia"/>
              </w:rPr>
              <w:t>家电控制</w:t>
            </w:r>
          </w:p>
        </w:tc>
        <w:tc>
          <w:tcPr>
            <w:tcW w:w="2112" w:type="dxa"/>
            <w:shd w:val="clear" w:color="auto" w:fill="auto"/>
            <w:noWrap w:val="0"/>
            <w:vAlign w:val="top"/>
          </w:tcPr>
          <w:p>
            <w:pPr>
              <w:jc w:val="center"/>
            </w:pPr>
          </w:p>
        </w:tc>
        <w:tc>
          <w:tcPr>
            <w:tcW w:w="2436" w:type="dxa"/>
            <w:shd w:val="clear" w:color="auto" w:fill="auto"/>
            <w:noWrap w:val="0"/>
            <w:vAlign w:val="top"/>
          </w:tcPr>
          <w:p>
            <w:pPr>
              <w:jc w:val="center"/>
            </w:pPr>
          </w:p>
        </w:tc>
        <w:tc>
          <w:tcPr>
            <w:tcW w:w="2121" w:type="dxa"/>
            <w:shd w:val="clear" w:color="auto" w:fill="auto"/>
            <w:noWrap w:val="0"/>
            <w:vAlign w:val="center"/>
          </w:tcPr>
          <w:p>
            <w:pPr>
              <w:jc w:val="center"/>
            </w:pP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53" w:type="dxa"/>
            <w:shd w:val="clear" w:color="auto" w:fill="auto"/>
            <w:noWrap w:val="0"/>
            <w:vAlign w:val="center"/>
          </w:tcPr>
          <w:p>
            <w:pPr>
              <w:jc w:val="center"/>
            </w:pPr>
            <w:r>
              <w:rPr>
                <w:rFonts w:hint="eastAsia"/>
              </w:rPr>
              <w:t>照明控制</w:t>
            </w:r>
          </w:p>
        </w:tc>
        <w:tc>
          <w:tcPr>
            <w:tcW w:w="2112" w:type="dxa"/>
            <w:shd w:val="clear" w:color="auto" w:fill="auto"/>
            <w:noWrap w:val="0"/>
            <w:vAlign w:val="top"/>
          </w:tcPr>
          <w:p>
            <w:pPr>
              <w:jc w:val="center"/>
            </w:pPr>
          </w:p>
        </w:tc>
        <w:tc>
          <w:tcPr>
            <w:tcW w:w="2436" w:type="dxa"/>
            <w:shd w:val="clear" w:color="auto" w:fill="auto"/>
            <w:noWrap w:val="0"/>
            <w:vAlign w:val="top"/>
          </w:tcPr>
          <w:p>
            <w:pPr>
              <w:jc w:val="center"/>
            </w:pPr>
          </w:p>
        </w:tc>
        <w:tc>
          <w:tcPr>
            <w:tcW w:w="2121" w:type="dxa"/>
            <w:shd w:val="clear" w:color="auto" w:fill="auto"/>
            <w:noWrap w:val="0"/>
            <w:vAlign w:val="center"/>
          </w:tcPr>
          <w:p>
            <w:pPr>
              <w:jc w:val="center"/>
            </w:pP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53" w:type="dxa"/>
            <w:shd w:val="clear" w:color="auto" w:fill="auto"/>
            <w:noWrap w:val="0"/>
            <w:vAlign w:val="center"/>
          </w:tcPr>
          <w:p>
            <w:pPr>
              <w:jc w:val="center"/>
            </w:pPr>
            <w:r>
              <w:rPr>
                <w:rFonts w:hint="eastAsia"/>
              </w:rPr>
              <w:t>安全警报</w:t>
            </w:r>
          </w:p>
        </w:tc>
        <w:tc>
          <w:tcPr>
            <w:tcW w:w="2112" w:type="dxa"/>
            <w:shd w:val="clear" w:color="auto" w:fill="auto"/>
            <w:noWrap w:val="0"/>
            <w:vAlign w:val="top"/>
          </w:tcPr>
          <w:p>
            <w:pPr>
              <w:jc w:val="center"/>
            </w:pPr>
          </w:p>
        </w:tc>
        <w:tc>
          <w:tcPr>
            <w:tcW w:w="2436" w:type="dxa"/>
            <w:shd w:val="clear" w:color="auto" w:fill="auto"/>
            <w:noWrap w:val="0"/>
            <w:vAlign w:val="top"/>
          </w:tcPr>
          <w:p>
            <w:pPr>
              <w:jc w:val="center"/>
            </w:pPr>
          </w:p>
        </w:tc>
        <w:tc>
          <w:tcPr>
            <w:tcW w:w="2121" w:type="dxa"/>
            <w:shd w:val="clear" w:color="auto" w:fill="auto"/>
            <w:noWrap w:val="0"/>
            <w:vAlign w:val="center"/>
          </w:tcPr>
          <w:p>
            <w:pPr>
              <w:jc w:val="center"/>
            </w:pP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53" w:type="dxa"/>
            <w:shd w:val="clear" w:color="auto" w:fill="auto"/>
            <w:noWrap w:val="0"/>
            <w:vAlign w:val="center"/>
          </w:tcPr>
          <w:p>
            <w:pPr>
              <w:jc w:val="center"/>
            </w:pPr>
            <w:r>
              <w:rPr>
                <w:rFonts w:hint="eastAsia"/>
              </w:rPr>
              <w:t>环境监测</w:t>
            </w:r>
          </w:p>
        </w:tc>
        <w:tc>
          <w:tcPr>
            <w:tcW w:w="2112" w:type="dxa"/>
            <w:shd w:val="clear" w:color="auto" w:fill="auto"/>
            <w:noWrap w:val="0"/>
            <w:vAlign w:val="top"/>
          </w:tcPr>
          <w:p>
            <w:pPr>
              <w:jc w:val="center"/>
            </w:pPr>
          </w:p>
        </w:tc>
        <w:tc>
          <w:tcPr>
            <w:tcW w:w="2436" w:type="dxa"/>
            <w:shd w:val="clear" w:color="auto" w:fill="auto"/>
            <w:noWrap w:val="0"/>
            <w:vAlign w:val="top"/>
          </w:tcPr>
          <w:p>
            <w:pPr>
              <w:jc w:val="center"/>
            </w:pPr>
          </w:p>
        </w:tc>
        <w:tc>
          <w:tcPr>
            <w:tcW w:w="2121" w:type="dxa"/>
            <w:shd w:val="clear" w:color="auto" w:fill="auto"/>
            <w:noWrap w:val="0"/>
            <w:vAlign w:val="center"/>
          </w:tcPr>
          <w:p>
            <w:pPr>
              <w:jc w:val="center"/>
            </w:pP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53" w:type="dxa"/>
            <w:shd w:val="clear" w:color="auto" w:fill="auto"/>
            <w:noWrap w:val="0"/>
            <w:vAlign w:val="center"/>
          </w:tcPr>
          <w:p>
            <w:pPr>
              <w:jc w:val="center"/>
            </w:pPr>
            <w:r>
              <w:rPr>
                <w:rFonts w:hint="eastAsia"/>
              </w:rPr>
              <w:t>建筑设备控制</w:t>
            </w:r>
          </w:p>
        </w:tc>
        <w:tc>
          <w:tcPr>
            <w:tcW w:w="2112" w:type="dxa"/>
            <w:shd w:val="clear" w:color="auto" w:fill="auto"/>
            <w:noWrap w:val="0"/>
            <w:vAlign w:val="top"/>
          </w:tcPr>
          <w:p>
            <w:pPr>
              <w:jc w:val="center"/>
            </w:pPr>
          </w:p>
        </w:tc>
        <w:tc>
          <w:tcPr>
            <w:tcW w:w="2436" w:type="dxa"/>
            <w:shd w:val="clear" w:color="auto" w:fill="auto"/>
            <w:noWrap w:val="0"/>
            <w:vAlign w:val="top"/>
          </w:tcPr>
          <w:p>
            <w:pPr>
              <w:jc w:val="center"/>
            </w:pPr>
          </w:p>
        </w:tc>
        <w:tc>
          <w:tcPr>
            <w:tcW w:w="2121" w:type="dxa"/>
            <w:shd w:val="clear" w:color="auto" w:fill="auto"/>
            <w:noWrap w:val="0"/>
            <w:vAlign w:val="center"/>
          </w:tcPr>
          <w:p>
            <w:pPr>
              <w:jc w:val="center"/>
            </w:pP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53" w:type="dxa"/>
            <w:shd w:val="clear" w:color="auto" w:fill="auto"/>
            <w:noWrap w:val="0"/>
            <w:vAlign w:val="center"/>
          </w:tcPr>
          <w:p>
            <w:pPr>
              <w:jc w:val="center"/>
            </w:pPr>
            <w:r>
              <w:rPr>
                <w:rFonts w:hint="eastAsia"/>
              </w:rPr>
              <w:t>公共生活服务</w:t>
            </w:r>
          </w:p>
        </w:tc>
        <w:tc>
          <w:tcPr>
            <w:tcW w:w="2112" w:type="dxa"/>
            <w:shd w:val="clear" w:color="auto" w:fill="auto"/>
            <w:noWrap w:val="0"/>
            <w:vAlign w:val="top"/>
          </w:tcPr>
          <w:p>
            <w:pPr>
              <w:jc w:val="center"/>
            </w:pPr>
          </w:p>
        </w:tc>
        <w:tc>
          <w:tcPr>
            <w:tcW w:w="2436" w:type="dxa"/>
            <w:shd w:val="clear" w:color="auto" w:fill="auto"/>
            <w:noWrap w:val="0"/>
            <w:vAlign w:val="top"/>
          </w:tcPr>
          <w:p>
            <w:pPr>
              <w:jc w:val="center"/>
            </w:pPr>
          </w:p>
        </w:tc>
        <w:tc>
          <w:tcPr>
            <w:tcW w:w="2121" w:type="dxa"/>
            <w:shd w:val="clear" w:color="auto" w:fill="auto"/>
            <w:noWrap w:val="0"/>
            <w:vAlign w:val="center"/>
          </w:tcPr>
          <w:p>
            <w:pPr>
              <w:jc w:val="center"/>
            </w:pP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53" w:type="dxa"/>
            <w:shd w:val="clear" w:color="auto" w:fill="auto"/>
            <w:noWrap w:val="0"/>
            <w:vAlign w:val="center"/>
          </w:tcPr>
          <w:p>
            <w:pPr>
              <w:jc w:val="center"/>
            </w:pPr>
            <w:r>
              <w:rPr>
                <w:rFonts w:hint="eastAsia"/>
              </w:rPr>
              <w:t>其他</w:t>
            </w:r>
          </w:p>
        </w:tc>
        <w:tc>
          <w:tcPr>
            <w:tcW w:w="2112" w:type="dxa"/>
            <w:shd w:val="clear" w:color="auto" w:fill="auto"/>
            <w:noWrap w:val="0"/>
            <w:vAlign w:val="top"/>
          </w:tcPr>
          <w:p>
            <w:pPr>
              <w:jc w:val="center"/>
            </w:pPr>
          </w:p>
        </w:tc>
        <w:tc>
          <w:tcPr>
            <w:tcW w:w="2436" w:type="dxa"/>
            <w:shd w:val="clear" w:color="auto" w:fill="auto"/>
            <w:noWrap w:val="0"/>
            <w:vAlign w:val="top"/>
          </w:tcPr>
          <w:p>
            <w:pPr>
              <w:jc w:val="center"/>
            </w:pPr>
          </w:p>
        </w:tc>
        <w:tc>
          <w:tcPr>
            <w:tcW w:w="2121" w:type="dxa"/>
            <w:shd w:val="clear" w:color="auto" w:fill="auto"/>
            <w:noWrap w:val="0"/>
            <w:vAlign w:val="center"/>
          </w:tcPr>
          <w:p>
            <w:pPr>
              <w:jc w:val="center"/>
            </w:pP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tc>
      </w:tr>
    </w:tbl>
    <w:p>
      <w:r>
        <w:rPr>
          <w:rFonts w:hint="eastAsia"/>
        </w:rPr>
        <w:t>是否具有接入智慧城市（城区、社区）的功能：</w:t>
      </w:r>
      <w:r>
        <w:rPr>
          <w:rFonts w:hint="eastAsia" w:ascii="MS Gothic" w:hAnsi="MS Gothic" w:eastAsia="MS Gothic"/>
        </w:rPr>
        <w:t>☐</w:t>
      </w:r>
      <w:r>
        <w:rPr>
          <w:rFonts w:hint="eastAsia"/>
        </w:rPr>
        <w:t xml:space="preserve">是 </w:t>
      </w:r>
      <w:r>
        <w:rPr>
          <w:rFonts w:hint="eastAsia" w:ascii="MS Gothic" w:hAnsi="MS Gothic" w:eastAsia="MS Gothic"/>
        </w:rPr>
        <w:t>☐</w:t>
      </w:r>
      <w:r>
        <w:rPr>
          <w:rFonts w:hint="eastAsia" w:ascii="MS Gothic" w:hAnsi="MS Gothic"/>
        </w:rPr>
        <w:t>否</w:t>
      </w:r>
    </w:p>
    <w:p>
      <w:pPr>
        <w:rPr>
          <w:rFonts w:ascii="Times New Roman" w:hAnsi="Times New Roman"/>
          <w:szCs w:val="21"/>
        </w:rPr>
      </w:pPr>
      <w:r>
        <w:rPr>
          <w:rFonts w:hint="eastAsia"/>
        </w:rPr>
        <w:t>请简要说明智能化服务系统的控制策略及应用情况。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02"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1）智能化及装修竣工图纸及设计说明，应包括智能家居或环境设备监控系统设计方案、智能化服务平台方案；</w:t>
      </w:r>
    </w:p>
    <w:p>
      <w:pPr>
        <w:rPr>
          <w:rFonts w:ascii="Times New Roman" w:hAnsi="Times New Roman"/>
        </w:rPr>
      </w:pPr>
      <w:r>
        <w:rPr>
          <w:rFonts w:hint="eastAsia" w:ascii="Times New Roman" w:hAnsi="Times New Roman"/>
        </w:rPr>
        <w:t>2）智能化服务系统实现的服务功能、远程监控功能、接入上一级智慧平台功能说明文件；</w:t>
      </w:r>
    </w:p>
    <w:p>
      <w:pPr>
        <w:rPr>
          <w:rFonts w:ascii="Times New Roman" w:hAnsi="Times New Roman"/>
        </w:rPr>
      </w:pPr>
      <w:r>
        <w:rPr>
          <w:rFonts w:hint="eastAsia" w:ascii="Times New Roman" w:hAnsi="Times New Roman"/>
        </w:rPr>
        <w:t>3）智能化服务系统相关产品的型式检验报告；</w:t>
      </w:r>
    </w:p>
    <w:p>
      <w:pPr>
        <w:rPr>
          <w:rFonts w:ascii="Times New Roman" w:hAnsi="Times New Roman"/>
        </w:rPr>
      </w:pPr>
      <w:r>
        <w:rPr>
          <w:rFonts w:hint="eastAsia" w:ascii="Times New Roman" w:hAnsi="Times New Roman"/>
        </w:rPr>
        <w:t>4）智能化服务系统运行文件，应包括管理制度、历史监测数据、运行记录。</w:t>
      </w:r>
    </w:p>
    <w:p>
      <w:pPr>
        <w:widowControl/>
        <w:jc w:val="lef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33"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6.2.10 制定完善的节能、节水、节材、绿化的操作规程、应急预案，实施能源资源管理激励机制，且有效实施。（5分）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929"/>
        <w:gridCol w:w="1701"/>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851" w:type="dxa"/>
            <w:noWrap w:val="0"/>
            <w:vAlign w:val="center"/>
          </w:tcPr>
          <w:p>
            <w:pPr>
              <w:jc w:val="center"/>
              <w:rPr>
                <w:rFonts w:ascii="Times New Roman" w:hAnsi="Times New Roman"/>
                <w:lang w:val="zh-CN"/>
              </w:rPr>
            </w:pPr>
            <w:r>
              <w:rPr>
                <w:rFonts w:ascii="Times New Roman" w:hAnsi="Times New Roman"/>
                <w:lang w:val="zh-CN"/>
              </w:rPr>
              <w:t>序号</w:t>
            </w:r>
          </w:p>
        </w:tc>
        <w:tc>
          <w:tcPr>
            <w:tcW w:w="4929"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17"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6" w:hRule="atLeast"/>
          <w:jc w:val="center"/>
        </w:trPr>
        <w:tc>
          <w:tcPr>
            <w:tcW w:w="851" w:type="dxa"/>
            <w:noWrap w:val="0"/>
            <w:vAlign w:val="center"/>
          </w:tcPr>
          <w:p>
            <w:pPr>
              <w:jc w:val="center"/>
              <w:rPr>
                <w:rFonts w:ascii="Times New Roman" w:hAnsi="Times New Roman"/>
              </w:rPr>
            </w:pPr>
            <w:r>
              <w:rPr>
                <w:rFonts w:ascii="Times New Roman" w:hAnsi="Times New Roman"/>
              </w:rPr>
              <w:t>1</w:t>
            </w:r>
          </w:p>
        </w:tc>
        <w:tc>
          <w:tcPr>
            <w:tcW w:w="4929" w:type="dxa"/>
            <w:noWrap w:val="0"/>
            <w:vAlign w:val="center"/>
          </w:tcPr>
          <w:p>
            <w:pPr>
              <w:rPr>
                <w:rFonts w:ascii="Times New Roman" w:hAnsi="Times New Roman"/>
              </w:rPr>
            </w:pPr>
            <w:r>
              <w:rPr>
                <w:rFonts w:ascii="Times New Roman" w:hAnsi="Times New Roman"/>
              </w:rPr>
              <w:t>相关设施具有完善的操作规程和应急预案</w:t>
            </w:r>
          </w:p>
        </w:tc>
        <w:tc>
          <w:tcPr>
            <w:tcW w:w="1701" w:type="dxa"/>
            <w:noWrap w:val="0"/>
            <w:vAlign w:val="center"/>
          </w:tcPr>
          <w:p>
            <w:pPr>
              <w:jc w:val="center"/>
              <w:rPr>
                <w:rFonts w:ascii="Times New Roman" w:hAnsi="Times New Roman"/>
              </w:rPr>
            </w:pPr>
            <w:r>
              <w:rPr>
                <w:rFonts w:ascii="Times New Roman" w:hAnsi="Times New Roman"/>
              </w:rPr>
              <w:t>2</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9" w:hRule="atLeast"/>
          <w:jc w:val="center"/>
        </w:trPr>
        <w:tc>
          <w:tcPr>
            <w:tcW w:w="851" w:type="dxa"/>
            <w:noWrap w:val="0"/>
            <w:vAlign w:val="center"/>
          </w:tcPr>
          <w:p>
            <w:pPr>
              <w:jc w:val="center"/>
              <w:rPr>
                <w:rFonts w:ascii="Times New Roman" w:hAnsi="Times New Roman"/>
              </w:rPr>
            </w:pPr>
            <w:r>
              <w:rPr>
                <w:rFonts w:ascii="Times New Roman" w:hAnsi="Times New Roman"/>
              </w:rPr>
              <w:t>2</w:t>
            </w:r>
          </w:p>
        </w:tc>
        <w:tc>
          <w:tcPr>
            <w:tcW w:w="4929" w:type="dxa"/>
            <w:noWrap w:val="0"/>
            <w:vAlign w:val="center"/>
          </w:tcPr>
          <w:p>
            <w:pPr>
              <w:rPr>
                <w:rFonts w:ascii="Times New Roman" w:hAnsi="Times New Roman"/>
              </w:rPr>
            </w:pPr>
            <w:r>
              <w:rPr>
                <w:rFonts w:ascii="Times New Roman" w:hAnsi="Times New Roman"/>
              </w:rPr>
              <w:t>物业管理机构的工作考核体系中</w:t>
            </w:r>
            <w:r>
              <w:rPr>
                <w:rFonts w:hint="eastAsia" w:ascii="Times New Roman" w:hAnsi="Times New Roman"/>
              </w:rPr>
              <w:t>包括</w:t>
            </w:r>
            <w:r>
              <w:rPr>
                <w:rFonts w:ascii="Times New Roman" w:hAnsi="Times New Roman"/>
              </w:rPr>
              <w:t>节能和节水绩效考核激励机制</w:t>
            </w:r>
          </w:p>
        </w:tc>
        <w:tc>
          <w:tcPr>
            <w:tcW w:w="1701" w:type="dxa"/>
            <w:noWrap w:val="0"/>
            <w:vAlign w:val="center"/>
          </w:tcPr>
          <w:p>
            <w:pPr>
              <w:jc w:val="center"/>
              <w:rPr>
                <w:rFonts w:ascii="Times New Roman" w:hAnsi="Times New Roman"/>
              </w:rPr>
            </w:pPr>
            <w:r>
              <w:rPr>
                <w:rFonts w:ascii="Times New Roman" w:hAnsi="Times New Roman"/>
              </w:rPr>
              <w:t>3</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780" w:type="dxa"/>
            <w:gridSpan w:val="2"/>
            <w:noWrap w:val="0"/>
            <w:vAlign w:val="top"/>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rPr>
            </w:pPr>
            <w:r>
              <w:rPr>
                <w:rFonts w:ascii="Times New Roman" w:hAnsi="Times New Roman"/>
              </w:rPr>
              <w:t>5</w:t>
            </w:r>
          </w:p>
        </w:tc>
        <w:tc>
          <w:tcPr>
            <w:tcW w:w="1617"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widowControl/>
        <w:jc w:val="left"/>
      </w:pPr>
      <w:r>
        <w:rPr>
          <w:rFonts w:hint="eastAsia"/>
        </w:rPr>
        <w:t>是否具备完善的节能、节水、节材、绿化的操作规程：</w:t>
      </w: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p>
      <w:pPr>
        <w:widowControl/>
        <w:jc w:val="left"/>
      </w:pPr>
      <w:r>
        <w:rPr>
          <w:rFonts w:hint="eastAsia"/>
        </w:rPr>
        <w:t>应急预案是否有明确的处理流程、人员分工，严格的上报和记录程序：</w:t>
      </w: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p>
      <w:pPr>
        <w:widowControl/>
        <w:jc w:val="left"/>
      </w:pPr>
      <w:r>
        <w:rPr>
          <w:rFonts w:hint="eastAsia"/>
        </w:rPr>
        <w:t>是否有应急情况报告、应急处置报告及应急预案的演练记录：</w:t>
      </w: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p>
    <w:p>
      <w:pPr>
        <w:rPr>
          <w:rFonts w:ascii="Times New Roman" w:hAnsi="Times New Roman"/>
          <w:szCs w:val="21"/>
        </w:rPr>
      </w:pPr>
      <w:r>
        <w:rPr>
          <w:rFonts w:hint="eastAsia"/>
        </w:rPr>
        <w:t>简要介绍节能、节水、节材、绿化的相关操作规程、应急预案，并说明实施情况。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车库和道路冲洗用的节水高压水枪、节水型专业洗衣机、循环用水洗车台，给水深度处理采用自用水量较少的处理设备和措施，集中空调加湿系统采用用水效率高的设备和措施。</w:t>
            </w:r>
          </w:p>
        </w:tc>
      </w:tr>
    </w:tbl>
    <w:p>
      <w:r>
        <w:rPr>
          <w:rFonts w:hint="eastAsia"/>
        </w:rPr>
        <w:t>物业管理机构的管理业绩是否与建筑的能源、水资源等的使用情况直接挂钩：</w:t>
      </w:r>
      <w:r>
        <w:rPr>
          <w:rFonts w:hint="eastAsia"/>
          <w:sz w:val="28"/>
        </w:rPr>
        <w:sym w:font="Wingdings 2" w:char="F0A3"/>
      </w:r>
      <w:r>
        <w:rPr>
          <w:rFonts w:hint="eastAsia"/>
        </w:rPr>
        <w:t xml:space="preserve">是 </w:t>
      </w:r>
      <w:r>
        <w:rPr>
          <w:rFonts w:hint="eastAsia"/>
          <w:sz w:val="28"/>
        </w:rPr>
        <w:sym w:font="Wingdings 2" w:char="F0A3"/>
      </w:r>
      <w:r>
        <w:rPr>
          <w:rFonts w:hint="eastAsia" w:ascii="MS Gothic" w:hAnsi="MS Gothic"/>
        </w:rPr>
        <w:t>否</w:t>
      </w:r>
      <w:r>
        <w:t xml:space="preserve">     </w:t>
      </w:r>
    </w:p>
    <w:p>
      <w:pPr>
        <w:widowControl/>
        <w:jc w:val="left"/>
      </w:pPr>
      <w:r>
        <w:rPr>
          <w:rFonts w:hint="eastAsia"/>
        </w:rPr>
        <w:t>采用形式是：</w:t>
      </w:r>
      <w:r>
        <w:rPr>
          <w:rFonts w:hint="eastAsia"/>
          <w:sz w:val="28"/>
        </w:rPr>
        <w:sym w:font="Wingdings 2" w:char="F0A3"/>
      </w:r>
      <w:r>
        <w:rPr>
          <w:rFonts w:hint="eastAsia"/>
        </w:rPr>
        <w:t xml:space="preserve">工作考核体系中包括能源资源管理激励机制 </w:t>
      </w:r>
      <w:r>
        <w:rPr>
          <w:rFonts w:hint="eastAsia"/>
          <w:sz w:val="28"/>
        </w:rPr>
        <w:sym w:font="Wingdings 2" w:char="F0A3"/>
      </w:r>
      <w:r>
        <w:rPr>
          <w:rFonts w:hint="eastAsia"/>
        </w:rPr>
        <w:t>采用合同能源管理模式</w:t>
      </w:r>
    </w:p>
    <w:p>
      <w:pPr>
        <w:widowControl/>
        <w:jc w:val="left"/>
      </w:pPr>
      <w:r>
        <w:rPr>
          <w:rFonts w:hint="eastAsia"/>
        </w:rPr>
        <w:t>是否是出租型项目：</w:t>
      </w:r>
      <w:r>
        <w:rPr>
          <w:rFonts w:hint="eastAsia"/>
          <w:sz w:val="28"/>
        </w:rPr>
        <w:sym w:font="Wingdings 2" w:char="F0A3"/>
      </w:r>
      <w:r>
        <w:rPr>
          <w:rFonts w:hint="eastAsia"/>
        </w:rPr>
        <w:t xml:space="preserve">是 </w:t>
      </w:r>
      <w:r>
        <w:rPr>
          <w:rFonts w:hint="eastAsia"/>
          <w:sz w:val="28"/>
        </w:rPr>
        <w:sym w:font="Wingdings 2" w:char="F0A3"/>
      </w:r>
      <w:r>
        <w:rPr>
          <w:rFonts w:hint="eastAsia"/>
        </w:rPr>
        <w:t>否，若是，物业管理机构与租用者的合同中是否包括节能条款：</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rPr>
          <w:rFonts w:ascii="Times New Roman" w:hAnsi="Times New Roman"/>
          <w:szCs w:val="21"/>
        </w:rPr>
      </w:pPr>
      <w:r>
        <w:rPr>
          <w:rFonts w:hint="eastAsia"/>
        </w:rPr>
        <w:t>请简要描述本项目中的能源资源管理激励机制（说明激励机制形式及具体内容），并说明落实情况。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1）节能、节水、节材、绿化的相关管理制度，应包括操作规程、应急预案、专业人员的专业证书、运维管理记录；</w:t>
      </w:r>
    </w:p>
    <w:p>
      <w:pPr>
        <w:rPr>
          <w:rFonts w:ascii="Times New Roman" w:hAnsi="Times New Roman"/>
        </w:rPr>
      </w:pPr>
      <w:r>
        <w:rPr>
          <w:rFonts w:hint="eastAsia" w:ascii="Times New Roman" w:hAnsi="Times New Roman"/>
        </w:rPr>
        <w:t>2）物业管理机构的工作考核体系文件，应明确业绩考核办法。</w:t>
      </w:r>
    </w:p>
    <w:p>
      <w:pPr>
        <w:rPr>
          <w:rFonts w:ascii="Times New Roman" w:hAnsi="Times New Roman"/>
        </w:rPr>
      </w:pPr>
    </w:p>
    <w:p>
      <w:pPr>
        <w:widowControl/>
        <w:jc w:val="lef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rPr>
      </w:pPr>
      <w:r>
        <w:rPr>
          <w:rFonts w:hint="eastAsia"/>
          <w:sz w:val="24"/>
          <w:szCs w:val="40"/>
        </w:rPr>
        <w:t>6.2.11 建筑平均日用水量满足现行国家标准《民用建筑节水设计标准》GB 50555中节水用水定额的要求。（5分）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819"/>
        <w:gridCol w:w="184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823" w:type="dxa"/>
            <w:noWrap w:val="0"/>
            <w:vAlign w:val="center"/>
          </w:tcPr>
          <w:p>
            <w:pPr>
              <w:jc w:val="center"/>
              <w:rPr>
                <w:rFonts w:ascii="Times New Roman" w:hAnsi="Times New Roman"/>
                <w:lang w:val="zh-CN"/>
              </w:rPr>
            </w:pPr>
            <w:r>
              <w:rPr>
                <w:rFonts w:ascii="Times New Roman" w:hAnsi="Times New Roman"/>
                <w:lang w:val="zh-CN"/>
              </w:rPr>
              <w:t>序号</w:t>
            </w:r>
          </w:p>
        </w:tc>
        <w:tc>
          <w:tcPr>
            <w:tcW w:w="4819" w:type="dxa"/>
            <w:noWrap w:val="0"/>
            <w:vAlign w:val="center"/>
          </w:tcPr>
          <w:p>
            <w:pPr>
              <w:jc w:val="center"/>
              <w:rPr>
                <w:rFonts w:ascii="Times New Roman" w:hAnsi="Times New Roman"/>
                <w:lang w:val="zh-CN"/>
              </w:rPr>
            </w:pPr>
            <w:r>
              <w:rPr>
                <w:rFonts w:ascii="Times New Roman" w:hAnsi="Times New Roman"/>
                <w:lang w:val="zh-CN"/>
              </w:rPr>
              <w:t>评价内容</w:t>
            </w:r>
          </w:p>
        </w:tc>
        <w:tc>
          <w:tcPr>
            <w:tcW w:w="1843"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19"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23" w:type="dxa"/>
            <w:noWrap w:val="0"/>
            <w:vAlign w:val="center"/>
          </w:tcPr>
          <w:p>
            <w:pPr>
              <w:jc w:val="center"/>
              <w:rPr>
                <w:rFonts w:ascii="Times New Roman" w:hAnsi="Times New Roman"/>
              </w:rPr>
            </w:pPr>
            <w:r>
              <w:rPr>
                <w:rFonts w:ascii="Times New Roman" w:hAnsi="Times New Roman"/>
              </w:rPr>
              <w:t>1</w:t>
            </w:r>
          </w:p>
        </w:tc>
        <w:tc>
          <w:tcPr>
            <w:tcW w:w="4819" w:type="dxa"/>
            <w:noWrap w:val="0"/>
            <w:vAlign w:val="center"/>
          </w:tcPr>
          <w:p>
            <w:pPr>
              <w:rPr>
                <w:rFonts w:ascii="Times New Roman" w:hAnsi="Times New Roman"/>
              </w:rPr>
            </w:pPr>
            <w:r>
              <w:rPr>
                <w:rFonts w:ascii="Times New Roman" w:hAnsi="Times New Roman"/>
              </w:rPr>
              <w:t>平均日用水量大于节水用水定额的平均值、不大于上限值</w:t>
            </w:r>
          </w:p>
        </w:tc>
        <w:tc>
          <w:tcPr>
            <w:tcW w:w="1843" w:type="dxa"/>
            <w:noWrap w:val="0"/>
            <w:vAlign w:val="center"/>
          </w:tcPr>
          <w:p>
            <w:pPr>
              <w:jc w:val="center"/>
              <w:rPr>
                <w:rFonts w:ascii="Times New Roman" w:hAnsi="Times New Roman"/>
              </w:rPr>
            </w:pPr>
            <w:r>
              <w:rPr>
                <w:rFonts w:ascii="Times New Roman" w:hAnsi="Times New Roman"/>
              </w:rPr>
              <w:t>2</w:t>
            </w:r>
          </w:p>
        </w:tc>
        <w:tc>
          <w:tcPr>
            <w:tcW w:w="1619"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23" w:type="dxa"/>
            <w:noWrap w:val="0"/>
            <w:vAlign w:val="center"/>
          </w:tcPr>
          <w:p>
            <w:pPr>
              <w:jc w:val="center"/>
              <w:rPr>
                <w:rFonts w:ascii="Times New Roman" w:hAnsi="Times New Roman"/>
              </w:rPr>
            </w:pPr>
            <w:r>
              <w:rPr>
                <w:rFonts w:ascii="Times New Roman" w:hAnsi="Times New Roman"/>
              </w:rPr>
              <w:t>2</w:t>
            </w:r>
          </w:p>
        </w:tc>
        <w:tc>
          <w:tcPr>
            <w:tcW w:w="4819" w:type="dxa"/>
            <w:noWrap w:val="0"/>
            <w:vAlign w:val="center"/>
          </w:tcPr>
          <w:p>
            <w:pPr>
              <w:rPr>
                <w:rFonts w:ascii="Times New Roman" w:hAnsi="Times New Roman"/>
              </w:rPr>
            </w:pPr>
            <w:r>
              <w:rPr>
                <w:rFonts w:ascii="Times New Roman" w:hAnsi="Times New Roman"/>
              </w:rPr>
              <w:t>平均日用水量大于节水用水定额的下限值、不大于平均值</w:t>
            </w:r>
          </w:p>
        </w:tc>
        <w:tc>
          <w:tcPr>
            <w:tcW w:w="1843" w:type="dxa"/>
            <w:noWrap w:val="0"/>
            <w:vAlign w:val="center"/>
          </w:tcPr>
          <w:p>
            <w:pPr>
              <w:jc w:val="center"/>
              <w:rPr>
                <w:rFonts w:ascii="Times New Roman" w:hAnsi="Times New Roman"/>
              </w:rPr>
            </w:pPr>
            <w:r>
              <w:rPr>
                <w:rFonts w:ascii="Times New Roman" w:hAnsi="Times New Roman"/>
              </w:rPr>
              <w:t>3</w:t>
            </w:r>
          </w:p>
        </w:tc>
        <w:tc>
          <w:tcPr>
            <w:tcW w:w="1619" w:type="dxa"/>
            <w:vMerge w:val="restart"/>
            <w:noWrap w:val="0"/>
            <w:vAlign w:val="center"/>
          </w:tcPr>
          <w:p>
            <w:pPr>
              <w:jc w:val="center"/>
              <w:rPr>
                <w:rFonts w:ascii="Times New Roman" w:hAnsi="Times New Roman"/>
              </w:rPr>
            </w:pPr>
            <w:r>
              <w:rPr>
                <w:rFonts w:hint="eastAsia" w:ascii="Times New Roman" w:hAnsi="Times New Roman"/>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23" w:type="dxa"/>
            <w:noWrap w:val="0"/>
            <w:vAlign w:val="center"/>
          </w:tcPr>
          <w:p>
            <w:pPr>
              <w:jc w:val="center"/>
              <w:rPr>
                <w:rFonts w:ascii="Times New Roman" w:hAnsi="Times New Roman"/>
              </w:rPr>
            </w:pPr>
            <w:r>
              <w:rPr>
                <w:rFonts w:ascii="Times New Roman" w:hAnsi="Times New Roman"/>
              </w:rPr>
              <w:t>3</w:t>
            </w:r>
          </w:p>
        </w:tc>
        <w:tc>
          <w:tcPr>
            <w:tcW w:w="4819" w:type="dxa"/>
            <w:noWrap w:val="0"/>
            <w:vAlign w:val="center"/>
          </w:tcPr>
          <w:p>
            <w:pPr>
              <w:rPr>
                <w:rFonts w:ascii="Times New Roman" w:hAnsi="Times New Roman"/>
              </w:rPr>
            </w:pPr>
            <w:r>
              <w:rPr>
                <w:rFonts w:ascii="Times New Roman" w:hAnsi="Times New Roman"/>
              </w:rPr>
              <w:t>平均日用水量不大于节水用水定额的下限值</w:t>
            </w:r>
          </w:p>
        </w:tc>
        <w:tc>
          <w:tcPr>
            <w:tcW w:w="1843" w:type="dxa"/>
            <w:noWrap w:val="0"/>
            <w:vAlign w:val="center"/>
          </w:tcPr>
          <w:p>
            <w:pPr>
              <w:jc w:val="center"/>
              <w:rPr>
                <w:rFonts w:ascii="Times New Roman" w:hAnsi="Times New Roman"/>
              </w:rPr>
            </w:pPr>
            <w:r>
              <w:rPr>
                <w:rFonts w:ascii="Times New Roman" w:hAnsi="Times New Roman"/>
              </w:rPr>
              <w:t>5</w:t>
            </w:r>
          </w:p>
        </w:tc>
        <w:tc>
          <w:tcPr>
            <w:tcW w:w="1619" w:type="dxa"/>
            <w:vMerge w:val="continue"/>
            <w:noWrap w:val="0"/>
            <w:vAlign w:val="center"/>
          </w:tcPr>
          <w:p>
            <w:pPr>
              <w:jc w:val="center"/>
              <w:rPr>
                <w:rFonts w:ascii="Times New Roman" w:hAnsi="Times New Roman"/>
              </w:rPr>
            </w:pP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widowControl/>
        <w:jc w:val="left"/>
      </w:pPr>
      <w:r>
        <w:rPr>
          <w:rFonts w:hint="eastAsia"/>
        </w:rPr>
        <w:t>本项目建筑平均日用水量为：</w:t>
      </w:r>
      <w:r>
        <w:rPr>
          <w:rFonts w:hint="eastAsia" w:ascii="MS Gothic" w:hAnsi="MS Gothic"/>
          <w:u w:val="single"/>
        </w:rPr>
        <w:t xml:space="preserve">        L/人.d </w:t>
      </w:r>
      <w:r>
        <w:rPr>
          <w:rFonts w:hint="eastAsia" w:ascii="MS Gothic" w:hAnsi="MS Gothic"/>
        </w:rPr>
        <w:t xml:space="preserve">          </w:t>
      </w:r>
      <w:r>
        <w:rPr>
          <w:rFonts w:hint="eastAsia"/>
        </w:rPr>
        <w:t xml:space="preserve"> </w:t>
      </w:r>
      <w:r>
        <w:t xml:space="preserve">     </w:t>
      </w:r>
    </w:p>
    <w:p>
      <w:pPr>
        <w:widowControl/>
        <w:jc w:val="left"/>
      </w:pPr>
      <w:r>
        <w:rPr>
          <w:rFonts w:hint="eastAsia"/>
          <w:sz w:val="28"/>
        </w:rPr>
        <w:sym w:font="Wingdings 2" w:char="F0A3"/>
      </w:r>
      <w:r>
        <w:rPr>
          <w:rFonts w:hint="eastAsia"/>
        </w:rPr>
        <w:t>小于节水用水定额的上限值、不小于中间值要求</w:t>
      </w:r>
    </w:p>
    <w:p>
      <w:pPr>
        <w:widowControl/>
        <w:jc w:val="left"/>
      </w:pPr>
      <w:r>
        <w:rPr>
          <w:rFonts w:hint="eastAsia"/>
          <w:sz w:val="28"/>
        </w:rPr>
        <w:sym w:font="Wingdings 2" w:char="F0A3"/>
      </w:r>
      <w:r>
        <w:t>建筑平均日用水量小于节水用水定额的中间值、不小于下限值要求</w:t>
      </w:r>
    </w:p>
    <w:p>
      <w:pPr>
        <w:widowControl/>
        <w:jc w:val="left"/>
        <w:rPr>
          <w:rFonts w:ascii="Arial" w:hAnsi="Arial" w:cs="Arial"/>
          <w:color w:val="000000"/>
          <w:sz w:val="18"/>
          <w:szCs w:val="18"/>
          <w:shd w:val="clear" w:color="auto" w:fill="F0F0F0"/>
        </w:rPr>
      </w:pPr>
      <w:r>
        <w:rPr>
          <w:rFonts w:hint="eastAsia"/>
          <w:sz w:val="28"/>
        </w:rPr>
        <w:sym w:font="Wingdings 2" w:char="F0A3"/>
      </w:r>
      <w:r>
        <w:t>建筑平均日用水量小于节水用水定额的下限值要求</w:t>
      </w:r>
    </w:p>
    <w:p>
      <w:pPr>
        <w:rPr>
          <w:rFonts w:ascii="Times New Roman" w:hAnsi="Times New Roman"/>
          <w:szCs w:val="21"/>
        </w:rPr>
      </w:pPr>
      <w:r>
        <w:rPr>
          <w:rFonts w:hint="eastAsia"/>
        </w:rPr>
        <w:t>请简要介绍项目平均日用水量（如饮用、盥洗、冲厕、餐饮、绿化灌溉、地面冲洗、水景补水等）情况。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06"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1）给排水专业竣工图纸及设计说明；</w:t>
      </w:r>
    </w:p>
    <w:p>
      <w:pPr>
        <w:rPr>
          <w:rFonts w:ascii="Times New Roman" w:hAnsi="Times New Roman"/>
        </w:rPr>
      </w:pPr>
      <w:r>
        <w:rPr>
          <w:rFonts w:hint="eastAsia" w:ascii="Times New Roman" w:hAnsi="Times New Roman"/>
        </w:rPr>
        <w:t>2）用水记录文件，包括实测分类用水量计量报告、实际用水单元数量统计报告、建筑各类用水的平均日用水量计算书。</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6.2.12 定期对建筑运营效果进行评估，并根据结果进行运行优化。（12分）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61"/>
        <w:gridCol w:w="1701"/>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819" w:type="dxa"/>
            <w:noWrap w:val="0"/>
            <w:vAlign w:val="center"/>
          </w:tcPr>
          <w:p>
            <w:pPr>
              <w:jc w:val="center"/>
              <w:rPr>
                <w:rFonts w:ascii="Times New Roman" w:hAnsi="Times New Roman"/>
                <w:lang w:val="zh-CN"/>
              </w:rPr>
            </w:pPr>
            <w:r>
              <w:rPr>
                <w:rFonts w:ascii="Times New Roman" w:hAnsi="Times New Roman"/>
                <w:lang w:val="zh-CN"/>
              </w:rPr>
              <w:t>序号</w:t>
            </w:r>
          </w:p>
        </w:tc>
        <w:tc>
          <w:tcPr>
            <w:tcW w:w="4961"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17"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9" w:hRule="atLeast"/>
          <w:jc w:val="center"/>
        </w:trPr>
        <w:tc>
          <w:tcPr>
            <w:tcW w:w="819" w:type="dxa"/>
            <w:noWrap w:val="0"/>
            <w:vAlign w:val="center"/>
          </w:tcPr>
          <w:p>
            <w:pPr>
              <w:jc w:val="center"/>
              <w:rPr>
                <w:rFonts w:ascii="Times New Roman" w:hAnsi="Times New Roman"/>
              </w:rPr>
            </w:pPr>
            <w:r>
              <w:rPr>
                <w:rFonts w:ascii="Times New Roman" w:hAnsi="Times New Roman"/>
              </w:rPr>
              <w:t>1</w:t>
            </w:r>
          </w:p>
        </w:tc>
        <w:tc>
          <w:tcPr>
            <w:tcW w:w="4961" w:type="dxa"/>
            <w:noWrap w:val="0"/>
            <w:vAlign w:val="center"/>
          </w:tcPr>
          <w:p>
            <w:pPr>
              <w:rPr>
                <w:rFonts w:ascii="Times New Roman" w:hAnsi="Times New Roman"/>
              </w:rPr>
            </w:pPr>
            <w:r>
              <w:rPr>
                <w:rFonts w:ascii="Times New Roman" w:hAnsi="Times New Roman"/>
              </w:rPr>
              <w:t>制定绿色建筑运营效果评估的技术方案和计划</w:t>
            </w:r>
          </w:p>
        </w:tc>
        <w:tc>
          <w:tcPr>
            <w:tcW w:w="1701" w:type="dxa"/>
            <w:noWrap w:val="0"/>
            <w:vAlign w:val="center"/>
          </w:tcPr>
          <w:p>
            <w:pPr>
              <w:jc w:val="center"/>
              <w:rPr>
                <w:rFonts w:ascii="Times New Roman" w:hAnsi="Times New Roman"/>
              </w:rPr>
            </w:pPr>
            <w:r>
              <w:rPr>
                <w:rFonts w:ascii="Times New Roman" w:hAnsi="Times New Roman"/>
              </w:rPr>
              <w:t>3</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19" w:type="dxa"/>
            <w:noWrap w:val="0"/>
            <w:vAlign w:val="center"/>
          </w:tcPr>
          <w:p>
            <w:pPr>
              <w:jc w:val="center"/>
              <w:rPr>
                <w:rFonts w:ascii="Times New Roman" w:hAnsi="Times New Roman"/>
              </w:rPr>
            </w:pPr>
            <w:r>
              <w:rPr>
                <w:rFonts w:ascii="Times New Roman" w:hAnsi="Times New Roman"/>
              </w:rPr>
              <w:t>2</w:t>
            </w:r>
          </w:p>
        </w:tc>
        <w:tc>
          <w:tcPr>
            <w:tcW w:w="4961" w:type="dxa"/>
            <w:noWrap w:val="0"/>
            <w:vAlign w:val="center"/>
          </w:tcPr>
          <w:p>
            <w:pPr>
              <w:rPr>
                <w:rFonts w:ascii="Times New Roman" w:hAnsi="Times New Roman"/>
              </w:rPr>
            </w:pPr>
            <w:r>
              <w:rPr>
                <w:rFonts w:ascii="Times New Roman" w:hAnsi="Times New Roman"/>
              </w:rPr>
              <w:t>定期检查、调适公共设施设备，具有检查、调试、运行、标定的记录，且记录完整</w:t>
            </w:r>
          </w:p>
        </w:tc>
        <w:tc>
          <w:tcPr>
            <w:tcW w:w="1701" w:type="dxa"/>
            <w:noWrap w:val="0"/>
            <w:vAlign w:val="center"/>
          </w:tcPr>
          <w:p>
            <w:pPr>
              <w:jc w:val="center"/>
              <w:rPr>
                <w:rFonts w:ascii="Times New Roman" w:hAnsi="Times New Roman"/>
              </w:rPr>
            </w:pPr>
            <w:r>
              <w:rPr>
                <w:rFonts w:ascii="Times New Roman" w:hAnsi="Times New Roman"/>
              </w:rPr>
              <w:t>3</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9" w:hRule="atLeast"/>
          <w:jc w:val="center"/>
        </w:trPr>
        <w:tc>
          <w:tcPr>
            <w:tcW w:w="819" w:type="dxa"/>
            <w:noWrap w:val="0"/>
            <w:vAlign w:val="center"/>
          </w:tcPr>
          <w:p>
            <w:pPr>
              <w:jc w:val="center"/>
              <w:rPr>
                <w:rFonts w:ascii="Times New Roman" w:hAnsi="Times New Roman"/>
              </w:rPr>
            </w:pPr>
            <w:r>
              <w:rPr>
                <w:rFonts w:ascii="Times New Roman" w:hAnsi="Times New Roman"/>
              </w:rPr>
              <w:t>3</w:t>
            </w:r>
          </w:p>
        </w:tc>
        <w:tc>
          <w:tcPr>
            <w:tcW w:w="4961" w:type="dxa"/>
            <w:noWrap w:val="0"/>
            <w:vAlign w:val="center"/>
          </w:tcPr>
          <w:p>
            <w:pPr>
              <w:rPr>
                <w:rFonts w:ascii="Times New Roman" w:hAnsi="Times New Roman"/>
              </w:rPr>
            </w:pPr>
            <w:r>
              <w:rPr>
                <w:rFonts w:ascii="Times New Roman" w:hAnsi="Times New Roman"/>
              </w:rPr>
              <w:t>定期开展节能诊断评估，并根据评估结果制定优化方案并实施</w:t>
            </w:r>
          </w:p>
        </w:tc>
        <w:tc>
          <w:tcPr>
            <w:tcW w:w="1701" w:type="dxa"/>
            <w:noWrap w:val="0"/>
            <w:vAlign w:val="center"/>
          </w:tcPr>
          <w:p>
            <w:pPr>
              <w:jc w:val="center"/>
              <w:rPr>
                <w:rFonts w:ascii="Times New Roman" w:hAnsi="Times New Roman"/>
              </w:rPr>
            </w:pPr>
            <w:r>
              <w:rPr>
                <w:rFonts w:ascii="Times New Roman" w:hAnsi="Times New Roman"/>
              </w:rPr>
              <w:t>4</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7" w:hRule="atLeast"/>
          <w:jc w:val="center"/>
        </w:trPr>
        <w:tc>
          <w:tcPr>
            <w:tcW w:w="819" w:type="dxa"/>
            <w:noWrap w:val="0"/>
            <w:vAlign w:val="center"/>
          </w:tcPr>
          <w:p>
            <w:pPr>
              <w:jc w:val="center"/>
              <w:rPr>
                <w:rFonts w:ascii="Times New Roman" w:hAnsi="Times New Roman"/>
              </w:rPr>
            </w:pPr>
            <w:r>
              <w:rPr>
                <w:rFonts w:ascii="Times New Roman" w:hAnsi="Times New Roman"/>
              </w:rPr>
              <w:t>4</w:t>
            </w:r>
          </w:p>
        </w:tc>
        <w:tc>
          <w:tcPr>
            <w:tcW w:w="4961" w:type="dxa"/>
            <w:noWrap w:val="0"/>
            <w:vAlign w:val="center"/>
          </w:tcPr>
          <w:p>
            <w:pPr>
              <w:rPr>
                <w:rFonts w:ascii="Times New Roman" w:hAnsi="Times New Roman"/>
              </w:rPr>
            </w:pPr>
            <w:r>
              <w:rPr>
                <w:rFonts w:ascii="Times New Roman" w:hAnsi="Times New Roman"/>
              </w:rPr>
              <w:t>定期对各类用水水质进行检测、公示</w:t>
            </w:r>
          </w:p>
        </w:tc>
        <w:tc>
          <w:tcPr>
            <w:tcW w:w="1701" w:type="dxa"/>
            <w:noWrap w:val="0"/>
            <w:vAlign w:val="center"/>
          </w:tcPr>
          <w:p>
            <w:pPr>
              <w:jc w:val="center"/>
              <w:rPr>
                <w:rFonts w:ascii="Times New Roman" w:hAnsi="Times New Roman"/>
              </w:rPr>
            </w:pPr>
            <w:r>
              <w:rPr>
                <w:rFonts w:ascii="Times New Roman" w:hAnsi="Times New Roman"/>
              </w:rPr>
              <w:t>2</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780" w:type="dxa"/>
            <w:gridSpan w:val="2"/>
            <w:noWrap w:val="0"/>
            <w:vAlign w:val="top"/>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rPr>
            </w:pPr>
            <w:r>
              <w:rPr>
                <w:rFonts w:ascii="Times New Roman" w:hAnsi="Times New Roman"/>
              </w:rPr>
              <w:t>12</w:t>
            </w:r>
          </w:p>
        </w:tc>
        <w:tc>
          <w:tcPr>
            <w:tcW w:w="1617"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项目是否制定绿色建筑运营效果评估的技术方案和计划：</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rPr>
          <w:rFonts w:ascii="Times New Roman" w:hAnsi="Times New Roman"/>
          <w:szCs w:val="21"/>
        </w:rPr>
      </w:pPr>
      <w:r>
        <w:rPr>
          <w:rFonts w:hint="eastAsia"/>
        </w:rPr>
        <w:t>请简要说明项目制定的绿色建筑运营效果评估技术方案和实施计划。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2" w:hRule="atLeast"/>
          <w:jc w:val="center"/>
        </w:trPr>
        <w:tc>
          <w:tcPr>
            <w:tcW w:w="9356" w:type="dxa"/>
            <w:shd w:val="clear" w:color="auto" w:fill="auto"/>
            <w:noWrap w:val="0"/>
            <w:vAlign w:val="top"/>
          </w:tcPr>
          <w:p>
            <w:pPr>
              <w:rPr>
                <w:rFonts w:ascii="Times New Roman" w:hAnsi="Times New Roman"/>
                <w:kern w:val="0"/>
                <w:sz w:val="20"/>
                <w:szCs w:val="21"/>
              </w:rPr>
            </w:pPr>
          </w:p>
        </w:tc>
      </w:tr>
    </w:tbl>
    <w:p>
      <w:pPr>
        <w:rPr>
          <w:rFonts w:ascii="Times New Roman" w:hAnsi="Times New Roman"/>
          <w:szCs w:val="21"/>
        </w:rPr>
      </w:pPr>
      <w:r>
        <w:rPr>
          <w:rFonts w:hint="eastAsia"/>
        </w:rPr>
        <w:t>请简要说明定期检查、调试公共设施设备，开展节能诊断评估以及水质检测公示的实施情况。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46"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1）绿色建筑运营效果评估的技术方案和实施计划；</w:t>
      </w:r>
    </w:p>
    <w:p>
      <w:pPr>
        <w:rPr>
          <w:rFonts w:ascii="Times New Roman" w:hAnsi="Times New Roman"/>
        </w:rPr>
      </w:pPr>
      <w:r>
        <w:rPr>
          <w:rFonts w:hint="eastAsia" w:ascii="Times New Roman" w:hAnsi="Times New Roman"/>
        </w:rPr>
        <w:t>2）公共设施设备的定期检查、调适记录；</w:t>
      </w:r>
    </w:p>
    <w:p>
      <w:pPr>
        <w:rPr>
          <w:rFonts w:ascii="Times New Roman" w:hAnsi="Times New Roman"/>
        </w:rPr>
      </w:pPr>
      <w:r>
        <w:rPr>
          <w:rFonts w:hint="eastAsia" w:ascii="Times New Roman" w:hAnsi="Times New Roman"/>
        </w:rPr>
        <w:t>3）定期开展节能诊断评估的物业管理制度文件以及实施记录；</w:t>
      </w:r>
    </w:p>
    <w:p>
      <w:pPr>
        <w:rPr>
          <w:rFonts w:ascii="Times New Roman" w:hAnsi="Times New Roman"/>
        </w:rPr>
      </w:pPr>
      <w:r>
        <w:rPr>
          <w:rFonts w:hint="eastAsia" w:ascii="Times New Roman" w:hAnsi="Times New Roman"/>
        </w:rPr>
        <w:t>4）定期开展各类用水水质检测、公示的管理制度文件以及实施记录。</w:t>
      </w:r>
    </w:p>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33"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6.2.13 建立绿色教育宣传和实践机制，编制绿色设施使用手册，形成良好的绿色氛围，并定期开展使用者满意度调查。（8分）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61"/>
        <w:gridCol w:w="1701"/>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819" w:type="dxa"/>
            <w:noWrap w:val="0"/>
            <w:vAlign w:val="center"/>
          </w:tcPr>
          <w:p>
            <w:pPr>
              <w:jc w:val="center"/>
              <w:rPr>
                <w:rFonts w:ascii="Times New Roman" w:hAnsi="Times New Roman"/>
                <w:lang w:val="zh-CN"/>
              </w:rPr>
            </w:pPr>
            <w:r>
              <w:rPr>
                <w:rFonts w:ascii="Times New Roman" w:hAnsi="Times New Roman"/>
                <w:lang w:val="zh-CN"/>
              </w:rPr>
              <w:t>序号</w:t>
            </w:r>
          </w:p>
        </w:tc>
        <w:tc>
          <w:tcPr>
            <w:tcW w:w="4961"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17"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19" w:type="dxa"/>
            <w:noWrap w:val="0"/>
            <w:vAlign w:val="center"/>
          </w:tcPr>
          <w:p>
            <w:pPr>
              <w:jc w:val="center"/>
              <w:rPr>
                <w:rFonts w:ascii="Times New Roman" w:hAnsi="Times New Roman"/>
              </w:rPr>
            </w:pPr>
            <w:r>
              <w:rPr>
                <w:rFonts w:ascii="Times New Roman" w:hAnsi="Times New Roman"/>
              </w:rPr>
              <w:t>1</w:t>
            </w:r>
          </w:p>
        </w:tc>
        <w:tc>
          <w:tcPr>
            <w:tcW w:w="4961" w:type="dxa"/>
            <w:noWrap w:val="0"/>
            <w:vAlign w:val="center"/>
          </w:tcPr>
          <w:p>
            <w:pPr>
              <w:rPr>
                <w:rFonts w:ascii="Times New Roman" w:hAnsi="Times New Roman"/>
              </w:rPr>
            </w:pPr>
            <w:r>
              <w:rPr>
                <w:rFonts w:ascii="Times New Roman" w:hAnsi="Times New Roman"/>
              </w:rPr>
              <w:t>每年组织不少于2次的绿色建筑技术宣传、绿色生活引导、灾害应急演练等绿色教育宣传和实践活动，并有活动记录</w:t>
            </w:r>
          </w:p>
        </w:tc>
        <w:tc>
          <w:tcPr>
            <w:tcW w:w="1701" w:type="dxa"/>
            <w:noWrap w:val="0"/>
            <w:vAlign w:val="center"/>
          </w:tcPr>
          <w:p>
            <w:pPr>
              <w:jc w:val="center"/>
              <w:rPr>
                <w:rFonts w:ascii="Times New Roman" w:hAnsi="Times New Roman"/>
              </w:rPr>
            </w:pPr>
            <w:r>
              <w:rPr>
                <w:rFonts w:ascii="Times New Roman" w:hAnsi="Times New Roman"/>
              </w:rPr>
              <w:t>2</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19" w:type="dxa"/>
            <w:noWrap w:val="0"/>
            <w:vAlign w:val="center"/>
          </w:tcPr>
          <w:p>
            <w:pPr>
              <w:jc w:val="center"/>
              <w:rPr>
                <w:rFonts w:ascii="Times New Roman" w:hAnsi="Times New Roman"/>
              </w:rPr>
            </w:pPr>
            <w:r>
              <w:rPr>
                <w:rFonts w:ascii="Times New Roman" w:hAnsi="Times New Roman"/>
              </w:rPr>
              <w:t>2</w:t>
            </w:r>
          </w:p>
        </w:tc>
        <w:tc>
          <w:tcPr>
            <w:tcW w:w="4961" w:type="dxa"/>
            <w:noWrap w:val="0"/>
            <w:vAlign w:val="center"/>
          </w:tcPr>
          <w:p>
            <w:pPr>
              <w:rPr>
                <w:rFonts w:ascii="Times New Roman" w:hAnsi="Times New Roman"/>
              </w:rPr>
            </w:pPr>
            <w:r>
              <w:rPr>
                <w:rFonts w:ascii="Times New Roman" w:hAnsi="Times New Roman"/>
              </w:rPr>
              <w:t>具有绿色生活展示、体验或交流分享的平台，并向使用者提供绿色设施使用手册</w:t>
            </w:r>
          </w:p>
        </w:tc>
        <w:tc>
          <w:tcPr>
            <w:tcW w:w="1701" w:type="dxa"/>
            <w:noWrap w:val="0"/>
            <w:vAlign w:val="center"/>
          </w:tcPr>
          <w:p>
            <w:pPr>
              <w:jc w:val="center"/>
              <w:rPr>
                <w:rFonts w:ascii="Times New Roman" w:hAnsi="Times New Roman"/>
              </w:rPr>
            </w:pPr>
            <w:r>
              <w:rPr>
                <w:rFonts w:ascii="Times New Roman" w:hAnsi="Times New Roman"/>
              </w:rPr>
              <w:t>3</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819" w:type="dxa"/>
            <w:noWrap w:val="0"/>
            <w:vAlign w:val="center"/>
          </w:tcPr>
          <w:p>
            <w:pPr>
              <w:jc w:val="center"/>
              <w:rPr>
                <w:rFonts w:ascii="Times New Roman" w:hAnsi="Times New Roman"/>
              </w:rPr>
            </w:pPr>
            <w:r>
              <w:rPr>
                <w:rFonts w:ascii="Times New Roman" w:hAnsi="Times New Roman"/>
              </w:rPr>
              <w:t>3</w:t>
            </w:r>
          </w:p>
        </w:tc>
        <w:tc>
          <w:tcPr>
            <w:tcW w:w="4961" w:type="dxa"/>
            <w:noWrap w:val="0"/>
            <w:vAlign w:val="center"/>
          </w:tcPr>
          <w:p>
            <w:pPr>
              <w:rPr>
                <w:rFonts w:ascii="Times New Roman" w:hAnsi="Times New Roman"/>
              </w:rPr>
            </w:pPr>
            <w:r>
              <w:rPr>
                <w:rFonts w:ascii="Times New Roman" w:hAnsi="Times New Roman"/>
              </w:rPr>
              <w:t>每年开展1次针对建筑绿色性能的使用者满意度调查，且根据调查结果制定改进措施并实施、公示</w:t>
            </w:r>
          </w:p>
        </w:tc>
        <w:tc>
          <w:tcPr>
            <w:tcW w:w="1701" w:type="dxa"/>
            <w:noWrap w:val="0"/>
            <w:vAlign w:val="center"/>
          </w:tcPr>
          <w:p>
            <w:pPr>
              <w:jc w:val="center"/>
              <w:rPr>
                <w:rFonts w:ascii="Times New Roman" w:hAnsi="Times New Roman"/>
              </w:rPr>
            </w:pPr>
            <w:r>
              <w:rPr>
                <w:rFonts w:ascii="Times New Roman" w:hAnsi="Times New Roman"/>
              </w:rPr>
              <w:t>3</w:t>
            </w:r>
          </w:p>
        </w:tc>
        <w:tc>
          <w:tcPr>
            <w:tcW w:w="1617" w:type="dxa"/>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780" w:type="dxa"/>
            <w:gridSpan w:val="2"/>
            <w:noWrap w:val="0"/>
            <w:vAlign w:val="top"/>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rPr>
            </w:pPr>
            <w:r>
              <w:rPr>
                <w:rFonts w:ascii="Times New Roman" w:hAnsi="Times New Roman"/>
              </w:rPr>
              <w:t>8</w:t>
            </w:r>
          </w:p>
        </w:tc>
        <w:tc>
          <w:tcPr>
            <w:tcW w:w="1617" w:type="dxa"/>
            <w:noWrap w:val="0"/>
            <w:vAlign w:val="center"/>
          </w:tcPr>
          <w:p>
            <w:pPr>
              <w:jc w:val="center"/>
              <w:rPr>
                <w:rFonts w:ascii="Times New Roman" w:hAnsi="Times New Roman"/>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300" w:lineRule="exact"/>
      </w:pPr>
      <w:r>
        <w:rPr>
          <w:rFonts w:hint="eastAsia"/>
        </w:rPr>
        <w:t>项目是否建立了绿色教育宣传和实践机制：</w:t>
      </w:r>
      <w:r>
        <w:rPr>
          <w:rFonts w:hint="eastAsia"/>
          <w:sz w:val="28"/>
        </w:rPr>
        <w:sym w:font="Wingdings 2" w:char="F0A3"/>
      </w:r>
      <w:r>
        <w:rPr>
          <w:rFonts w:hint="eastAsia"/>
        </w:rPr>
        <w:t xml:space="preserve">是 </w:t>
      </w:r>
      <w:r>
        <w:rPr>
          <w:rFonts w:hint="eastAsia"/>
          <w:sz w:val="28"/>
        </w:rPr>
        <w:sym w:font="Wingdings 2" w:char="F0A3"/>
      </w:r>
      <w:r>
        <w:rPr>
          <w:rFonts w:hint="eastAsia"/>
        </w:rPr>
        <w:t xml:space="preserve">否 </w:t>
      </w:r>
    </w:p>
    <w:p>
      <w:pPr>
        <w:spacing w:line="300" w:lineRule="exact"/>
        <w:rPr>
          <w:rFonts w:ascii="Times New Roman" w:hAnsi="Times New Roman"/>
          <w:szCs w:val="21"/>
        </w:rPr>
      </w:pPr>
      <w:r>
        <w:rPr>
          <w:rFonts w:hint="eastAsia"/>
        </w:rPr>
        <w:t>请简要说明项目绿色教育宣传计划、实践机制及绿色设施使用手册的内容，并介绍实施情况及满意度调查结果。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00"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spacing w:line="300" w:lineRule="exact"/>
        <w:rPr>
          <w:rFonts w:ascii="Times New Roman" w:hAnsi="Times New Roman"/>
          <w:szCs w:val="21"/>
        </w:rPr>
      </w:pPr>
      <w:r>
        <w:rPr>
          <w:rFonts w:ascii="Times New Roman" w:hAnsi="Times New Roman"/>
          <w:szCs w:val="21"/>
        </w:rPr>
        <w:t>提交材料及要求：</w:t>
      </w:r>
    </w:p>
    <w:p>
      <w:pPr>
        <w:spacing w:line="300" w:lineRule="exact"/>
        <w:rPr>
          <w:rFonts w:ascii="Times New Roman" w:hAnsi="Times New Roman"/>
        </w:rPr>
      </w:pPr>
      <w:r>
        <w:rPr>
          <w:rFonts w:hint="eastAsia" w:ascii="Times New Roman" w:hAnsi="Times New Roman"/>
        </w:rPr>
        <w:t>1）绿色教育宣传和时间活动记录，应包含活动的详细内容和存档文件；</w:t>
      </w:r>
    </w:p>
    <w:p>
      <w:pPr>
        <w:spacing w:line="300" w:lineRule="exact"/>
        <w:rPr>
          <w:rFonts w:ascii="Times New Roman" w:hAnsi="Times New Roman"/>
        </w:rPr>
      </w:pPr>
      <w:r>
        <w:rPr>
          <w:rFonts w:hint="eastAsia" w:ascii="Times New Roman" w:hAnsi="Times New Roman"/>
        </w:rPr>
        <w:t>2）绿色推广活动平台说明及绿色手册，应包括平台及使用手册内容介绍、发放记录；</w:t>
      </w:r>
    </w:p>
    <w:p>
      <w:pPr>
        <w:spacing w:line="300" w:lineRule="exact"/>
        <w:rPr>
          <w:rFonts w:ascii="Times New Roman" w:hAnsi="Times New Roman"/>
        </w:rPr>
      </w:pPr>
      <w:r>
        <w:rPr>
          <w:rFonts w:hint="eastAsia" w:ascii="Times New Roman" w:hAnsi="Times New Roman"/>
        </w:rPr>
        <w:t>3）满意度调查记录，应包括年度调查报告及整改方案。</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43" w:hRule="atLeast"/>
          <w:jc w:val="center"/>
        </w:trPr>
        <w:tc>
          <w:tcPr>
            <w:tcW w:w="9356" w:type="dxa"/>
            <w:shd w:val="clear" w:color="auto" w:fill="auto"/>
            <w:noWrap w:val="0"/>
            <w:vAlign w:val="top"/>
          </w:tcPr>
          <w:p>
            <w:pPr>
              <w:rPr>
                <w:rFonts w:ascii="Times New Roman" w:hAnsi="Times New Roman"/>
                <w:kern w:val="0"/>
                <w:sz w:val="20"/>
                <w:szCs w:val="21"/>
              </w:rPr>
            </w:pPr>
          </w:p>
        </w:tc>
      </w:tr>
    </w:tbl>
    <w:p/>
    <w:p>
      <w:pPr>
        <w:jc w:val="center"/>
      </w:pPr>
      <w:r>
        <w:rPr>
          <w:rFonts w:ascii="宋体" w:hAnsi="宋体"/>
          <w:b/>
          <w:bCs/>
          <w:color w:val="000000"/>
          <w:sz w:val="24"/>
          <w:szCs w:val="24"/>
        </w:rPr>
        <w:br w:type="page"/>
      </w:r>
      <w:r>
        <w:rPr>
          <w:rFonts w:hint="eastAsia" w:ascii="宋体" w:hAnsi="宋体"/>
          <w:b/>
          <w:bCs/>
          <w:color w:val="000000"/>
          <w:sz w:val="24"/>
          <w:szCs w:val="24"/>
        </w:rPr>
        <w:t>7 资源节约</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0"/>
        <w:gridCol w:w="876"/>
        <w:gridCol w:w="5000"/>
        <w:gridCol w:w="80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shd w:val="clear" w:color="auto" w:fill="DCDCDC"/>
            <w:noWrap w:val="0"/>
            <w:vAlign w:val="center"/>
          </w:tcPr>
          <w:p>
            <w:pPr>
              <w:jc w:val="center"/>
            </w:pPr>
            <w:r>
              <w:rPr>
                <w:rFonts w:hint="eastAsia" w:ascii="宋体" w:hAnsi="宋体"/>
                <w:b/>
                <w:bCs/>
                <w:color w:val="000000"/>
                <w:sz w:val="20"/>
                <w:szCs w:val="20"/>
              </w:rPr>
              <w:t>子项</w:t>
            </w:r>
          </w:p>
        </w:tc>
        <w:tc>
          <w:tcPr>
            <w:tcW w:w="800" w:type="dxa"/>
            <w:shd w:val="clear" w:color="auto" w:fill="DCDCDC"/>
            <w:noWrap w:val="0"/>
            <w:vAlign w:val="center"/>
          </w:tcPr>
          <w:p>
            <w:pPr>
              <w:jc w:val="center"/>
            </w:pPr>
            <w:r>
              <w:rPr>
                <w:rFonts w:hint="eastAsia" w:ascii="宋体" w:hAnsi="宋体"/>
                <w:b/>
                <w:bCs/>
                <w:color w:val="000000"/>
                <w:sz w:val="22"/>
              </w:rPr>
              <w:t>条文编号</w:t>
            </w:r>
          </w:p>
        </w:tc>
        <w:tc>
          <w:tcPr>
            <w:tcW w:w="5000" w:type="dxa"/>
            <w:shd w:val="clear" w:color="auto" w:fill="DCDCDC"/>
            <w:noWrap w:val="0"/>
            <w:vAlign w:val="center"/>
          </w:tcPr>
          <w:p>
            <w:pPr>
              <w:jc w:val="center"/>
            </w:pPr>
            <w:r>
              <w:rPr>
                <w:rFonts w:hint="eastAsia" w:ascii="宋体" w:hAnsi="宋体"/>
                <w:b/>
                <w:bCs/>
                <w:color w:val="000000"/>
                <w:sz w:val="20"/>
                <w:szCs w:val="20"/>
              </w:rPr>
              <w:t>条文</w:t>
            </w:r>
          </w:p>
        </w:tc>
        <w:tc>
          <w:tcPr>
            <w:tcW w:w="800" w:type="dxa"/>
            <w:shd w:val="clear" w:color="auto" w:fill="DCDCDC"/>
            <w:noWrap w:val="0"/>
            <w:vAlign w:val="center"/>
          </w:tcPr>
          <w:p>
            <w:pPr>
              <w:jc w:val="center"/>
            </w:pPr>
            <w:r>
              <w:rPr>
                <w:rFonts w:hint="eastAsia" w:ascii="宋体" w:hAnsi="宋体"/>
                <w:b/>
                <w:bCs/>
                <w:color w:val="000000"/>
                <w:sz w:val="20"/>
                <w:szCs w:val="20"/>
              </w:rPr>
              <w:t>满分</w:t>
            </w:r>
          </w:p>
        </w:tc>
        <w:tc>
          <w:tcPr>
            <w:tcW w:w="800" w:type="dxa"/>
            <w:shd w:val="clear" w:color="auto" w:fill="DCDCDC"/>
            <w:noWrap w:val="0"/>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控制项</w:t>
            </w:r>
          </w:p>
        </w:tc>
        <w:tc>
          <w:tcPr>
            <w:tcW w:w="800" w:type="dxa"/>
            <w:noWrap w:val="0"/>
            <w:vAlign w:val="center"/>
          </w:tcPr>
          <w:p>
            <w:r>
              <w:rPr>
                <w:rFonts w:hint="eastAsia" w:ascii="宋体" w:hAnsi="宋体"/>
                <w:bCs/>
                <w:color w:val="000000"/>
                <w:sz w:val="22"/>
              </w:rPr>
              <w:t>7.1.1</w:t>
            </w:r>
          </w:p>
        </w:tc>
        <w:tc>
          <w:tcPr>
            <w:tcW w:w="5000" w:type="dxa"/>
            <w:noWrap w:val="0"/>
            <w:vAlign w:val="center"/>
          </w:tcPr>
          <w:p>
            <w:r>
              <w:rPr>
                <w:rFonts w:hint="eastAsia" w:ascii="宋体" w:hAnsi="宋体"/>
                <w:bCs/>
                <w:color w:val="000000"/>
                <w:sz w:val="22"/>
              </w:rPr>
              <w:t>建筑设计优化</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7.1.2</w:t>
            </w:r>
          </w:p>
        </w:tc>
        <w:tc>
          <w:tcPr>
            <w:tcW w:w="5000" w:type="dxa"/>
            <w:noWrap w:val="0"/>
            <w:vAlign w:val="center"/>
          </w:tcPr>
          <w:p>
            <w:r>
              <w:rPr>
                <w:rFonts w:hint="eastAsia" w:ascii="宋体" w:hAnsi="宋体"/>
                <w:bCs/>
                <w:color w:val="000000"/>
                <w:sz w:val="22"/>
              </w:rPr>
              <w:t>降低负荷能耗</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7.1.3</w:t>
            </w:r>
          </w:p>
        </w:tc>
        <w:tc>
          <w:tcPr>
            <w:tcW w:w="5000" w:type="dxa"/>
            <w:noWrap w:val="0"/>
            <w:vAlign w:val="center"/>
          </w:tcPr>
          <w:p>
            <w:r>
              <w:rPr>
                <w:rFonts w:hint="eastAsia" w:ascii="宋体" w:hAnsi="宋体"/>
                <w:bCs/>
                <w:color w:val="000000"/>
                <w:sz w:val="22"/>
              </w:rPr>
              <w:t>温度分区设置</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7.1.4</w:t>
            </w:r>
          </w:p>
        </w:tc>
        <w:tc>
          <w:tcPr>
            <w:tcW w:w="5000" w:type="dxa"/>
            <w:noWrap w:val="0"/>
            <w:vAlign w:val="center"/>
          </w:tcPr>
          <w:p>
            <w:r>
              <w:rPr>
                <w:rFonts w:hint="eastAsia" w:ascii="宋体" w:hAnsi="宋体"/>
                <w:bCs/>
                <w:color w:val="000000"/>
                <w:sz w:val="22"/>
              </w:rPr>
              <w:t>照明功率密度</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7.1.5</w:t>
            </w:r>
          </w:p>
        </w:tc>
        <w:tc>
          <w:tcPr>
            <w:tcW w:w="5000" w:type="dxa"/>
            <w:noWrap w:val="0"/>
            <w:vAlign w:val="center"/>
          </w:tcPr>
          <w:p>
            <w:r>
              <w:rPr>
                <w:rFonts w:hint="eastAsia" w:ascii="宋体" w:hAnsi="宋体"/>
                <w:bCs/>
                <w:color w:val="000000"/>
                <w:sz w:val="22"/>
              </w:rPr>
              <w:t>能耗分项计量</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7.1.6</w:t>
            </w:r>
          </w:p>
        </w:tc>
        <w:tc>
          <w:tcPr>
            <w:tcW w:w="5000" w:type="dxa"/>
            <w:noWrap w:val="0"/>
            <w:vAlign w:val="center"/>
          </w:tcPr>
          <w:p>
            <w:r>
              <w:rPr>
                <w:rFonts w:hint="eastAsia" w:ascii="宋体" w:hAnsi="宋体"/>
                <w:bCs/>
                <w:color w:val="000000"/>
                <w:sz w:val="22"/>
              </w:rPr>
              <w:t>电梯扶梯节能</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7.1.7</w:t>
            </w:r>
          </w:p>
        </w:tc>
        <w:tc>
          <w:tcPr>
            <w:tcW w:w="5000" w:type="dxa"/>
            <w:noWrap w:val="0"/>
            <w:vAlign w:val="center"/>
          </w:tcPr>
          <w:p>
            <w:r>
              <w:rPr>
                <w:rFonts w:hint="eastAsia" w:ascii="宋体" w:hAnsi="宋体"/>
                <w:bCs/>
                <w:color w:val="000000"/>
                <w:sz w:val="22"/>
              </w:rPr>
              <w:t>水资源利用方案</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7.1.8</w:t>
            </w:r>
          </w:p>
        </w:tc>
        <w:tc>
          <w:tcPr>
            <w:tcW w:w="5000" w:type="dxa"/>
            <w:noWrap w:val="0"/>
            <w:vAlign w:val="center"/>
          </w:tcPr>
          <w:p>
            <w:r>
              <w:rPr>
                <w:rFonts w:hint="eastAsia" w:ascii="宋体" w:hAnsi="宋体"/>
                <w:bCs/>
                <w:color w:val="000000"/>
                <w:sz w:val="22"/>
              </w:rPr>
              <w:t>建筑形体规则</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7.1.9</w:t>
            </w:r>
          </w:p>
        </w:tc>
        <w:tc>
          <w:tcPr>
            <w:tcW w:w="5000" w:type="dxa"/>
            <w:noWrap w:val="0"/>
            <w:vAlign w:val="center"/>
          </w:tcPr>
          <w:p>
            <w:r>
              <w:rPr>
                <w:rFonts w:hint="eastAsia" w:ascii="宋体" w:hAnsi="宋体"/>
                <w:bCs/>
                <w:color w:val="000000"/>
                <w:sz w:val="22"/>
              </w:rPr>
              <w:t>建筑造型简约</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7.1.10</w:t>
            </w:r>
          </w:p>
        </w:tc>
        <w:tc>
          <w:tcPr>
            <w:tcW w:w="5000" w:type="dxa"/>
            <w:noWrap w:val="0"/>
            <w:vAlign w:val="center"/>
          </w:tcPr>
          <w:p>
            <w:r>
              <w:rPr>
                <w:rFonts w:hint="eastAsia" w:ascii="宋体" w:hAnsi="宋体"/>
                <w:bCs/>
                <w:color w:val="000000"/>
                <w:sz w:val="22"/>
              </w:rPr>
              <w:t>建材本地化</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评分项</w:t>
            </w:r>
          </w:p>
        </w:tc>
        <w:tc>
          <w:tcPr>
            <w:tcW w:w="800" w:type="dxa"/>
            <w:noWrap w:val="0"/>
            <w:vAlign w:val="center"/>
          </w:tcPr>
          <w:p>
            <w:r>
              <w:rPr>
                <w:rFonts w:hint="eastAsia" w:ascii="宋体" w:hAnsi="宋体"/>
                <w:bCs/>
                <w:color w:val="000000"/>
                <w:sz w:val="22"/>
              </w:rPr>
              <w:t>7.2.1</w:t>
            </w:r>
          </w:p>
        </w:tc>
        <w:tc>
          <w:tcPr>
            <w:tcW w:w="5000" w:type="dxa"/>
            <w:noWrap w:val="0"/>
            <w:vAlign w:val="center"/>
          </w:tcPr>
          <w:p>
            <w:r>
              <w:rPr>
                <w:rFonts w:hint="eastAsia" w:ascii="宋体" w:hAnsi="宋体"/>
                <w:bCs/>
                <w:color w:val="000000"/>
                <w:sz w:val="22"/>
              </w:rPr>
              <w:t>节约集约用地</w:t>
            </w:r>
          </w:p>
        </w:tc>
        <w:tc>
          <w:tcPr>
            <w:tcW w:w="800" w:type="dxa"/>
            <w:noWrap w:val="0"/>
            <w:vAlign w:val="center"/>
          </w:tcPr>
          <w:p>
            <w:pPr>
              <w:jc w:val="center"/>
            </w:pPr>
            <w:r>
              <w:rPr>
                <w:rFonts w:hint="eastAsia" w:ascii="宋体" w:hAnsi="宋体"/>
                <w:bCs/>
                <w:color w:val="000000"/>
                <w:sz w:val="22"/>
              </w:rPr>
              <w:t>20</w:t>
            </w:r>
          </w:p>
        </w:tc>
        <w:tc>
          <w:tcPr>
            <w:tcW w:w="800" w:type="dxa"/>
            <w:noWrap w:val="0"/>
            <w:vAlign w:val="center"/>
          </w:tcPr>
          <w:p>
            <w:pPr>
              <w:jc w:val="center"/>
            </w:pPr>
            <w:r>
              <w:rPr>
                <w:rFonts w:hint="eastAsia" w:ascii="宋体" w:hAnsi="宋体"/>
                <w:bCs/>
                <w:color w:val="000000"/>
                <w:sz w:val="22"/>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7.2.2</w:t>
            </w:r>
          </w:p>
        </w:tc>
        <w:tc>
          <w:tcPr>
            <w:tcW w:w="5000" w:type="dxa"/>
            <w:noWrap w:val="0"/>
            <w:vAlign w:val="center"/>
          </w:tcPr>
          <w:p>
            <w:r>
              <w:rPr>
                <w:rFonts w:hint="eastAsia" w:ascii="宋体" w:hAnsi="宋体"/>
                <w:bCs/>
                <w:color w:val="000000"/>
                <w:sz w:val="22"/>
              </w:rPr>
              <w:t>地下空间</w:t>
            </w:r>
          </w:p>
        </w:tc>
        <w:tc>
          <w:tcPr>
            <w:tcW w:w="800" w:type="dxa"/>
            <w:noWrap w:val="0"/>
            <w:vAlign w:val="center"/>
          </w:tcPr>
          <w:p>
            <w:pPr>
              <w:jc w:val="center"/>
            </w:pPr>
            <w:r>
              <w:rPr>
                <w:rFonts w:hint="eastAsia" w:ascii="宋体" w:hAnsi="宋体"/>
                <w:bCs/>
                <w:color w:val="000000"/>
                <w:sz w:val="22"/>
              </w:rPr>
              <w:t>12</w:t>
            </w:r>
          </w:p>
        </w:tc>
        <w:tc>
          <w:tcPr>
            <w:tcW w:w="800" w:type="dxa"/>
            <w:noWrap w:val="0"/>
            <w:vAlign w:val="center"/>
          </w:tcPr>
          <w:p>
            <w:pPr>
              <w:jc w:val="center"/>
            </w:pPr>
            <w:r>
              <w:rPr>
                <w:rFonts w:hint="eastAsia" w:ascii="宋体" w:hAnsi="宋体"/>
                <w:bCs/>
                <w:color w:val="000000"/>
                <w:sz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7.2.3</w:t>
            </w:r>
          </w:p>
        </w:tc>
        <w:tc>
          <w:tcPr>
            <w:tcW w:w="5000" w:type="dxa"/>
            <w:noWrap w:val="0"/>
            <w:vAlign w:val="center"/>
          </w:tcPr>
          <w:p>
            <w:r>
              <w:rPr>
                <w:rFonts w:hint="eastAsia" w:ascii="宋体" w:hAnsi="宋体"/>
                <w:bCs/>
                <w:color w:val="000000"/>
                <w:sz w:val="22"/>
              </w:rPr>
              <w:t>停车场所</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7.2.4</w:t>
            </w:r>
          </w:p>
        </w:tc>
        <w:tc>
          <w:tcPr>
            <w:tcW w:w="5000" w:type="dxa"/>
            <w:noWrap w:val="0"/>
            <w:vAlign w:val="center"/>
          </w:tcPr>
          <w:p>
            <w:r>
              <w:rPr>
                <w:rFonts w:hint="eastAsia" w:ascii="宋体" w:hAnsi="宋体"/>
                <w:bCs/>
                <w:color w:val="000000"/>
                <w:sz w:val="22"/>
              </w:rPr>
              <w:t>热工性能优化</w:t>
            </w:r>
          </w:p>
        </w:tc>
        <w:tc>
          <w:tcPr>
            <w:tcW w:w="800" w:type="dxa"/>
            <w:noWrap w:val="0"/>
            <w:vAlign w:val="center"/>
          </w:tcPr>
          <w:p>
            <w:pPr>
              <w:jc w:val="center"/>
            </w:pPr>
            <w:r>
              <w:rPr>
                <w:rFonts w:hint="eastAsia" w:ascii="宋体" w:hAnsi="宋体"/>
                <w:bCs/>
                <w:color w:val="000000"/>
                <w:sz w:val="22"/>
              </w:rPr>
              <w:t>15</w:t>
            </w:r>
          </w:p>
        </w:tc>
        <w:tc>
          <w:tcPr>
            <w:tcW w:w="800" w:type="dxa"/>
            <w:noWrap w:val="0"/>
            <w:vAlign w:val="center"/>
          </w:tcPr>
          <w:p>
            <w:pPr>
              <w:jc w:val="center"/>
            </w:pPr>
            <w:r>
              <w:rPr>
                <w:rFonts w:hint="eastAsia" w:ascii="宋体" w:hAnsi="宋体"/>
                <w:bCs/>
                <w:color w:val="000000"/>
                <w:sz w:val="22"/>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7.2.5</w:t>
            </w:r>
          </w:p>
        </w:tc>
        <w:tc>
          <w:tcPr>
            <w:tcW w:w="5000" w:type="dxa"/>
            <w:noWrap w:val="0"/>
            <w:vAlign w:val="center"/>
          </w:tcPr>
          <w:p>
            <w:r>
              <w:rPr>
                <w:rFonts w:hint="eastAsia" w:ascii="宋体" w:hAnsi="宋体"/>
                <w:bCs/>
                <w:color w:val="000000"/>
                <w:sz w:val="22"/>
              </w:rPr>
              <w:t>空调冷热源</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7.2.6</w:t>
            </w:r>
          </w:p>
        </w:tc>
        <w:tc>
          <w:tcPr>
            <w:tcW w:w="5000" w:type="dxa"/>
            <w:noWrap w:val="0"/>
            <w:vAlign w:val="center"/>
          </w:tcPr>
          <w:p>
            <w:r>
              <w:rPr>
                <w:rFonts w:hint="eastAsia" w:ascii="宋体" w:hAnsi="宋体"/>
                <w:bCs/>
                <w:color w:val="000000"/>
                <w:sz w:val="22"/>
              </w:rPr>
              <w:t>空调末端及输配系统</w:t>
            </w:r>
          </w:p>
        </w:tc>
        <w:tc>
          <w:tcPr>
            <w:tcW w:w="800" w:type="dxa"/>
            <w:noWrap w:val="0"/>
            <w:vAlign w:val="center"/>
          </w:tcPr>
          <w:p>
            <w:pPr>
              <w:jc w:val="center"/>
            </w:pPr>
            <w:r>
              <w:rPr>
                <w:rFonts w:hint="eastAsia" w:ascii="宋体" w:hAnsi="宋体"/>
                <w:bCs/>
                <w:color w:val="000000"/>
                <w:sz w:val="22"/>
              </w:rPr>
              <w:t>5</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7.2.7</w:t>
            </w:r>
          </w:p>
        </w:tc>
        <w:tc>
          <w:tcPr>
            <w:tcW w:w="5000" w:type="dxa"/>
            <w:noWrap w:val="0"/>
            <w:vAlign w:val="center"/>
          </w:tcPr>
          <w:p>
            <w:r>
              <w:rPr>
                <w:rFonts w:hint="eastAsia" w:ascii="宋体" w:hAnsi="宋体"/>
                <w:bCs/>
                <w:color w:val="000000"/>
                <w:sz w:val="22"/>
              </w:rPr>
              <w:t>节能电气设备</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7.2.8</w:t>
            </w:r>
          </w:p>
        </w:tc>
        <w:tc>
          <w:tcPr>
            <w:tcW w:w="5000" w:type="dxa"/>
            <w:noWrap w:val="0"/>
            <w:vAlign w:val="center"/>
          </w:tcPr>
          <w:p>
            <w:r>
              <w:rPr>
                <w:rFonts w:hint="eastAsia" w:ascii="宋体" w:hAnsi="宋体"/>
                <w:bCs/>
                <w:color w:val="000000"/>
                <w:sz w:val="22"/>
              </w:rPr>
              <w:t>降低建筑能耗</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7.2.9</w:t>
            </w:r>
          </w:p>
        </w:tc>
        <w:tc>
          <w:tcPr>
            <w:tcW w:w="5000" w:type="dxa"/>
            <w:noWrap w:val="0"/>
            <w:vAlign w:val="center"/>
          </w:tcPr>
          <w:p>
            <w:r>
              <w:rPr>
                <w:rFonts w:hint="eastAsia" w:ascii="宋体" w:hAnsi="宋体"/>
                <w:bCs/>
                <w:color w:val="000000"/>
                <w:sz w:val="22"/>
              </w:rPr>
              <w:t>可再生能源利用</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7.2.10</w:t>
            </w:r>
          </w:p>
        </w:tc>
        <w:tc>
          <w:tcPr>
            <w:tcW w:w="5000" w:type="dxa"/>
            <w:noWrap w:val="0"/>
            <w:vAlign w:val="center"/>
          </w:tcPr>
          <w:p>
            <w:r>
              <w:rPr>
                <w:rFonts w:hint="eastAsia" w:ascii="宋体" w:hAnsi="宋体"/>
                <w:bCs/>
                <w:color w:val="000000"/>
                <w:sz w:val="22"/>
              </w:rPr>
              <w:t>卫生器具水效</w:t>
            </w:r>
          </w:p>
        </w:tc>
        <w:tc>
          <w:tcPr>
            <w:tcW w:w="800" w:type="dxa"/>
            <w:noWrap w:val="0"/>
            <w:vAlign w:val="center"/>
          </w:tcPr>
          <w:p>
            <w:pPr>
              <w:jc w:val="center"/>
            </w:pPr>
            <w:r>
              <w:rPr>
                <w:rFonts w:hint="eastAsia" w:ascii="宋体" w:hAnsi="宋体"/>
                <w:bCs/>
                <w:color w:val="000000"/>
                <w:sz w:val="22"/>
              </w:rPr>
              <w:t>15</w:t>
            </w:r>
          </w:p>
        </w:tc>
        <w:tc>
          <w:tcPr>
            <w:tcW w:w="800" w:type="dxa"/>
            <w:noWrap w:val="0"/>
            <w:vAlign w:val="center"/>
          </w:tcPr>
          <w:p>
            <w:pPr>
              <w:jc w:val="center"/>
            </w:pPr>
            <w:r>
              <w:rPr>
                <w:rFonts w:hint="eastAsia" w:ascii="宋体" w:hAnsi="宋体"/>
                <w:bCs/>
                <w:color w:val="000000"/>
                <w:sz w:val="22"/>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7.2.11</w:t>
            </w:r>
          </w:p>
        </w:tc>
        <w:tc>
          <w:tcPr>
            <w:tcW w:w="5000" w:type="dxa"/>
            <w:noWrap w:val="0"/>
            <w:vAlign w:val="center"/>
          </w:tcPr>
          <w:p>
            <w:r>
              <w:rPr>
                <w:rFonts w:hint="eastAsia" w:ascii="宋体" w:hAnsi="宋体"/>
                <w:bCs/>
                <w:color w:val="000000"/>
                <w:sz w:val="22"/>
              </w:rPr>
              <w:t>其他节水措施</w:t>
            </w:r>
          </w:p>
        </w:tc>
        <w:tc>
          <w:tcPr>
            <w:tcW w:w="800" w:type="dxa"/>
            <w:noWrap w:val="0"/>
            <w:vAlign w:val="center"/>
          </w:tcPr>
          <w:p>
            <w:pPr>
              <w:jc w:val="center"/>
            </w:pPr>
            <w:r>
              <w:rPr>
                <w:rFonts w:hint="eastAsia" w:ascii="宋体" w:hAnsi="宋体"/>
                <w:bCs/>
                <w:color w:val="000000"/>
                <w:sz w:val="22"/>
              </w:rPr>
              <w:t>12</w:t>
            </w:r>
          </w:p>
        </w:tc>
        <w:tc>
          <w:tcPr>
            <w:tcW w:w="800" w:type="dxa"/>
            <w:noWrap w:val="0"/>
            <w:vAlign w:val="center"/>
          </w:tcPr>
          <w:p>
            <w:pPr>
              <w:jc w:val="center"/>
            </w:pPr>
            <w:r>
              <w:rPr>
                <w:rFonts w:hint="eastAsia" w:ascii="宋体" w:hAnsi="宋体"/>
                <w:bCs/>
                <w:color w:val="000000"/>
                <w:sz w:val="22"/>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7.2.12</w:t>
            </w:r>
          </w:p>
        </w:tc>
        <w:tc>
          <w:tcPr>
            <w:tcW w:w="5000" w:type="dxa"/>
            <w:noWrap w:val="0"/>
            <w:vAlign w:val="center"/>
          </w:tcPr>
          <w:p>
            <w:r>
              <w:rPr>
                <w:rFonts w:hint="eastAsia" w:ascii="宋体" w:hAnsi="宋体"/>
                <w:bCs/>
                <w:color w:val="000000"/>
                <w:sz w:val="22"/>
              </w:rPr>
              <w:t>景观水体</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7.2.13</w:t>
            </w:r>
          </w:p>
        </w:tc>
        <w:tc>
          <w:tcPr>
            <w:tcW w:w="5000" w:type="dxa"/>
            <w:noWrap w:val="0"/>
            <w:vAlign w:val="center"/>
          </w:tcPr>
          <w:p>
            <w:r>
              <w:rPr>
                <w:rFonts w:hint="eastAsia" w:ascii="宋体" w:hAnsi="宋体"/>
                <w:bCs/>
                <w:color w:val="000000"/>
                <w:sz w:val="22"/>
              </w:rPr>
              <w:t>非传统水源</w:t>
            </w:r>
          </w:p>
        </w:tc>
        <w:tc>
          <w:tcPr>
            <w:tcW w:w="800" w:type="dxa"/>
            <w:noWrap w:val="0"/>
            <w:vAlign w:val="center"/>
          </w:tcPr>
          <w:p>
            <w:pPr>
              <w:jc w:val="center"/>
            </w:pPr>
            <w:r>
              <w:rPr>
                <w:rFonts w:hint="eastAsia" w:ascii="宋体" w:hAnsi="宋体"/>
                <w:bCs/>
                <w:color w:val="000000"/>
                <w:sz w:val="22"/>
              </w:rPr>
              <w:t>15</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7.2.14</w:t>
            </w:r>
          </w:p>
        </w:tc>
        <w:tc>
          <w:tcPr>
            <w:tcW w:w="5000" w:type="dxa"/>
            <w:noWrap w:val="0"/>
            <w:vAlign w:val="center"/>
          </w:tcPr>
          <w:p>
            <w:r>
              <w:rPr>
                <w:rFonts w:hint="eastAsia" w:ascii="宋体" w:hAnsi="宋体"/>
                <w:bCs/>
                <w:color w:val="000000"/>
                <w:sz w:val="22"/>
              </w:rPr>
              <w:t>土建装修一体化</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7.2.15</w:t>
            </w:r>
          </w:p>
        </w:tc>
        <w:tc>
          <w:tcPr>
            <w:tcW w:w="5000" w:type="dxa"/>
            <w:noWrap w:val="0"/>
            <w:vAlign w:val="center"/>
          </w:tcPr>
          <w:p>
            <w:r>
              <w:rPr>
                <w:rFonts w:hint="eastAsia" w:ascii="宋体" w:hAnsi="宋体"/>
                <w:bCs/>
                <w:color w:val="000000"/>
                <w:sz w:val="22"/>
              </w:rPr>
              <w:t>高强结构材料</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7.2.16</w:t>
            </w:r>
          </w:p>
        </w:tc>
        <w:tc>
          <w:tcPr>
            <w:tcW w:w="5000" w:type="dxa"/>
            <w:noWrap w:val="0"/>
            <w:vAlign w:val="center"/>
          </w:tcPr>
          <w:p>
            <w:r>
              <w:rPr>
                <w:rFonts w:hint="eastAsia" w:ascii="宋体" w:hAnsi="宋体"/>
                <w:bCs/>
                <w:color w:val="000000"/>
                <w:sz w:val="22"/>
              </w:rPr>
              <w:t>工业化内装</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7.2.17</w:t>
            </w:r>
          </w:p>
        </w:tc>
        <w:tc>
          <w:tcPr>
            <w:tcW w:w="5000" w:type="dxa"/>
            <w:noWrap w:val="0"/>
            <w:vAlign w:val="center"/>
          </w:tcPr>
          <w:p>
            <w:r>
              <w:rPr>
                <w:rFonts w:hint="eastAsia" w:ascii="宋体" w:hAnsi="宋体"/>
                <w:bCs/>
                <w:color w:val="000000"/>
                <w:sz w:val="22"/>
              </w:rPr>
              <w:t>材料循环利用</w:t>
            </w:r>
          </w:p>
        </w:tc>
        <w:tc>
          <w:tcPr>
            <w:tcW w:w="800" w:type="dxa"/>
            <w:noWrap w:val="0"/>
            <w:vAlign w:val="center"/>
          </w:tcPr>
          <w:p>
            <w:pPr>
              <w:jc w:val="center"/>
            </w:pPr>
            <w:r>
              <w:rPr>
                <w:rFonts w:hint="eastAsia" w:ascii="宋体" w:hAnsi="宋体"/>
                <w:bCs/>
                <w:color w:val="000000"/>
                <w:sz w:val="22"/>
              </w:rPr>
              <w:t>12</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7.2.18</w:t>
            </w:r>
          </w:p>
        </w:tc>
        <w:tc>
          <w:tcPr>
            <w:tcW w:w="5000" w:type="dxa"/>
            <w:noWrap w:val="0"/>
            <w:vAlign w:val="center"/>
          </w:tcPr>
          <w:p>
            <w:r>
              <w:rPr>
                <w:rFonts w:hint="eastAsia" w:ascii="宋体" w:hAnsi="宋体"/>
                <w:bCs/>
                <w:color w:val="000000"/>
                <w:sz w:val="22"/>
              </w:rPr>
              <w:t>绿色建材</w:t>
            </w:r>
          </w:p>
        </w:tc>
        <w:tc>
          <w:tcPr>
            <w:tcW w:w="800" w:type="dxa"/>
            <w:noWrap w:val="0"/>
            <w:vAlign w:val="center"/>
          </w:tcPr>
          <w:p>
            <w:pPr>
              <w:jc w:val="center"/>
            </w:pPr>
            <w:r>
              <w:rPr>
                <w:rFonts w:hint="eastAsia" w:ascii="宋体" w:hAnsi="宋体"/>
                <w:bCs/>
                <w:color w:val="000000"/>
                <w:sz w:val="22"/>
              </w:rPr>
              <w:t>12</w:t>
            </w:r>
          </w:p>
        </w:tc>
        <w:tc>
          <w:tcPr>
            <w:tcW w:w="800" w:type="dxa"/>
            <w:noWrap w:val="0"/>
            <w:vAlign w:val="center"/>
          </w:tcPr>
          <w:p>
            <w:pPr>
              <w:jc w:val="center"/>
            </w:pPr>
            <w:r>
              <w:rPr>
                <w:rFonts w:hint="eastAsia" w:ascii="宋体" w:hAnsi="宋体"/>
                <w:bCs/>
                <w:color w:val="000000"/>
                <w:sz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gridSpan w:val="3"/>
            <w:shd w:val="clear" w:color="auto" w:fill="DCDCDC"/>
            <w:noWrap w:val="0"/>
            <w:vAlign w:val="center"/>
          </w:tcPr>
          <w:p>
            <w:pPr>
              <w:jc w:val="center"/>
            </w:pPr>
            <w:r>
              <w:rPr>
                <w:rFonts w:hint="eastAsia" w:ascii="宋体" w:hAnsi="宋体"/>
                <w:b/>
                <w:bCs/>
                <w:color w:val="000000"/>
                <w:sz w:val="20"/>
                <w:szCs w:val="20"/>
              </w:rPr>
              <w:t>合计</w:t>
            </w:r>
          </w:p>
        </w:tc>
        <w:tc>
          <w:tcPr>
            <w:tcW w:w="800" w:type="dxa"/>
            <w:noWrap w:val="0"/>
            <w:vAlign w:val="center"/>
          </w:tcPr>
          <w:p>
            <w:pPr>
              <w:jc w:val="center"/>
            </w:pPr>
            <w:r>
              <w:rPr>
                <w:rFonts w:hint="eastAsia" w:ascii="宋体" w:hAnsi="宋体"/>
                <w:bCs/>
                <w:color w:val="000000"/>
                <w:sz w:val="22"/>
              </w:rPr>
              <w:t>200.0</w:t>
            </w:r>
          </w:p>
        </w:tc>
        <w:tc>
          <w:tcPr>
            <w:tcW w:w="800" w:type="dxa"/>
            <w:noWrap w:val="0"/>
            <w:vAlign w:val="center"/>
          </w:tcPr>
          <w:p>
            <w:pPr>
              <w:jc w:val="center"/>
            </w:pPr>
            <w:r>
              <w:rPr>
                <w:rFonts w:hint="eastAsia" w:ascii="宋体" w:hAnsi="宋体"/>
                <w:bCs/>
                <w:color w:val="000000"/>
                <w:sz w:val="22"/>
              </w:rPr>
              <w:t>150.0</w:t>
            </w: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7.1.1 应</w:t>
      </w:r>
      <w:r>
        <w:rPr>
          <w:sz w:val="24"/>
          <w:szCs w:val="40"/>
        </w:rPr>
        <w:t>结合场地</w:t>
      </w:r>
      <w:r>
        <w:rPr>
          <w:rFonts w:hint="eastAsia"/>
          <w:sz w:val="24"/>
          <w:szCs w:val="40"/>
        </w:rPr>
        <w:t>自然</w:t>
      </w:r>
      <w:r>
        <w:rPr>
          <w:sz w:val="24"/>
          <w:szCs w:val="40"/>
        </w:rPr>
        <w:t>条件和建筑功能需求，对</w:t>
      </w:r>
      <w:r>
        <w:rPr>
          <w:rFonts w:hint="eastAsia"/>
          <w:sz w:val="24"/>
          <w:szCs w:val="40"/>
        </w:rPr>
        <w:t>建筑的</w:t>
      </w:r>
      <w:r>
        <w:rPr>
          <w:sz w:val="24"/>
          <w:szCs w:val="40"/>
        </w:rPr>
        <w:t>体形、平面布局、空间尺度、</w:t>
      </w:r>
      <w:r>
        <w:rPr>
          <w:rFonts w:hint="eastAsia"/>
          <w:sz w:val="24"/>
          <w:szCs w:val="40"/>
        </w:rPr>
        <w:t>围</w:t>
      </w:r>
      <w:r>
        <w:rPr>
          <w:sz w:val="24"/>
          <w:szCs w:val="40"/>
        </w:rPr>
        <w:t>护结构等进行节能</w:t>
      </w:r>
      <w:r>
        <w:rPr>
          <w:rFonts w:hint="eastAsia"/>
          <w:sz w:val="24"/>
          <w:szCs w:val="40"/>
        </w:rPr>
        <w:t>设计，</w:t>
      </w:r>
      <w:r>
        <w:rPr>
          <w:sz w:val="24"/>
          <w:szCs w:val="40"/>
        </w:rPr>
        <w:t>且</w:t>
      </w:r>
      <w:r>
        <w:rPr>
          <w:rFonts w:hint="eastAsia"/>
          <w:sz w:val="24"/>
          <w:szCs w:val="40"/>
        </w:rPr>
        <w:t>应符合国家有关节能设计的要求</w:t>
      </w:r>
      <w:r>
        <w:rPr>
          <w:sz w:val="24"/>
          <w:szCs w:val="40"/>
        </w:rPr>
        <w:t>。</w:t>
      </w:r>
    </w:p>
    <w:p>
      <w:pPr>
        <w:spacing w:before="156" w:beforeLines="50" w:after="156" w:afterLines="50"/>
        <w:rPr>
          <w:rFonts w:ascii="Times New Roman" w:hAnsi="Times New Roman"/>
          <w:b/>
          <w:szCs w:val="21"/>
        </w:rPr>
      </w:pPr>
      <w:bookmarkStart w:id="32" w:name="_Toc9944704"/>
      <w:bookmarkStart w:id="33" w:name="_Toc9944984"/>
      <w:bookmarkStart w:id="34" w:name="_Toc9945128"/>
      <w:bookmarkStart w:id="35" w:name="_Toc9945270"/>
      <w:bookmarkStart w:id="36" w:name="_Toc9945411"/>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u w:val="single"/>
        </w:rPr>
      </w:pPr>
      <w:r>
        <w:rPr>
          <w:rFonts w:hint="eastAsia"/>
        </w:rPr>
        <w:t>建筑所处城市的建筑热工气候分区：</w:t>
      </w:r>
      <w:bookmarkEnd w:id="32"/>
      <w:bookmarkEnd w:id="33"/>
      <w:bookmarkEnd w:id="34"/>
      <w:bookmarkEnd w:id="35"/>
      <w:bookmarkEnd w:id="36"/>
      <w:r>
        <w:rPr>
          <w:rFonts w:hint="eastAsia"/>
          <w:u w:val="single"/>
        </w:rPr>
        <w:t xml:space="preserve">                     </w:t>
      </w:r>
      <w:r>
        <w:rPr>
          <w:u w:val="single"/>
        </w:rPr>
        <w:t xml:space="preserve"> </w:t>
      </w:r>
      <w:r>
        <w:rPr>
          <w:rFonts w:hint="eastAsia"/>
        </w:rPr>
        <w:t>，建筑体形系数：</w:t>
      </w:r>
      <w:r>
        <w:rPr>
          <w:rFonts w:hint="eastAsia"/>
          <w:u w:val="single"/>
        </w:rPr>
        <w:t xml:space="preserve">       </w:t>
      </w:r>
      <w:r>
        <w:rPr>
          <w:u w:val="single"/>
        </w:rPr>
        <w:t xml:space="preserve">   </w:t>
      </w:r>
      <w:r>
        <w:rPr>
          <w:rFonts w:hint="eastAsia"/>
          <w:u w:val="single"/>
        </w:rPr>
        <w:t xml:space="preserve">    </w:t>
      </w:r>
    </w:p>
    <w:p>
      <w:pPr>
        <w:rPr>
          <w:u w:val="single"/>
        </w:rPr>
      </w:pPr>
      <w:bookmarkStart w:id="37" w:name="_Toc9944705"/>
      <w:bookmarkStart w:id="38" w:name="_Toc9944985"/>
      <w:bookmarkStart w:id="39" w:name="_Toc9945129"/>
      <w:bookmarkStart w:id="40" w:name="_Toc9945271"/>
      <w:bookmarkStart w:id="41" w:name="_Toc9945412"/>
      <w:r>
        <w:rPr>
          <w:rFonts w:hint="eastAsia"/>
        </w:rPr>
        <w:t>执行的建筑节能标准：</w:t>
      </w:r>
      <w:bookmarkEnd w:id="37"/>
      <w:bookmarkEnd w:id="38"/>
      <w:bookmarkEnd w:id="39"/>
      <w:bookmarkEnd w:id="40"/>
      <w:bookmarkEnd w:id="41"/>
      <w:r>
        <w:rPr>
          <w:rFonts w:hint="eastAsia"/>
          <w:u w:val="single"/>
        </w:rPr>
        <w:t xml:space="preserve"> </w:t>
      </w:r>
      <w:r>
        <w:rPr>
          <w:u w:val="single"/>
        </w:rPr>
        <w:t xml:space="preserve">                               </w:t>
      </w:r>
      <w:r>
        <w:rPr>
          <w:rFonts w:hint="eastAsia"/>
          <w:u w:val="single"/>
        </w:rPr>
        <w:t xml:space="preserve">  </w:t>
      </w:r>
      <w:r>
        <w:rPr>
          <w:rFonts w:hint="eastAsia"/>
        </w:rPr>
        <w:t>，建筑朝向：</w:t>
      </w:r>
      <w:r>
        <w:rPr>
          <w:rFonts w:hint="eastAsia"/>
          <w:u w:val="single"/>
        </w:rPr>
        <w:t xml:space="preserve">                  </w:t>
      </w:r>
    </w:p>
    <w:p>
      <w:pPr>
        <w:rPr>
          <w:b/>
        </w:rPr>
      </w:pPr>
      <w:r>
        <w:rPr>
          <w:rFonts w:hint="eastAsia"/>
        </w:rPr>
        <w:t>围护结构热工性能指标：</w:t>
      </w:r>
    </w:p>
    <w:tbl>
      <w:tblPr>
        <w:tblStyle w:val="7"/>
        <w:tblW w:w="499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2"/>
        <w:gridCol w:w="569"/>
        <w:gridCol w:w="1032"/>
        <w:gridCol w:w="1068"/>
        <w:gridCol w:w="672"/>
        <w:gridCol w:w="796"/>
        <w:gridCol w:w="797"/>
        <w:gridCol w:w="955"/>
        <w:gridCol w:w="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134" w:type="pct"/>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热工参数</w:t>
            </w:r>
          </w:p>
        </w:tc>
        <w:tc>
          <w:tcPr>
            <w:tcW w:w="554"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单位</w:t>
            </w:r>
          </w:p>
        </w:tc>
        <w:tc>
          <w:tcPr>
            <w:tcW w:w="1358" w:type="pct"/>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参评建筑</w:t>
            </w:r>
          </w:p>
        </w:tc>
        <w:tc>
          <w:tcPr>
            <w:tcW w:w="57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参照建筑</w:t>
            </w:r>
          </w:p>
        </w:tc>
        <w:tc>
          <w:tcPr>
            <w:tcW w:w="384"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是否满足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134" w:type="pct"/>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5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类型I</w:t>
            </w: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类型II</w:t>
            </w: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类型III</w:t>
            </w:r>
          </w:p>
        </w:tc>
        <w:tc>
          <w:tcPr>
            <w:tcW w:w="57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体形系数</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518" w:type="pct"/>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窗墙比</w:t>
            </w: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东向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518" w:type="pct"/>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南向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518" w:type="pct"/>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西向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518" w:type="pct"/>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北向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屋顶透明部分面积比例</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屋面传热系数K</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外墙（包括非透明幕墙）传热系数k</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134" w:type="pct"/>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底面接触室外空气的架空或外挑楼板传热系数K</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174"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外窗（包括透明幕墙）</w:t>
            </w:r>
          </w:p>
        </w:tc>
        <w:tc>
          <w:tcPr>
            <w:tcW w:w="344"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传热系数K</w:t>
            </w: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东向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南向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西向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北向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44"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遮阳系数SC</w:t>
            </w: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东向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南向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西向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117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4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16"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北向</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300" w:hRule="atLeast"/>
          <w:jc w:val="center"/>
        </w:trPr>
        <w:tc>
          <w:tcPr>
            <w:tcW w:w="1174"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屋顶透明部分</w:t>
            </w:r>
          </w:p>
        </w:tc>
        <w:tc>
          <w:tcPr>
            <w:tcW w:w="960"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传热系数K</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300" w:hRule="atLeast"/>
          <w:jc w:val="center"/>
        </w:trPr>
        <w:tc>
          <w:tcPr>
            <w:tcW w:w="1174"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960"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遮阳系数SC</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sz w:val="28"/>
              </w:rPr>
              <w:sym w:font="Wingdings 2" w:char="F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300" w:hRule="atLeast"/>
          <w:jc w:val="center"/>
        </w:trPr>
        <w:tc>
          <w:tcPr>
            <w:tcW w:w="117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地面</w:t>
            </w:r>
          </w:p>
        </w:tc>
        <w:tc>
          <w:tcPr>
            <w:tcW w:w="960"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热阻R</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·K)/W</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300" w:hRule="atLeast"/>
          <w:jc w:val="center"/>
        </w:trPr>
        <w:tc>
          <w:tcPr>
            <w:tcW w:w="117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地下室外墙</w:t>
            </w:r>
          </w:p>
        </w:tc>
        <w:tc>
          <w:tcPr>
            <w:tcW w:w="960"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热阻R</w:t>
            </w:r>
          </w:p>
        </w:tc>
        <w:tc>
          <w:tcPr>
            <w:tcW w:w="55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·K)/W</w:t>
            </w:r>
          </w:p>
        </w:tc>
        <w:tc>
          <w:tcPr>
            <w:tcW w:w="40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47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570"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384"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sz w:val="28"/>
              </w:rPr>
              <w:sym w:font="Wingdings 2" w:char="F0A3"/>
            </w:r>
          </w:p>
        </w:tc>
      </w:tr>
    </w:tbl>
    <w:p>
      <w:pPr>
        <w:rPr>
          <w:rFonts w:cs="宋体"/>
          <w:szCs w:val="21"/>
        </w:rPr>
      </w:pPr>
      <w:r>
        <w:rPr>
          <w:rFonts w:hint="eastAsia" w:cs="宋体"/>
          <w:szCs w:val="21"/>
        </w:rPr>
        <w:t>注：参评建筑下的列分类“类型I、类型II、类型III”指一栋建筑中存在多种围护结构或一个项目存在多个参评建筑时的区别表示方式。</w:t>
      </w: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pStyle w:val="10"/>
        <w:ind w:firstLine="0" w:firstLineChars="0"/>
        <w:jc w:val="left"/>
      </w:pPr>
      <w:r>
        <w:rPr>
          <w:rFonts w:hint="eastAsia"/>
        </w:rPr>
        <w:t>1）建筑竣工总图及设计说明，多栋建筑应注明楼间距；日照</w:t>
      </w:r>
      <w:r>
        <w:t>模拟计算报告</w:t>
      </w:r>
      <w:r>
        <w:rPr>
          <w:rFonts w:hint="eastAsia"/>
        </w:rPr>
        <w:t>；</w:t>
      </w:r>
    </w:p>
    <w:p>
      <w:pPr>
        <w:pStyle w:val="10"/>
        <w:ind w:firstLine="0" w:firstLineChars="0"/>
      </w:pPr>
      <w:r>
        <w:rPr>
          <w:rFonts w:hint="eastAsia"/>
        </w:rPr>
        <w:t>2）建筑专业竣工图及设计说明，应明确建筑围护结构的构造做法等内容；</w:t>
      </w:r>
      <w:r>
        <w:t>建筑优化设计分析报告</w:t>
      </w:r>
      <w:r>
        <w:rPr>
          <w:rFonts w:hint="eastAsia"/>
        </w:rPr>
        <w:t>；</w:t>
      </w:r>
    </w:p>
    <w:p>
      <w:pPr>
        <w:pStyle w:val="10"/>
        <w:ind w:firstLine="0" w:firstLineChars="0"/>
        <w:rPr>
          <w:szCs w:val="21"/>
        </w:rPr>
      </w:pPr>
      <w:r>
        <w:rPr>
          <w:rFonts w:hint="eastAsia"/>
          <w:szCs w:val="21"/>
        </w:rPr>
        <w:t>3）建筑节能计算书、幕墙热工性能计算书（若为幕墙体系），当地建筑节能审查相关文件；</w:t>
      </w:r>
    </w:p>
    <w:p>
      <w:pPr>
        <w:pStyle w:val="10"/>
        <w:ind w:firstLine="0" w:firstLineChars="0"/>
      </w:pPr>
      <w:r>
        <w:rPr>
          <w:rFonts w:hint="eastAsia"/>
          <w:szCs w:val="21"/>
        </w:rPr>
        <w:t>4）节能工程验收记录</w:t>
      </w:r>
      <w:r>
        <w:rPr>
          <w:rFonts w:hint="eastAsia"/>
        </w:rPr>
        <w:t>。</w:t>
      </w:r>
    </w:p>
    <w:p>
      <w:pPr>
        <w:pStyle w:val="10"/>
        <w:ind w:firstLine="0" w:firstLineChars="0"/>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7.1.</w:t>
      </w:r>
      <w:r>
        <w:rPr>
          <w:sz w:val="24"/>
          <w:szCs w:val="40"/>
        </w:rPr>
        <w:t xml:space="preserve">2 </w:t>
      </w:r>
      <w:r>
        <w:rPr>
          <w:rFonts w:hint="eastAsia"/>
          <w:sz w:val="24"/>
          <w:szCs w:val="40"/>
        </w:rPr>
        <w:t>应采取措施降低部分负荷、部分空间使用下的供暖、空调系统能耗。</w:t>
      </w:r>
    </w:p>
    <w:p>
      <w:pPr>
        <w:spacing w:before="156" w:beforeLines="50" w:after="156" w:afterLines="50"/>
        <w:rPr>
          <w:rFonts w:ascii="Times New Roman" w:hAnsi="Times New Roman"/>
          <w:b/>
          <w:szCs w:val="21"/>
        </w:rPr>
      </w:pPr>
      <w:bookmarkStart w:id="42" w:name="_Toc9944710"/>
      <w:bookmarkStart w:id="43" w:name="_Toc9944990"/>
      <w:bookmarkStart w:id="44" w:name="_Toc9945134"/>
      <w:bookmarkStart w:id="45" w:name="_Toc9945276"/>
      <w:bookmarkStart w:id="46" w:name="_Toc9945417"/>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rPr>
        <w:t>请简要说明建筑功能分区、空调系统分区原则、空调系统分区设计说明。</w:t>
      </w:r>
      <w:bookmarkEnd w:id="42"/>
      <w:bookmarkEnd w:id="43"/>
      <w:bookmarkEnd w:id="44"/>
      <w:bookmarkEnd w:id="45"/>
      <w:bookmarkEnd w:id="4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室内供暖采用低温热水地板辐射式采暖系统，系统按照分房间布置环路，分朝向区分盘管间距，首顶层增加盘管密度原则，实现分区调控，精准供暖。</w:t>
            </w:r>
          </w:p>
          <w:p>
            <w:pPr>
              <w:ind w:firstLine="400" w:firstLineChars="200"/>
              <w:rPr>
                <w:rFonts w:ascii="Times New Roman" w:hAnsi="Times New Roman"/>
                <w:kern w:val="0"/>
                <w:sz w:val="20"/>
                <w:szCs w:val="21"/>
              </w:rPr>
            </w:pPr>
            <w:r>
              <w:rPr>
                <w:rFonts w:hint="eastAsia" w:ascii="Times New Roman" w:hAnsi="Times New Roman"/>
                <w:kern w:val="0"/>
                <w:sz w:val="20"/>
                <w:szCs w:val="21"/>
              </w:rPr>
              <w:t>本项目采用多联机空调系统及局部采用单体空调及直膨式空调机组，能够根据房间朝向等分区灵活控制；多联机机组性能符合现行国家标准。供暖采用市政热源的散热器采暖系统，每组散热器上均安装恒温控制阀，可单独控制该房间温度，以达到节能要求。</w:t>
            </w:r>
          </w:p>
        </w:tc>
      </w:tr>
    </w:tbl>
    <w:p>
      <w:bookmarkStart w:id="47" w:name="_Toc9944711"/>
      <w:bookmarkStart w:id="48" w:name="_Toc9944991"/>
      <w:bookmarkStart w:id="49" w:name="_Toc9945135"/>
      <w:bookmarkStart w:id="50" w:name="_Toc9945277"/>
      <w:bookmarkStart w:id="51" w:name="_Toc9945418"/>
    </w:p>
    <w:p>
      <w:pPr>
        <w:rPr>
          <w:rFonts w:ascii="Times New Roman" w:hAnsi="Times New Roman"/>
          <w:szCs w:val="21"/>
        </w:rPr>
      </w:pPr>
      <w:r>
        <w:rPr>
          <w:rFonts w:hint="eastAsia"/>
        </w:rPr>
        <w:t>请简要说明部分负荷、部分空间使用下的运行策略。</w:t>
      </w:r>
      <w:bookmarkEnd w:id="47"/>
      <w:bookmarkEnd w:id="48"/>
      <w:bookmarkEnd w:id="49"/>
      <w:bookmarkEnd w:id="50"/>
      <w:bookmarkEnd w:id="5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各房间设电动风口，可根据房间使用时间、温度、湿度的不同进行分区控制,风系统采用变频技术，且设置电动可调风口。</w:t>
            </w:r>
          </w:p>
          <w:p>
            <w:pPr>
              <w:ind w:firstLine="400" w:firstLineChars="200"/>
              <w:rPr>
                <w:rFonts w:ascii="Times New Roman" w:hAnsi="Times New Roman"/>
                <w:kern w:val="0"/>
                <w:sz w:val="20"/>
                <w:szCs w:val="21"/>
              </w:rPr>
            </w:pPr>
            <w:r>
              <w:rPr>
                <w:rFonts w:hint="eastAsia" w:ascii="Times New Roman" w:hAnsi="Times New Roman"/>
                <w:kern w:val="0"/>
                <w:sz w:val="20"/>
                <w:szCs w:val="21"/>
              </w:rPr>
              <w:t>机组容量配置及台数满足部分负荷要求，IPLV满足标准要求。</w:t>
            </w:r>
          </w:p>
          <w:p>
            <w:pPr>
              <w:ind w:firstLine="400" w:firstLineChars="200"/>
              <w:rPr>
                <w:rFonts w:ascii="Times New Roman" w:hAnsi="Times New Roman"/>
                <w:kern w:val="0"/>
                <w:sz w:val="20"/>
                <w:szCs w:val="21"/>
              </w:rPr>
            </w:pPr>
            <w:r>
              <w:rPr>
                <w:rFonts w:hint="eastAsia" w:ascii="Times New Roman" w:hAnsi="Times New Roman"/>
                <w:kern w:val="0"/>
                <w:sz w:val="20"/>
                <w:szCs w:val="21"/>
              </w:rPr>
              <w:t>制冷机房控制室作为空调控制中心。冷水机组、冷水泵、冷却水泵、冷却塔、空调机组及新风机组除设就地控制开关外，全部进入自动控制系统进行运行。</w:t>
            </w:r>
          </w:p>
          <w:p>
            <w:pPr>
              <w:ind w:firstLine="400" w:firstLineChars="200"/>
              <w:rPr>
                <w:rFonts w:ascii="Times New Roman" w:hAnsi="Times New Roman"/>
                <w:kern w:val="0"/>
                <w:sz w:val="20"/>
                <w:szCs w:val="21"/>
              </w:rPr>
            </w:pPr>
            <w:r>
              <w:rPr>
                <w:rFonts w:hint="eastAsia" w:ascii="Times New Roman" w:hAnsi="Times New Roman"/>
                <w:kern w:val="0"/>
                <w:sz w:val="20"/>
                <w:szCs w:val="21"/>
              </w:rPr>
              <w:t>空调机组、新风机组的出水管上均安装电动比例积分调节阀，通过改变水流量来控制多需的空气温度，空调机组以回风温度作为控制信号，新风机组以送风温度作为控制信号。风机盘管表冷器出水管上均安装电动二通阀，室内安装恒温器带风机三速开关，通过三速开关调节风机转速来调节风机盘管的制冷量。</w:t>
            </w:r>
          </w:p>
          <w:p>
            <w:pPr>
              <w:ind w:firstLine="400" w:firstLineChars="200"/>
              <w:rPr>
                <w:rFonts w:ascii="Times New Roman" w:hAnsi="Times New Roman"/>
                <w:kern w:val="0"/>
                <w:sz w:val="20"/>
                <w:szCs w:val="21"/>
              </w:rPr>
            </w:pPr>
            <w:r>
              <w:rPr>
                <w:rFonts w:hint="eastAsia" w:ascii="Times New Roman" w:hAnsi="Times New Roman"/>
                <w:kern w:val="0"/>
                <w:sz w:val="20"/>
                <w:szCs w:val="21"/>
              </w:rPr>
              <w:t>空调水系统的分集水器间安装压差控制器和电动调节阀，通过改变供回水旁路来适应系统水量的变化。冷水机组及配用冷水泵、冷却水泵和冷却塔连锁运行。空调自动控制系统根据供回水总管的温度、流量信号，计算系统的实际空调负荷，并控制冷水机组及其配用的空调水泵的运行台数和运行组合。</w:t>
            </w:r>
          </w:p>
        </w:tc>
      </w:tr>
    </w:tbl>
    <w:p>
      <w:pPr>
        <w:rPr>
          <w:rFonts w:ascii="Times New Roman" w:hAnsi="Times New Roman"/>
        </w:rPr>
      </w:pPr>
      <w:bookmarkStart w:id="52" w:name="_Toc9944712"/>
      <w:bookmarkStart w:id="53" w:name="_Toc9944992"/>
      <w:bookmarkStart w:id="54" w:name="_Toc9945136"/>
      <w:bookmarkStart w:id="55" w:name="_Toc9945278"/>
      <w:bookmarkStart w:id="56" w:name="_Toc9945419"/>
      <w:r>
        <w:rPr>
          <w:rFonts w:ascii="Times New Roman" w:hAnsi="Times New Roman"/>
        </w:rPr>
        <w:t>空调冷热源机组的部分负荷性能系数（IPLV）</w:t>
      </w:r>
      <w:bookmarkEnd w:id="52"/>
      <w:bookmarkEnd w:id="53"/>
      <w:bookmarkEnd w:id="54"/>
      <w:bookmarkEnd w:id="55"/>
      <w:bookmarkEnd w:id="56"/>
    </w:p>
    <w:tbl>
      <w:tblPr>
        <w:tblStyle w:val="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18"/>
              </w:rPr>
            </w:pPr>
            <w:bookmarkStart w:id="57" w:name="_Toc9944713"/>
            <w:bookmarkStart w:id="58" w:name="_Toc9944993"/>
            <w:bookmarkStart w:id="59" w:name="_Toc9945137"/>
            <w:bookmarkStart w:id="60" w:name="_Toc9945279"/>
            <w:bookmarkStart w:id="61" w:name="_Toc9945420"/>
            <w:r>
              <w:rPr>
                <w:rFonts w:ascii="Times New Roman" w:hAnsi="Times New Roman"/>
                <w:szCs w:val="18"/>
              </w:rPr>
              <w:t>负荷比例</w:t>
            </w:r>
            <w:bookmarkEnd w:id="57"/>
            <w:bookmarkEnd w:id="58"/>
            <w:bookmarkEnd w:id="59"/>
            <w:bookmarkEnd w:id="60"/>
            <w:bookmarkEnd w:id="61"/>
          </w:p>
        </w:tc>
        <w:tc>
          <w:tcPr>
            <w:tcW w:w="47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18"/>
              </w:rPr>
            </w:pPr>
            <w:bookmarkStart w:id="62" w:name="_Toc9944714"/>
            <w:bookmarkStart w:id="63" w:name="_Toc9944994"/>
            <w:bookmarkStart w:id="64" w:name="_Toc9945138"/>
            <w:bookmarkStart w:id="65" w:name="_Toc9945280"/>
            <w:bookmarkStart w:id="66" w:name="_Toc9945421"/>
            <w:r>
              <w:rPr>
                <w:rFonts w:ascii="Times New Roman" w:hAnsi="Times New Roman"/>
                <w:szCs w:val="18"/>
              </w:rPr>
              <w:t>性能系数（W/W）</w:t>
            </w:r>
            <w:bookmarkEnd w:id="62"/>
            <w:bookmarkEnd w:id="63"/>
            <w:bookmarkEnd w:id="64"/>
            <w:bookmarkEnd w:id="65"/>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18"/>
              </w:rPr>
            </w:pPr>
            <w:bookmarkStart w:id="67" w:name="_Toc9944715"/>
            <w:bookmarkStart w:id="68" w:name="_Toc9944995"/>
            <w:bookmarkStart w:id="69" w:name="_Toc9945139"/>
            <w:bookmarkStart w:id="70" w:name="_Toc9945281"/>
            <w:bookmarkStart w:id="71" w:name="_Toc9945422"/>
            <w:r>
              <w:rPr>
                <w:rFonts w:ascii="Times New Roman" w:hAnsi="Times New Roman"/>
                <w:szCs w:val="18"/>
              </w:rPr>
              <w:t>100</w:t>
            </w:r>
            <w:bookmarkEnd w:id="67"/>
            <w:bookmarkEnd w:id="68"/>
            <w:bookmarkEnd w:id="69"/>
            <w:bookmarkEnd w:id="70"/>
            <w:bookmarkEnd w:id="71"/>
            <w:r>
              <w:rPr>
                <w:rFonts w:ascii="Times New Roman" w:hAnsi="Times New Roman"/>
                <w:szCs w:val="18"/>
              </w:rPr>
              <w:t>%</w:t>
            </w:r>
          </w:p>
        </w:tc>
        <w:tc>
          <w:tcPr>
            <w:tcW w:w="47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18"/>
              </w:rPr>
            </w:pPr>
            <w:bookmarkStart w:id="72" w:name="_Toc9944716"/>
            <w:bookmarkStart w:id="73" w:name="_Toc9944996"/>
            <w:bookmarkStart w:id="74" w:name="_Toc9945140"/>
            <w:bookmarkStart w:id="75" w:name="_Toc9945282"/>
            <w:bookmarkStart w:id="76" w:name="_Toc9945423"/>
            <w:r>
              <w:rPr>
                <w:rFonts w:ascii="Times New Roman" w:hAnsi="Times New Roman"/>
                <w:szCs w:val="18"/>
              </w:rPr>
              <w:t>75%</w:t>
            </w:r>
            <w:bookmarkEnd w:id="72"/>
            <w:bookmarkEnd w:id="73"/>
            <w:bookmarkEnd w:id="74"/>
            <w:bookmarkEnd w:id="75"/>
            <w:bookmarkEnd w:id="76"/>
          </w:p>
        </w:tc>
        <w:tc>
          <w:tcPr>
            <w:tcW w:w="47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18"/>
              </w:rPr>
            </w:pPr>
            <w:bookmarkStart w:id="77" w:name="_Toc9944717"/>
            <w:bookmarkStart w:id="78" w:name="_Toc9944997"/>
            <w:bookmarkStart w:id="79" w:name="_Toc9945141"/>
            <w:bookmarkStart w:id="80" w:name="_Toc9945283"/>
            <w:bookmarkStart w:id="81" w:name="_Toc9945424"/>
            <w:r>
              <w:rPr>
                <w:rFonts w:ascii="Times New Roman" w:hAnsi="Times New Roman"/>
                <w:szCs w:val="18"/>
              </w:rPr>
              <w:t>50%</w:t>
            </w:r>
            <w:bookmarkEnd w:id="77"/>
            <w:bookmarkEnd w:id="78"/>
            <w:bookmarkEnd w:id="79"/>
            <w:bookmarkEnd w:id="80"/>
            <w:bookmarkEnd w:id="81"/>
          </w:p>
        </w:tc>
        <w:tc>
          <w:tcPr>
            <w:tcW w:w="47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18"/>
              </w:rPr>
            </w:pPr>
            <w:bookmarkStart w:id="82" w:name="_Toc9944718"/>
            <w:bookmarkStart w:id="83" w:name="_Toc9944998"/>
            <w:bookmarkStart w:id="84" w:name="_Toc9945142"/>
            <w:bookmarkStart w:id="85" w:name="_Toc9945284"/>
            <w:bookmarkStart w:id="86" w:name="_Toc9945425"/>
            <w:r>
              <w:rPr>
                <w:rFonts w:ascii="Times New Roman" w:hAnsi="Times New Roman"/>
                <w:szCs w:val="18"/>
              </w:rPr>
              <w:t>25%</w:t>
            </w:r>
            <w:bookmarkEnd w:id="82"/>
            <w:bookmarkEnd w:id="83"/>
            <w:bookmarkEnd w:id="84"/>
            <w:bookmarkEnd w:id="85"/>
            <w:bookmarkEnd w:id="86"/>
          </w:p>
        </w:tc>
        <w:tc>
          <w:tcPr>
            <w:tcW w:w="47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18"/>
              </w:rPr>
            </w:pPr>
            <w:bookmarkStart w:id="87" w:name="_Toc9944719"/>
            <w:bookmarkStart w:id="88" w:name="_Toc9944999"/>
            <w:bookmarkStart w:id="89" w:name="_Toc9945143"/>
            <w:bookmarkStart w:id="90" w:name="_Toc9945285"/>
            <w:bookmarkStart w:id="91" w:name="_Toc9945426"/>
            <w:r>
              <w:rPr>
                <w:rFonts w:ascii="Times New Roman" w:hAnsi="Times New Roman"/>
                <w:szCs w:val="18"/>
              </w:rPr>
              <w:t>IPLV</w:t>
            </w:r>
            <w:bookmarkEnd w:id="87"/>
            <w:bookmarkEnd w:id="88"/>
            <w:bookmarkEnd w:id="89"/>
            <w:bookmarkEnd w:id="90"/>
            <w:bookmarkEnd w:id="91"/>
          </w:p>
        </w:tc>
        <w:tc>
          <w:tcPr>
            <w:tcW w:w="47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bl>
    <w:p>
      <w:pPr>
        <w:rPr>
          <w:rFonts w:ascii="Times New Roman" w:hAnsi="Times New Roman"/>
        </w:rPr>
      </w:pPr>
      <w:bookmarkStart w:id="92" w:name="_Toc9944720"/>
      <w:bookmarkStart w:id="93" w:name="_Toc9945000"/>
      <w:bookmarkStart w:id="94" w:name="_Toc9945144"/>
      <w:bookmarkStart w:id="95" w:name="_Toc9945286"/>
      <w:bookmarkStart w:id="96" w:name="_Toc9945427"/>
      <w:r>
        <w:rPr>
          <w:rFonts w:hint="eastAsia" w:ascii="Times New Roman" w:hAnsi="Times New Roman"/>
        </w:rPr>
        <w:t>空调</w:t>
      </w:r>
      <w:r>
        <w:rPr>
          <w:rFonts w:ascii="Times New Roman" w:hAnsi="Times New Roman"/>
        </w:rPr>
        <w:t>系统的</w:t>
      </w:r>
      <w:r>
        <w:rPr>
          <w:rFonts w:hint="eastAsia" w:ascii="Times New Roman" w:hAnsi="Times New Roman"/>
        </w:rPr>
        <w:t>电冷源综合制冷性能系数（SCOP）</w:t>
      </w:r>
      <w:bookmarkEnd w:id="92"/>
      <w:bookmarkEnd w:id="93"/>
      <w:bookmarkEnd w:id="94"/>
      <w:bookmarkEnd w:id="95"/>
      <w:bookmarkEnd w:id="96"/>
    </w:p>
    <w:tbl>
      <w:tblPr>
        <w:tblStyle w:val="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9"/>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bookmarkStart w:id="97" w:name="_Toc9944721"/>
            <w:bookmarkStart w:id="98" w:name="_Toc9945001"/>
            <w:bookmarkStart w:id="99" w:name="_Toc9945145"/>
            <w:bookmarkStart w:id="100" w:name="_Toc9945287"/>
            <w:bookmarkStart w:id="101" w:name="_Toc9945428"/>
            <w:r>
              <w:rPr>
                <w:rFonts w:ascii="Times New Roman" w:hAnsi="Times New Roman"/>
              </w:rPr>
              <w:t>负荷比例</w:t>
            </w:r>
            <w:bookmarkEnd w:id="97"/>
            <w:bookmarkEnd w:id="98"/>
            <w:bookmarkEnd w:id="99"/>
            <w:bookmarkEnd w:id="100"/>
            <w:bookmarkEnd w:id="101"/>
          </w:p>
        </w:tc>
        <w:tc>
          <w:tcPr>
            <w:tcW w:w="4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bookmarkStart w:id="102" w:name="_Toc9944722"/>
            <w:bookmarkStart w:id="103" w:name="_Toc9945002"/>
            <w:bookmarkStart w:id="104" w:name="_Toc9945146"/>
            <w:bookmarkStart w:id="105" w:name="_Toc9945288"/>
            <w:bookmarkStart w:id="106" w:name="_Toc9945429"/>
            <w:r>
              <w:rPr>
                <w:rFonts w:ascii="Times New Roman" w:hAnsi="Times New Roman"/>
              </w:rPr>
              <w:t>性能系数（W/W）</w:t>
            </w:r>
            <w:bookmarkEnd w:id="102"/>
            <w:bookmarkEnd w:id="103"/>
            <w:bookmarkEnd w:id="104"/>
            <w:bookmarkEnd w:id="105"/>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szCs w:val="18"/>
              </w:rPr>
              <w:t>100%</w:t>
            </w:r>
          </w:p>
        </w:tc>
        <w:tc>
          <w:tcPr>
            <w:tcW w:w="478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szCs w:val="18"/>
              </w:rPr>
              <w:t>75%</w:t>
            </w:r>
          </w:p>
        </w:tc>
        <w:tc>
          <w:tcPr>
            <w:tcW w:w="478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szCs w:val="18"/>
              </w:rPr>
              <w:t>50%</w:t>
            </w:r>
          </w:p>
        </w:tc>
        <w:tc>
          <w:tcPr>
            <w:tcW w:w="478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szCs w:val="18"/>
              </w:rPr>
              <w:t>25%</w:t>
            </w:r>
          </w:p>
        </w:tc>
        <w:tc>
          <w:tcPr>
            <w:tcW w:w="478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SCOP</w:t>
            </w:r>
          </w:p>
        </w:tc>
        <w:tc>
          <w:tcPr>
            <w:tcW w:w="478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bl>
    <w:p>
      <w:pPr>
        <w:spacing w:before="156" w:beforeLines="50" w:after="156" w:afterLines="50"/>
        <w:rPr>
          <w:rFonts w:ascii="Times New Roman" w:hAnsi="Times New Roman"/>
          <w:b/>
          <w:szCs w:val="21"/>
        </w:rPr>
      </w:pPr>
      <w:bookmarkStart w:id="107" w:name="_Toc9944729"/>
      <w:bookmarkStart w:id="108" w:name="_Toc9945009"/>
      <w:bookmarkStart w:id="109" w:name="_Toc9945153"/>
      <w:bookmarkStart w:id="110" w:name="_Toc9945295"/>
      <w:bookmarkStart w:id="111" w:name="_Toc9945436"/>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cs="宋体"/>
        </w:rPr>
      </w:pPr>
      <w:r>
        <w:rPr>
          <w:rFonts w:hint="eastAsia" w:cs="宋体"/>
        </w:rPr>
        <w:t>1）暖通专业竣工图及设计说明，应包含设备表、风系统图、水系统图、空调系统分区及控制策略</w:t>
      </w:r>
      <w:bookmarkEnd w:id="107"/>
      <w:bookmarkEnd w:id="108"/>
      <w:bookmarkEnd w:id="109"/>
      <w:bookmarkEnd w:id="110"/>
      <w:bookmarkEnd w:id="111"/>
      <w:r>
        <w:rPr>
          <w:rFonts w:hint="eastAsia" w:cs="宋体"/>
        </w:rPr>
        <w:t>等；</w:t>
      </w:r>
    </w:p>
    <w:p>
      <w:pPr>
        <w:rPr>
          <w:rFonts w:cs="宋体"/>
        </w:rPr>
      </w:pPr>
      <w:bookmarkStart w:id="112" w:name="_Toc9944730"/>
      <w:bookmarkStart w:id="113" w:name="_Toc9945010"/>
      <w:bookmarkStart w:id="114" w:name="_Toc9945154"/>
      <w:bookmarkStart w:id="115" w:name="_Toc9945296"/>
      <w:bookmarkStart w:id="116" w:name="_Toc9945437"/>
      <w:r>
        <w:rPr>
          <w:rFonts w:hint="eastAsia"/>
        </w:rPr>
        <w:t>2）部分负荷性能系数（IPLV）计算书、电冷源综合制冷性能系数（SCOP）计算书。</w:t>
      </w:r>
      <w:bookmarkEnd w:id="112"/>
      <w:bookmarkEnd w:id="113"/>
      <w:bookmarkEnd w:id="114"/>
      <w:bookmarkEnd w:id="115"/>
      <w:bookmarkEnd w:id="116"/>
    </w:p>
    <w:p>
      <w:bookmarkStart w:id="117" w:name="_Toc9944731"/>
      <w:bookmarkStart w:id="118" w:name="_Toc9945011"/>
      <w:bookmarkStart w:id="119" w:name="_Toc9945155"/>
      <w:bookmarkStart w:id="120" w:name="_Toc9945297"/>
      <w:bookmarkStart w:id="121" w:name="_Toc9945438"/>
      <w:r>
        <w:rPr>
          <w:rFonts w:hint="eastAsia"/>
        </w:rPr>
        <w:t>3）暖通系统能耗监测记录。</w:t>
      </w:r>
      <w:bookmarkEnd w:id="117"/>
      <w:bookmarkEnd w:id="118"/>
      <w:bookmarkEnd w:id="119"/>
      <w:bookmarkEnd w:id="120"/>
      <w:bookmarkEnd w:id="121"/>
    </w:p>
    <w:p>
      <w:pPr>
        <w:rPr>
          <w:rFonts w:cs="宋体"/>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7.1.</w:t>
      </w:r>
      <w:r>
        <w:rPr>
          <w:sz w:val="24"/>
          <w:szCs w:val="40"/>
        </w:rPr>
        <w:t xml:space="preserve">3 </w:t>
      </w:r>
      <w:r>
        <w:rPr>
          <w:rFonts w:hint="eastAsia"/>
          <w:sz w:val="24"/>
          <w:szCs w:val="40"/>
        </w:rPr>
        <w:t>应根据建筑空间功能设置分区温度，合理降低室内过渡区空间的温度设定标准。</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rPr>
      </w:pPr>
      <w:r>
        <w:rPr>
          <w:rFonts w:hint="eastAsia" w:ascii="Times New Roman" w:hAnsi="Times New Roman"/>
        </w:rPr>
        <w:t>长期逗留区域空气调节室内参数：</w:t>
      </w:r>
    </w:p>
    <w:tbl>
      <w:tblPr>
        <w:tblStyle w:val="7"/>
        <w:tblW w:w="4862" w:type="pct"/>
        <w:jc w:val="center"/>
        <w:tblLayout w:type="autofit"/>
        <w:tblCellMar>
          <w:top w:w="0" w:type="dxa"/>
          <w:left w:w="108" w:type="dxa"/>
          <w:bottom w:w="0" w:type="dxa"/>
          <w:right w:w="108" w:type="dxa"/>
        </w:tblCellMar>
      </w:tblPr>
      <w:tblGrid>
        <w:gridCol w:w="1305"/>
        <w:gridCol w:w="1584"/>
        <w:gridCol w:w="1770"/>
        <w:gridCol w:w="1840"/>
        <w:gridCol w:w="1788"/>
      </w:tblGrid>
      <w:tr>
        <w:tblPrEx>
          <w:tblCellMar>
            <w:top w:w="0" w:type="dxa"/>
            <w:left w:w="108" w:type="dxa"/>
            <w:bottom w:w="0" w:type="dxa"/>
            <w:right w:w="108" w:type="dxa"/>
          </w:tblCellMar>
        </w:tblPrEx>
        <w:trPr>
          <w:wBefore w:w="0" w:type="dxa"/>
          <w:trHeight w:val="211"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参数</w:t>
            </w:r>
          </w:p>
        </w:tc>
        <w:tc>
          <w:tcPr>
            <w:tcW w:w="955"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舒适度等级</w:t>
            </w:r>
          </w:p>
        </w:tc>
        <w:tc>
          <w:tcPr>
            <w:tcW w:w="1068"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温度(</w:t>
            </w:r>
            <w:r>
              <w:rPr>
                <w:rFonts w:hint="eastAsia" w:ascii="宋体" w:hAnsi="宋体" w:cs="宋体"/>
              </w:rPr>
              <w:t>℃</w:t>
            </w:r>
            <w:r>
              <w:rPr>
                <w:rFonts w:ascii="Times New Roman" w:hAnsi="Times New Roman"/>
              </w:rPr>
              <w:t>)</w:t>
            </w:r>
          </w:p>
        </w:tc>
        <w:tc>
          <w:tcPr>
            <w:tcW w:w="1110"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相对湿度(%)</w:t>
            </w:r>
          </w:p>
        </w:tc>
        <w:tc>
          <w:tcPr>
            <w:tcW w:w="1079"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风速(m/s)</w:t>
            </w:r>
          </w:p>
        </w:tc>
      </w:tr>
      <w:tr>
        <w:tblPrEx>
          <w:tblCellMar>
            <w:top w:w="0" w:type="dxa"/>
            <w:left w:w="108" w:type="dxa"/>
            <w:bottom w:w="0" w:type="dxa"/>
            <w:right w:w="108" w:type="dxa"/>
          </w:tblCellMar>
        </w:tblPrEx>
        <w:trPr>
          <w:wBefore w:w="0" w:type="dxa"/>
          <w:trHeight w:val="175"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冬季</w:t>
            </w:r>
          </w:p>
        </w:tc>
        <w:tc>
          <w:tcPr>
            <w:tcW w:w="955"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068"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110"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079"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r>
      <w:tr>
        <w:tblPrEx>
          <w:tblCellMar>
            <w:top w:w="0" w:type="dxa"/>
            <w:left w:w="108" w:type="dxa"/>
            <w:bottom w:w="0" w:type="dxa"/>
            <w:right w:w="108" w:type="dxa"/>
          </w:tblCellMar>
        </w:tblPrEx>
        <w:trPr>
          <w:wBefore w:w="0" w:type="dxa"/>
          <w:trHeight w:val="30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夏季</w:t>
            </w:r>
          </w:p>
        </w:tc>
        <w:tc>
          <w:tcPr>
            <w:tcW w:w="955"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068"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110"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079"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r>
    </w:tbl>
    <w:p>
      <w:pPr>
        <w:rPr>
          <w:rFonts w:cs="宋体"/>
        </w:rPr>
      </w:pPr>
      <w:r>
        <w:rPr>
          <w:rFonts w:hint="eastAsia" w:ascii="Times New Roman" w:hAnsi="Times New Roman"/>
        </w:rPr>
        <w:t>过渡空间空气调节室内参数：</w:t>
      </w:r>
    </w:p>
    <w:p>
      <w:pPr>
        <w:rPr>
          <w:rFonts w:ascii="Times New Roman" w:hAnsi="Times New Roman"/>
          <w:u w:val="single"/>
        </w:rPr>
      </w:pPr>
      <w:r>
        <w:rPr>
          <w:rFonts w:hint="eastAsia" w:ascii="Times New Roman" w:hAnsi="Times New Roman"/>
        </w:rPr>
        <w:t>活动类型：</w:t>
      </w:r>
      <w:r>
        <w:rPr>
          <w:rFonts w:hint="eastAsia" w:ascii="Times New Roman" w:hAnsi="Times New Roman"/>
          <w:u w:val="single"/>
        </w:rPr>
        <w:t xml:space="preserve">                   </w:t>
      </w:r>
      <w:r>
        <w:rPr>
          <w:rFonts w:hint="eastAsia" w:ascii="Times New Roman" w:hAnsi="Times New Roman"/>
        </w:rPr>
        <w:t>代谢率：</w:t>
      </w:r>
      <w:r>
        <w:rPr>
          <w:rFonts w:hint="eastAsia" w:ascii="Times New Roman" w:hAnsi="Times New Roman"/>
          <w:u w:val="single"/>
        </w:rPr>
        <w:t xml:space="preserve">                 </w:t>
      </w:r>
      <w:r>
        <w:rPr>
          <w:rFonts w:hint="eastAsia" w:ascii="Times New Roman" w:hAnsi="Times New Roman"/>
        </w:rPr>
        <w:t>冬季温度设定：</w:t>
      </w:r>
      <w:r>
        <w:rPr>
          <w:rFonts w:hint="eastAsia" w:ascii="Times New Roman" w:hAnsi="Times New Roman"/>
          <w:u w:val="single"/>
        </w:rPr>
        <w:t xml:space="preserve">          </w:t>
      </w:r>
    </w:p>
    <w:tbl>
      <w:tblPr>
        <w:tblStyle w:val="7"/>
        <w:tblW w:w="4862" w:type="pct"/>
        <w:jc w:val="center"/>
        <w:tblLayout w:type="autofit"/>
        <w:tblCellMar>
          <w:top w:w="0" w:type="dxa"/>
          <w:left w:w="108" w:type="dxa"/>
          <w:bottom w:w="0" w:type="dxa"/>
          <w:right w:w="108" w:type="dxa"/>
        </w:tblCellMar>
      </w:tblPr>
      <w:tblGrid>
        <w:gridCol w:w="1305"/>
        <w:gridCol w:w="1584"/>
        <w:gridCol w:w="1770"/>
        <w:gridCol w:w="1840"/>
        <w:gridCol w:w="1788"/>
      </w:tblGrid>
      <w:tr>
        <w:tblPrEx>
          <w:tblCellMar>
            <w:top w:w="0" w:type="dxa"/>
            <w:left w:w="108" w:type="dxa"/>
            <w:bottom w:w="0" w:type="dxa"/>
            <w:right w:w="108" w:type="dxa"/>
          </w:tblCellMar>
        </w:tblPrEx>
        <w:trPr>
          <w:wBefore w:w="0" w:type="dxa"/>
          <w:trHeight w:val="211"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参数</w:t>
            </w:r>
          </w:p>
        </w:tc>
        <w:tc>
          <w:tcPr>
            <w:tcW w:w="955"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舒适度等级</w:t>
            </w:r>
          </w:p>
        </w:tc>
        <w:tc>
          <w:tcPr>
            <w:tcW w:w="1068"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温度(</w:t>
            </w:r>
            <w:r>
              <w:rPr>
                <w:rFonts w:hint="eastAsia" w:ascii="宋体" w:hAnsi="宋体" w:cs="宋体"/>
              </w:rPr>
              <w:t>℃</w:t>
            </w:r>
            <w:r>
              <w:rPr>
                <w:rFonts w:ascii="Times New Roman" w:hAnsi="Times New Roman"/>
              </w:rPr>
              <w:t>)</w:t>
            </w:r>
          </w:p>
        </w:tc>
        <w:tc>
          <w:tcPr>
            <w:tcW w:w="1110"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相对湿度(%)</w:t>
            </w:r>
          </w:p>
        </w:tc>
        <w:tc>
          <w:tcPr>
            <w:tcW w:w="1079"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风速(m/s)</w:t>
            </w:r>
          </w:p>
        </w:tc>
      </w:tr>
      <w:tr>
        <w:tblPrEx>
          <w:tblCellMar>
            <w:top w:w="0" w:type="dxa"/>
            <w:left w:w="108" w:type="dxa"/>
            <w:bottom w:w="0" w:type="dxa"/>
            <w:right w:w="108" w:type="dxa"/>
          </w:tblCellMar>
        </w:tblPrEx>
        <w:trPr>
          <w:wBefore w:w="0" w:type="dxa"/>
          <w:trHeight w:val="175"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冬季</w:t>
            </w:r>
          </w:p>
        </w:tc>
        <w:tc>
          <w:tcPr>
            <w:tcW w:w="955"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068"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110"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079"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r>
      <w:tr>
        <w:tblPrEx>
          <w:tblCellMar>
            <w:top w:w="0" w:type="dxa"/>
            <w:left w:w="108" w:type="dxa"/>
            <w:bottom w:w="0" w:type="dxa"/>
            <w:right w:w="108" w:type="dxa"/>
          </w:tblCellMar>
        </w:tblPrEx>
        <w:trPr>
          <w:wBefore w:w="0" w:type="dxa"/>
          <w:trHeight w:val="30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r>
              <w:rPr>
                <w:rFonts w:ascii="Times New Roman" w:hAnsi="Times New Roman"/>
              </w:rPr>
              <w:t>夏季</w:t>
            </w:r>
          </w:p>
        </w:tc>
        <w:tc>
          <w:tcPr>
            <w:tcW w:w="955"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068"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110"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c>
          <w:tcPr>
            <w:tcW w:w="1079" w:type="pct"/>
            <w:tcBorders>
              <w:top w:val="single" w:color="auto" w:sz="4" w:space="0"/>
              <w:left w:val="single" w:color="auto" w:sz="4" w:space="0"/>
              <w:bottom w:val="single" w:color="auto" w:sz="4" w:space="0"/>
              <w:right w:val="single" w:color="auto" w:sz="4" w:space="0"/>
            </w:tcBorders>
            <w:noWrap/>
            <w:vAlign w:val="center"/>
          </w:tcPr>
          <w:p>
            <w:pPr>
              <w:tabs>
                <w:tab w:val="left" w:pos="420"/>
              </w:tabs>
              <w:spacing w:line="288" w:lineRule="auto"/>
              <w:jc w:val="center"/>
              <w:rPr>
                <w:rFonts w:ascii="Times New Roman" w:hAnsi="Times New Roman"/>
              </w:rPr>
            </w:pPr>
          </w:p>
        </w:tc>
      </w:tr>
    </w:tbl>
    <w:p>
      <w:pPr>
        <w:rPr>
          <w:rFonts w:ascii="Times New Roman" w:hAnsi="Times New Roman"/>
        </w:rPr>
      </w:pPr>
      <w:r>
        <w:rPr>
          <w:rFonts w:hint="eastAsia" w:ascii="Times New Roman" w:hAnsi="Times New Roman"/>
        </w:rPr>
        <w:t>请简要说明根据建筑空间功能的不同，</w:t>
      </w:r>
      <w:r>
        <w:rPr>
          <w:rFonts w:ascii="Times New Roman" w:hAnsi="Times New Roman"/>
        </w:rPr>
        <w:t>分区温度</w:t>
      </w:r>
      <w:r>
        <w:rPr>
          <w:rFonts w:hint="eastAsia" w:ascii="Times New Roman" w:hAnsi="Times New Roman"/>
        </w:rPr>
        <w:t>的设置情况。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21"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line="300" w:lineRule="exact"/>
        <w:rPr>
          <w:rFonts w:ascii="Times New Roman" w:hAnsi="Times New Roman"/>
          <w:b/>
          <w:szCs w:val="21"/>
        </w:rPr>
      </w:pPr>
      <w:r>
        <w:rPr>
          <w:rFonts w:ascii="Times New Roman" w:hAnsi="Times New Roman"/>
          <w:b/>
          <w:szCs w:val="21"/>
        </w:rPr>
        <w:t>3 证明材料</w:t>
      </w:r>
    </w:p>
    <w:p>
      <w:pPr>
        <w:spacing w:line="300" w:lineRule="exact"/>
        <w:rPr>
          <w:rFonts w:ascii="Times New Roman" w:hAnsi="Times New Roman"/>
          <w:szCs w:val="21"/>
        </w:rPr>
      </w:pPr>
      <w:r>
        <w:rPr>
          <w:rFonts w:ascii="Times New Roman" w:hAnsi="Times New Roman"/>
          <w:szCs w:val="21"/>
        </w:rPr>
        <w:t>提交材料及要求：</w:t>
      </w:r>
    </w:p>
    <w:p>
      <w:pPr>
        <w:spacing w:line="300" w:lineRule="exact"/>
        <w:rPr>
          <w:rFonts w:ascii="Times New Roman" w:hAnsi="Times New Roman"/>
        </w:rPr>
      </w:pPr>
      <w:r>
        <w:rPr>
          <w:rFonts w:hint="eastAsia" w:ascii="Times New Roman" w:hAnsi="Times New Roman"/>
        </w:rPr>
        <w:t>1）暖通专业竣工图及设计说明，应包含建筑各功能空间分区温度的设置情况；</w:t>
      </w:r>
    </w:p>
    <w:p>
      <w:pPr>
        <w:spacing w:line="300" w:lineRule="exact"/>
        <w:rPr>
          <w:rFonts w:ascii="Times New Roman" w:hAnsi="Times New Roman"/>
        </w:rPr>
      </w:pPr>
      <w:r>
        <w:rPr>
          <w:rFonts w:hint="eastAsia" w:ascii="Times New Roman" w:hAnsi="Times New Roman"/>
        </w:rPr>
        <w:t>2）建筑各功能空间</w:t>
      </w:r>
      <w:r>
        <w:rPr>
          <w:rFonts w:ascii="Times New Roman" w:hAnsi="Times New Roman"/>
        </w:rPr>
        <w:t>温湿度</w:t>
      </w:r>
      <w:r>
        <w:rPr>
          <w:rFonts w:hint="eastAsia" w:ascii="Times New Roman" w:hAnsi="Times New Roman"/>
        </w:rPr>
        <w:t>检测</w:t>
      </w:r>
      <w:r>
        <w:rPr>
          <w:rFonts w:ascii="Times New Roman" w:hAnsi="Times New Roman"/>
        </w:rPr>
        <w:t>报告</w:t>
      </w:r>
      <w:r>
        <w:rPr>
          <w:rFonts w:hint="eastAsia" w:ascii="Times New Roman" w:hAnsi="Times New Roman"/>
        </w:rPr>
        <w:t>，数据应覆盖三个季度（夏季、冬季、过渡季），且连续数据不少于两周；</w:t>
      </w:r>
    </w:p>
    <w:p>
      <w:pPr>
        <w:spacing w:line="300" w:lineRule="exact"/>
        <w:rPr>
          <w:rFonts w:ascii="Times New Roman" w:hAnsi="Times New Roman"/>
        </w:rPr>
      </w:pPr>
      <w:r>
        <w:rPr>
          <w:rFonts w:ascii="Times New Roman" w:hAnsi="Times New Roman"/>
        </w:rPr>
        <w:t>3</w:t>
      </w:r>
      <w:r>
        <w:rPr>
          <w:rFonts w:hint="eastAsia" w:ascii="Times New Roman" w:hAnsi="Times New Roman"/>
        </w:rPr>
        <w:t>）暖通空调</w:t>
      </w:r>
      <w:r>
        <w:rPr>
          <w:rFonts w:ascii="Times New Roman" w:hAnsi="Times New Roman"/>
        </w:rPr>
        <w:t>专业设计说明、暖通设计计算书等。</w:t>
      </w:r>
    </w:p>
    <w:p>
      <w:pPr>
        <w:spacing w:line="300" w:lineRule="exac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0"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sz w:val="24"/>
          <w:szCs w:val="40"/>
        </w:rPr>
      </w:pPr>
      <w:r>
        <w:rPr>
          <w:sz w:val="24"/>
          <w:szCs w:val="40"/>
        </w:rPr>
        <w:t xml:space="preserve">7.1.4 </w:t>
      </w:r>
      <w:r>
        <w:rPr>
          <w:rFonts w:hint="eastAsia"/>
          <w:sz w:val="24"/>
          <w:szCs w:val="40"/>
        </w:rPr>
        <w:t>主要功能房间的照明功率密度值不应高于现行国家标准《建筑照明设计标准》</w:t>
      </w:r>
      <w:r>
        <w:rPr>
          <w:sz w:val="24"/>
          <w:szCs w:val="40"/>
        </w:rPr>
        <w:t>GB 50034</w:t>
      </w:r>
      <w:r>
        <w:rPr>
          <w:rFonts w:hint="eastAsia"/>
          <w:sz w:val="24"/>
          <w:szCs w:val="40"/>
        </w:rPr>
        <w:t>规定的现行值；公共区域</w:t>
      </w:r>
      <w:r>
        <w:rPr>
          <w:sz w:val="24"/>
          <w:szCs w:val="40"/>
        </w:rPr>
        <w:t>的照明系统应采用分区、</w:t>
      </w:r>
      <w:r>
        <w:rPr>
          <w:rFonts w:hint="eastAsia"/>
          <w:sz w:val="24"/>
          <w:szCs w:val="40"/>
        </w:rPr>
        <w:t>定时、</w:t>
      </w:r>
      <w:r>
        <w:rPr>
          <w:sz w:val="24"/>
          <w:szCs w:val="40"/>
        </w:rPr>
        <w:t>感应</w:t>
      </w:r>
      <w:r>
        <w:rPr>
          <w:rFonts w:hint="eastAsia"/>
          <w:sz w:val="24"/>
          <w:szCs w:val="40"/>
        </w:rPr>
        <w:t>等</w:t>
      </w:r>
      <w:r>
        <w:rPr>
          <w:sz w:val="24"/>
          <w:szCs w:val="40"/>
        </w:rPr>
        <w:t>节能控制</w:t>
      </w:r>
      <w:r>
        <w:rPr>
          <w:rFonts w:hint="eastAsia"/>
          <w:sz w:val="24"/>
          <w:szCs w:val="40"/>
        </w:rPr>
        <w:t>；</w:t>
      </w:r>
      <w:r>
        <w:rPr>
          <w:sz w:val="24"/>
          <w:szCs w:val="40"/>
        </w:rPr>
        <w:t>采光区域的照明</w:t>
      </w:r>
      <w:r>
        <w:rPr>
          <w:rFonts w:hint="eastAsia"/>
          <w:sz w:val="24"/>
          <w:szCs w:val="40"/>
        </w:rPr>
        <w:t>控制</w:t>
      </w:r>
      <w:r>
        <w:rPr>
          <w:sz w:val="24"/>
          <w:szCs w:val="40"/>
        </w:rPr>
        <w:t>应独立于其他区域的照明控制。</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cs="宋体"/>
        </w:rPr>
        <w:t>简要说明照明系统灯具选型原则、主要灯具型号和参数以及照明节能的控制措施。</w:t>
      </w:r>
      <w:bookmarkStart w:id="122" w:name="_Toc9944734"/>
      <w:bookmarkStart w:id="123" w:name="_Toc9945014"/>
      <w:bookmarkStart w:id="124" w:name="_Toc9945158"/>
      <w:bookmarkStart w:id="125" w:name="_Toc9945300"/>
      <w:bookmarkStart w:id="126" w:name="_Toc994544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41"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支架灯、灯盘采用T5管LED灯。LED的光效值不低于90Lm/W。显色指数Ra≥80；吸顶灯采用T5环形LED灯管。首层大堂、电梯厅等公共场所的照明采用自熄式节能开关控制，节能开关选用声光控延时开关。每个房间的灯的开关数不宜少于二个（只设置一个光源的除外），房间或场所装设有两列或多列灯具时，所控灯列宜与侧窗平行，以充分利用自然光。</w:t>
            </w:r>
          </w:p>
        </w:tc>
      </w:tr>
    </w:tbl>
    <w:p>
      <w:pPr>
        <w:spacing w:line="288" w:lineRule="auto"/>
      </w:pPr>
      <w:r>
        <w:rPr>
          <w:rFonts w:hint="eastAsia"/>
        </w:rPr>
        <w:t>照明功率设计值：</w:t>
      </w:r>
      <w:bookmarkEnd w:id="122"/>
      <w:bookmarkEnd w:id="123"/>
      <w:bookmarkEnd w:id="124"/>
      <w:bookmarkEnd w:id="125"/>
      <w:bookmarkEnd w:id="126"/>
    </w:p>
    <w:tbl>
      <w:tblPr>
        <w:tblStyle w:val="7"/>
        <w:tblW w:w="4871" w:type="pct"/>
        <w:jc w:val="center"/>
        <w:tblLayout w:type="autofit"/>
        <w:tblCellMar>
          <w:top w:w="0" w:type="dxa"/>
          <w:left w:w="108" w:type="dxa"/>
          <w:bottom w:w="0" w:type="dxa"/>
          <w:right w:w="108" w:type="dxa"/>
        </w:tblCellMar>
      </w:tblPr>
      <w:tblGrid>
        <w:gridCol w:w="1953"/>
        <w:gridCol w:w="1428"/>
        <w:gridCol w:w="1418"/>
        <w:gridCol w:w="1559"/>
        <w:gridCol w:w="1944"/>
      </w:tblGrid>
      <w:tr>
        <w:tblPrEx>
          <w:tblCellMar>
            <w:top w:w="0" w:type="dxa"/>
            <w:left w:w="108" w:type="dxa"/>
            <w:bottom w:w="0" w:type="dxa"/>
            <w:right w:w="108" w:type="dxa"/>
          </w:tblCellMar>
        </w:tblPrEx>
        <w:trPr>
          <w:wBefore w:w="0" w:type="dxa"/>
          <w:cantSplit/>
          <w:trHeight w:val="285" w:hRule="atLeast"/>
          <w:jc w:val="center"/>
        </w:trPr>
        <w:tc>
          <w:tcPr>
            <w:tcW w:w="11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房间类型</w:t>
            </w:r>
          </w:p>
        </w:tc>
        <w:tc>
          <w:tcPr>
            <w:tcW w:w="171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设计照度值（Lx）</w:t>
            </w:r>
          </w:p>
        </w:tc>
        <w:tc>
          <w:tcPr>
            <w:tcW w:w="2110"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照明功率密度（W/m</w:t>
            </w:r>
            <w:r>
              <w:rPr>
                <w:rFonts w:ascii="Times New Roman" w:hAnsi="Times New Roman"/>
                <w:kern w:val="0"/>
                <w:sz w:val="20"/>
                <w:szCs w:val="20"/>
                <w:vertAlign w:val="superscript"/>
              </w:rPr>
              <w:t>2</w:t>
            </w:r>
            <w:r>
              <w:rPr>
                <w:rFonts w:ascii="Times New Roman" w:hAnsi="Times New Roman"/>
                <w:kern w:val="0"/>
                <w:sz w:val="20"/>
                <w:szCs w:val="20"/>
              </w:rPr>
              <w:t>)</w:t>
            </w:r>
          </w:p>
        </w:tc>
      </w:tr>
      <w:tr>
        <w:tblPrEx>
          <w:tblCellMar>
            <w:top w:w="0" w:type="dxa"/>
            <w:left w:w="108" w:type="dxa"/>
            <w:bottom w:w="0" w:type="dxa"/>
            <w:right w:w="108" w:type="dxa"/>
          </w:tblCellMar>
        </w:tblPrEx>
        <w:trPr>
          <w:wBefore w:w="0" w:type="dxa"/>
          <w:cantSplit/>
          <w:trHeight w:val="285" w:hRule="atLeast"/>
          <w:jc w:val="center"/>
        </w:trPr>
        <w:tc>
          <w:tcPr>
            <w:tcW w:w="11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p>
        </w:tc>
        <w:tc>
          <w:tcPr>
            <w:tcW w:w="86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实际值</w:t>
            </w:r>
          </w:p>
        </w:tc>
        <w:tc>
          <w:tcPr>
            <w:tcW w:w="85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标准值</w:t>
            </w:r>
          </w:p>
        </w:tc>
        <w:tc>
          <w:tcPr>
            <w:tcW w:w="939"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实际值</w:t>
            </w:r>
          </w:p>
        </w:tc>
        <w:tc>
          <w:tcPr>
            <w:tcW w:w="1171" w:type="pct"/>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现行值</w:t>
            </w:r>
          </w:p>
        </w:tc>
      </w:tr>
      <w:tr>
        <w:tblPrEx>
          <w:tblCellMar>
            <w:top w:w="0" w:type="dxa"/>
            <w:left w:w="108" w:type="dxa"/>
            <w:bottom w:w="0" w:type="dxa"/>
            <w:right w:w="108" w:type="dxa"/>
          </w:tblCellMar>
        </w:tblPrEx>
        <w:trPr>
          <w:wBefore w:w="0" w:type="dxa"/>
          <w:cantSplit/>
          <w:trHeight w:val="285" w:hRule="atLeast"/>
          <w:jc w:val="center"/>
        </w:trPr>
        <w:tc>
          <w:tcPr>
            <w:tcW w:w="1176" w:type="pct"/>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60" w:type="pct"/>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54"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939" w:type="pct"/>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1171" w:type="pct"/>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176" w:type="pct"/>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60" w:type="pct"/>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54"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939" w:type="pct"/>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1171" w:type="pct"/>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176" w:type="pct"/>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60" w:type="pct"/>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54"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939" w:type="pct"/>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1171" w:type="pct"/>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176" w:type="pct"/>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60" w:type="pct"/>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54"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939" w:type="pct"/>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1171" w:type="pct"/>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176"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6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54"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939"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1171"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176"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6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54"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939"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1171"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176"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6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854"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939"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c>
          <w:tcPr>
            <w:tcW w:w="1171"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kern w:val="0"/>
                <w:sz w:val="18"/>
                <w:szCs w:val="18"/>
              </w:rPr>
            </w:pPr>
            <w:r>
              <w:rPr>
                <w:rStyle w:val="17"/>
                <w:rFonts w:hint="eastAsia"/>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1）电气专业竣工图及设计说明；</w:t>
      </w:r>
    </w:p>
    <w:p>
      <w:pPr>
        <w:rPr>
          <w:rFonts w:ascii="Times New Roman" w:hAnsi="Times New Roman"/>
        </w:rPr>
      </w:pPr>
      <w:r>
        <w:rPr>
          <w:rFonts w:hint="eastAsia" w:ascii="Times New Roman" w:hAnsi="Times New Roman"/>
        </w:rPr>
        <w:t>2）与照明相关的装修竣工图及设计说明，应包含照明设计要求、照明设计标准、照明控制措施；</w:t>
      </w:r>
    </w:p>
    <w:p>
      <w:pPr>
        <w:rPr>
          <w:rFonts w:ascii="Times New Roman" w:hAnsi="Times New Roman"/>
        </w:rPr>
      </w:pPr>
      <w:bookmarkStart w:id="127" w:name="_Toc9944736"/>
      <w:bookmarkStart w:id="128" w:name="_Toc9945016"/>
      <w:bookmarkStart w:id="129" w:name="_Toc9945160"/>
      <w:bookmarkStart w:id="130" w:name="_Toc9945302"/>
      <w:bookmarkStart w:id="131" w:name="_Toc9945443"/>
      <w:r>
        <w:rPr>
          <w:rFonts w:hint="eastAsia" w:ascii="Times New Roman" w:hAnsi="Times New Roman"/>
        </w:rPr>
        <w:t>3）灯具产品说明书；</w:t>
      </w:r>
      <w:bookmarkEnd w:id="127"/>
      <w:bookmarkEnd w:id="128"/>
      <w:bookmarkEnd w:id="129"/>
      <w:bookmarkEnd w:id="130"/>
      <w:bookmarkEnd w:id="131"/>
    </w:p>
    <w:p>
      <w:pPr>
        <w:rPr>
          <w:rFonts w:ascii="Times New Roman" w:hAnsi="Times New Roman"/>
        </w:rPr>
      </w:pPr>
      <w:r>
        <w:rPr>
          <w:rFonts w:hint="eastAsia" w:ascii="Times New Roman" w:hAnsi="Times New Roman"/>
        </w:rPr>
        <w:t>4）照明功率密度计算分析报告</w:t>
      </w:r>
      <w:r>
        <w:rPr>
          <w:rFonts w:ascii="Times New Roman" w:hAnsi="Times New Roman"/>
        </w:rPr>
        <w:t>、现场检测报告</w:t>
      </w:r>
      <w:r>
        <w:rPr>
          <w:rFonts w:hint="eastAsia" w:ascii="Times New Roman" w:hAnsi="Times New Roman"/>
        </w:rPr>
        <w:t>。</w:t>
      </w:r>
    </w:p>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sz w:val="24"/>
          <w:szCs w:val="40"/>
        </w:rPr>
      </w:pPr>
      <w:r>
        <w:rPr>
          <w:rFonts w:hint="eastAsia"/>
          <w:sz w:val="24"/>
          <w:szCs w:val="40"/>
        </w:rPr>
        <w:t>7.1.5</w:t>
      </w:r>
      <w:r>
        <w:rPr>
          <w:sz w:val="24"/>
          <w:szCs w:val="40"/>
        </w:rPr>
        <w:t xml:space="preserve"> </w:t>
      </w:r>
      <w:r>
        <w:rPr>
          <w:rFonts w:hint="eastAsia"/>
          <w:sz w:val="24"/>
          <w:szCs w:val="40"/>
        </w:rPr>
        <w:t>冷热源、输配系统和照明等各部分能耗应进行独立分项计量。</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rPr>
          <w:rFonts w:cs="宋体"/>
          <w:u w:val="single"/>
        </w:rPr>
      </w:pPr>
      <w:r>
        <w:rPr>
          <w:rFonts w:hint="eastAsia" w:cs="宋体"/>
        </w:rPr>
        <w:t>分项计量内容：</w:t>
      </w:r>
      <w:r>
        <w:rPr>
          <w:rFonts w:hint="eastAsia"/>
          <w:sz w:val="28"/>
        </w:rPr>
        <w:sym w:font="Wingdings 2" w:char="F0A3"/>
      </w:r>
      <w:r>
        <w:rPr>
          <w:rFonts w:hint="eastAsia" w:cs="宋体"/>
        </w:rPr>
        <w:t xml:space="preserve">冷热源  </w:t>
      </w:r>
      <w:r>
        <w:rPr>
          <w:rFonts w:hint="eastAsia"/>
          <w:sz w:val="28"/>
        </w:rPr>
        <w:sym w:font="Wingdings 2" w:char="F0A3"/>
      </w:r>
      <w:r>
        <w:rPr>
          <w:rFonts w:hint="eastAsia" w:cs="宋体"/>
        </w:rPr>
        <w:t xml:space="preserve">输配系统  </w:t>
      </w:r>
      <w:r>
        <w:rPr>
          <w:rFonts w:hint="eastAsia"/>
          <w:sz w:val="28"/>
        </w:rPr>
        <w:sym w:font="Wingdings 2" w:char="F0A3"/>
      </w:r>
      <w:r>
        <w:rPr>
          <w:rFonts w:hint="eastAsia" w:cs="宋体"/>
        </w:rPr>
        <w:t xml:space="preserve">照明  </w:t>
      </w:r>
      <w:r>
        <w:rPr>
          <w:rFonts w:hint="eastAsia"/>
          <w:sz w:val="28"/>
        </w:rPr>
        <w:sym w:font="Wingdings 2" w:char="F0A3"/>
      </w:r>
      <w:r>
        <w:rPr>
          <w:rFonts w:hint="eastAsia" w:cs="宋体"/>
        </w:rPr>
        <w:t>其他</w:t>
      </w:r>
      <w:r>
        <w:rPr>
          <w:rFonts w:hint="eastAsia" w:cs="宋体"/>
          <w:u w:val="single"/>
        </w:rPr>
        <w:t xml:space="preserve">      </w:t>
      </w:r>
    </w:p>
    <w:p>
      <w:pPr>
        <w:rPr>
          <w:rFonts w:ascii="Times New Roman" w:hAnsi="Times New Roman"/>
        </w:rPr>
      </w:pPr>
      <w:r>
        <w:rPr>
          <w:rFonts w:hint="eastAsia" w:ascii="Times New Roman" w:hAnsi="Times New Roman"/>
        </w:rPr>
        <w:t>简要说明独立分项计量系统的设计、应用情况。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供暖热源由市政热力管网提供，经小区换热站换热后进入楼栋热力小室，再经过分层水暖井计量小室分户计量后进入各个供暖用户。</w:t>
            </w:r>
          </w:p>
          <w:p>
            <w:pPr>
              <w:ind w:firstLine="400" w:firstLineChars="200"/>
              <w:rPr>
                <w:rFonts w:ascii="Times New Roman" w:hAnsi="Times New Roman"/>
                <w:kern w:val="0"/>
                <w:sz w:val="20"/>
                <w:szCs w:val="21"/>
              </w:rPr>
            </w:pPr>
            <w:r>
              <w:rPr>
                <w:rFonts w:hint="eastAsia" w:ascii="Times New Roman" w:hAnsi="Times New Roman"/>
                <w:kern w:val="0"/>
                <w:sz w:val="20"/>
                <w:szCs w:val="21"/>
              </w:rPr>
              <w:t>本工程每户采用一台全热回收除霾抗菌新风空调一体机。该机组利用空气源热泵作为冷热源，对各房间进行供冷、供热、新风供给与净化，耗能为电能，可设置独立电表记录。</w:t>
            </w:r>
          </w:p>
          <w:p>
            <w:pPr>
              <w:ind w:firstLine="400" w:firstLineChars="200"/>
              <w:rPr>
                <w:rFonts w:ascii="Times New Roman" w:hAnsi="Times New Roman"/>
                <w:kern w:val="0"/>
                <w:sz w:val="20"/>
                <w:szCs w:val="21"/>
              </w:rPr>
            </w:pPr>
            <w:r>
              <w:rPr>
                <w:rFonts w:hint="eastAsia" w:ascii="Times New Roman" w:hAnsi="Times New Roman"/>
                <w:kern w:val="0"/>
                <w:sz w:val="20"/>
                <w:szCs w:val="21"/>
              </w:rPr>
              <w:t>供暖冷热源由热泵机组提供，供暖制冷能耗以电量表计量。</w:t>
            </w:r>
          </w:p>
          <w:p>
            <w:pPr>
              <w:ind w:firstLine="400" w:firstLineChars="200"/>
              <w:rPr>
                <w:rFonts w:ascii="Times New Roman" w:hAnsi="Times New Roman"/>
                <w:kern w:val="0"/>
                <w:sz w:val="20"/>
                <w:szCs w:val="21"/>
              </w:rPr>
            </w:pPr>
            <w:r>
              <w:rPr>
                <w:rFonts w:hint="eastAsia" w:ascii="Times New Roman" w:hAnsi="Times New Roman"/>
                <w:kern w:val="0"/>
                <w:sz w:val="20"/>
                <w:szCs w:val="21"/>
              </w:rPr>
              <w:t>本工程供热热源、输配系统、照明插座用电系统、动力用电、特殊用电系统等均实行能耗分项计量，分别设置计量装置。</w:t>
            </w:r>
          </w:p>
        </w:tc>
      </w:tr>
    </w:tbl>
    <w:p>
      <w:pPr>
        <w:spacing w:before="156" w:beforeLines="50" w:after="156" w:afterLines="50"/>
        <w:rPr>
          <w:rFonts w:ascii="Times New Roman" w:hAnsi="Times New Roman"/>
          <w:b/>
          <w:szCs w:val="21"/>
        </w:rPr>
      </w:pPr>
      <w:bookmarkStart w:id="132" w:name="_Toc9944739"/>
      <w:bookmarkStart w:id="133" w:name="_Toc9945019"/>
      <w:bookmarkStart w:id="134" w:name="_Toc9945163"/>
      <w:bookmarkStart w:id="135" w:name="_Toc9945305"/>
      <w:bookmarkStart w:id="136" w:name="_Toc9945446"/>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1）与分项计量相关的电气、</w:t>
      </w:r>
      <w:r>
        <w:rPr>
          <w:rFonts w:ascii="Times New Roman" w:hAnsi="Times New Roman"/>
        </w:rPr>
        <w:t>给排水、暖通</w:t>
      </w:r>
      <w:r>
        <w:rPr>
          <w:rFonts w:hint="eastAsia" w:ascii="Times New Roman" w:hAnsi="Times New Roman"/>
        </w:rPr>
        <w:t>专业竣工图及设计说明，应包含分项计量的内容、系统图、</w:t>
      </w:r>
      <w:r>
        <w:rPr>
          <w:rFonts w:ascii="Times New Roman" w:hAnsi="Times New Roman"/>
        </w:rPr>
        <w:t>给水</w:t>
      </w:r>
      <w:r>
        <w:rPr>
          <w:rFonts w:hint="eastAsia" w:ascii="Times New Roman" w:hAnsi="Times New Roman"/>
        </w:rPr>
        <w:t>、</w:t>
      </w:r>
      <w:r>
        <w:rPr>
          <w:rFonts w:ascii="Times New Roman" w:hAnsi="Times New Roman"/>
        </w:rPr>
        <w:t>热水</w:t>
      </w:r>
      <w:r>
        <w:rPr>
          <w:rFonts w:hint="eastAsia" w:ascii="Times New Roman" w:hAnsi="Times New Roman"/>
        </w:rPr>
        <w:t>、</w:t>
      </w:r>
      <w:r>
        <w:rPr>
          <w:rFonts w:ascii="Times New Roman" w:hAnsi="Times New Roman"/>
        </w:rPr>
        <w:t>中水系统图、</w:t>
      </w:r>
      <w:r>
        <w:rPr>
          <w:rFonts w:hint="eastAsia" w:ascii="Times New Roman" w:hAnsi="Times New Roman"/>
        </w:rPr>
        <w:t>供暖</w:t>
      </w:r>
      <w:r>
        <w:rPr>
          <w:rFonts w:ascii="Times New Roman" w:hAnsi="Times New Roman"/>
        </w:rPr>
        <w:t>空调系统水系统图、</w:t>
      </w:r>
      <w:r>
        <w:rPr>
          <w:rFonts w:hint="eastAsia" w:ascii="Times New Roman" w:hAnsi="Times New Roman"/>
        </w:rPr>
        <w:t>电气</w:t>
      </w:r>
      <w:r>
        <w:rPr>
          <w:rFonts w:ascii="Times New Roman" w:hAnsi="Times New Roman"/>
        </w:rPr>
        <w:t>计量表计</w:t>
      </w:r>
      <w:r>
        <w:rPr>
          <w:rFonts w:hint="eastAsia" w:ascii="Times New Roman" w:hAnsi="Times New Roman"/>
        </w:rPr>
        <w:t>所涉及</w:t>
      </w:r>
      <w:r>
        <w:rPr>
          <w:rFonts w:ascii="Times New Roman" w:hAnsi="Times New Roman"/>
        </w:rPr>
        <w:t>的电气低压配电系统图、配电箱系统图、暖通空调冷热源机房、计量小</w:t>
      </w:r>
      <w:r>
        <w:rPr>
          <w:rFonts w:hint="eastAsia" w:ascii="Times New Roman" w:hAnsi="Times New Roman"/>
        </w:rPr>
        <w:t>室及其</w:t>
      </w:r>
      <w:r>
        <w:rPr>
          <w:rFonts w:ascii="Times New Roman" w:hAnsi="Times New Roman"/>
        </w:rPr>
        <w:t>控制系统图、各类计量表计的设置要求及位置等</w:t>
      </w:r>
      <w:r>
        <w:rPr>
          <w:rFonts w:hint="eastAsia" w:ascii="Times New Roman" w:hAnsi="Times New Roman"/>
        </w:rPr>
        <w:t>；</w:t>
      </w:r>
    </w:p>
    <w:p>
      <w:pPr>
        <w:rPr>
          <w:rFonts w:ascii="Times New Roman" w:hAnsi="Times New Roman"/>
        </w:rPr>
      </w:pPr>
      <w:r>
        <w:rPr>
          <w:rFonts w:hint="eastAsia" w:ascii="Times New Roman" w:hAnsi="Times New Roman"/>
        </w:rPr>
        <w:t>2）计量表的产品采购清单及产品说明、</w:t>
      </w:r>
      <w:r>
        <w:rPr>
          <w:rFonts w:ascii="Times New Roman" w:hAnsi="Times New Roman"/>
        </w:rPr>
        <w:t>设备材料表</w:t>
      </w:r>
      <w:r>
        <w:rPr>
          <w:rFonts w:hint="eastAsia" w:ascii="Times New Roman" w:hAnsi="Times New Roman"/>
        </w:rPr>
        <w:t>；</w:t>
      </w:r>
    </w:p>
    <w:p>
      <w:pPr>
        <w:rPr>
          <w:rFonts w:ascii="Times New Roman" w:hAnsi="Times New Roman"/>
        </w:rPr>
      </w:pPr>
      <w:r>
        <w:rPr>
          <w:rFonts w:hint="eastAsia" w:ascii="Times New Roman" w:hAnsi="Times New Roman"/>
        </w:rPr>
        <w:t>3）与分项计量相关的竣工验收记录、现场检查记录、运行调试记录。</w:t>
      </w:r>
    </w:p>
    <w:p>
      <w:pPr>
        <w:pStyle w:val="12"/>
        <w:ind w:left="360" w:firstLine="0" w:firstLineChars="0"/>
      </w:pPr>
    </w:p>
    <w:bookmarkEnd w:id="132"/>
    <w:bookmarkEnd w:id="133"/>
    <w:bookmarkEnd w:id="134"/>
    <w:bookmarkEnd w:id="135"/>
    <w:bookmarkEnd w:id="136"/>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 xml:space="preserve">7.1.6 </w:t>
      </w:r>
      <w:r>
        <w:rPr>
          <w:rFonts w:hint="eastAsia"/>
          <w:sz w:val="24"/>
          <w:szCs w:val="40"/>
        </w:rPr>
        <w:t>垂直电梯应采取群控、变频调速或能量反馈等节能措施；自动扶梯应采用变频感应启动等节能控制措施。</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rPr>
          <w:rFonts w:cs="宋体"/>
          <w:u w:val="single"/>
        </w:rPr>
      </w:pPr>
      <w:r>
        <w:rPr>
          <w:rFonts w:hint="eastAsia" w:cs="宋体"/>
        </w:rPr>
        <w:t>垂直电梯节能措施：</w:t>
      </w:r>
      <w:r>
        <w:rPr>
          <w:rFonts w:hint="eastAsia"/>
          <w:sz w:val="28"/>
        </w:rPr>
        <w:sym w:font="Wingdings 2" w:char="F0A3"/>
      </w:r>
      <w:r>
        <w:rPr>
          <w:rFonts w:hint="eastAsia" w:cs="宋体"/>
        </w:rPr>
        <w:t xml:space="preserve">群控   </w:t>
      </w:r>
      <w:r>
        <w:rPr>
          <w:rFonts w:hint="eastAsia"/>
          <w:sz w:val="28"/>
        </w:rPr>
        <w:sym w:font="Wingdings 2" w:char="F0A3"/>
      </w:r>
      <w:r>
        <w:rPr>
          <w:rFonts w:hint="eastAsia" w:cs="宋体"/>
        </w:rPr>
        <w:t xml:space="preserve">变频调速   </w:t>
      </w:r>
      <w:r>
        <w:rPr>
          <w:rFonts w:hint="eastAsia"/>
          <w:sz w:val="28"/>
        </w:rPr>
        <w:sym w:font="Wingdings 2" w:char="F0A3"/>
      </w:r>
      <w:r>
        <w:rPr>
          <w:rFonts w:hint="eastAsia" w:cs="宋体"/>
        </w:rPr>
        <w:t xml:space="preserve">能量反馈   </w:t>
      </w:r>
      <w:r>
        <w:rPr>
          <w:rFonts w:hint="eastAsia"/>
          <w:sz w:val="28"/>
        </w:rPr>
        <w:sym w:font="Wingdings 2" w:char="F0A3"/>
      </w:r>
      <w:r>
        <w:rPr>
          <w:rFonts w:hint="eastAsia" w:cs="宋体"/>
        </w:rPr>
        <w:t>其他</w:t>
      </w:r>
      <w:r>
        <w:rPr>
          <w:rFonts w:cs="宋体"/>
          <w:u w:val="single"/>
        </w:rPr>
        <w:t xml:space="preserve"> </w:t>
      </w:r>
      <w:r>
        <w:rPr>
          <w:rFonts w:hint="eastAsia" w:cs="宋体"/>
          <w:u w:val="single"/>
        </w:rPr>
        <w:t xml:space="preserve">          </w:t>
      </w:r>
    </w:p>
    <w:p>
      <w:pPr>
        <w:spacing w:line="288" w:lineRule="auto"/>
        <w:rPr>
          <w:rFonts w:cs="宋体"/>
        </w:rPr>
      </w:pPr>
      <w:r>
        <w:rPr>
          <w:rFonts w:hint="eastAsia" w:cs="宋体"/>
        </w:rPr>
        <w:t>自动扶梯节能措施：</w:t>
      </w:r>
      <w:r>
        <w:rPr>
          <w:rFonts w:hint="eastAsia"/>
          <w:sz w:val="28"/>
        </w:rPr>
        <w:sym w:font="Wingdings 2" w:char="F0A3"/>
      </w:r>
      <w:r>
        <w:rPr>
          <w:rFonts w:hint="eastAsia" w:cs="宋体"/>
        </w:rPr>
        <w:t xml:space="preserve">变频感应启停   </w:t>
      </w:r>
      <w:r>
        <w:rPr>
          <w:rFonts w:hint="eastAsia"/>
          <w:sz w:val="28"/>
        </w:rPr>
        <w:sym w:font="Wingdings 2" w:char="F0A3"/>
      </w:r>
      <w:r>
        <w:rPr>
          <w:rFonts w:hint="eastAsia" w:cs="宋体"/>
        </w:rPr>
        <w:t>其他</w:t>
      </w:r>
      <w:r>
        <w:rPr>
          <w:rFonts w:hint="eastAsia" w:cs="宋体"/>
          <w:u w:val="single"/>
        </w:rPr>
        <w:t xml:space="preserve">     </w:t>
      </w:r>
    </w:p>
    <w:p>
      <w:pPr>
        <w:rPr>
          <w:rFonts w:ascii="Times New Roman" w:hAnsi="Times New Roman"/>
          <w:szCs w:val="21"/>
        </w:rPr>
      </w:pPr>
      <w:r>
        <w:rPr>
          <w:rFonts w:hint="eastAsia" w:cs="宋体"/>
        </w:rPr>
        <w:t>请简要说明电梯和自动扶梯的节能控制措施。</w:t>
      </w:r>
      <w:r>
        <w:t xml:space="preserve"> </w:t>
      </w:r>
      <w:bookmarkStart w:id="137" w:name="_Toc9944742"/>
      <w:bookmarkStart w:id="138" w:name="_Toc9945022"/>
      <w:bookmarkStart w:id="139" w:name="_Toc9945166"/>
      <w:bookmarkStart w:id="140" w:name="_Toc9945308"/>
      <w:bookmarkStart w:id="141" w:name="_Toc994544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两台电梯采用并联控制方式。</w:t>
            </w:r>
          </w:p>
          <w:p>
            <w:pPr>
              <w:ind w:firstLine="400" w:firstLineChars="200"/>
              <w:rPr>
                <w:rFonts w:ascii="Times New Roman" w:hAnsi="Times New Roman"/>
                <w:kern w:val="0"/>
                <w:sz w:val="20"/>
                <w:szCs w:val="21"/>
              </w:rPr>
            </w:pPr>
            <w:r>
              <w:rPr>
                <w:rFonts w:hint="eastAsia" w:ascii="Times New Roman" w:hAnsi="Times New Roman"/>
                <w:kern w:val="0"/>
                <w:sz w:val="20"/>
                <w:szCs w:val="21"/>
              </w:rPr>
              <w:t>电梯无厅外召唤信号，且在一段时间内也没有轿内指令时，自动切断照明、风扇电源，以利节能。</w:t>
            </w:r>
          </w:p>
          <w:p>
            <w:pPr>
              <w:ind w:firstLine="400" w:firstLineChars="200"/>
              <w:rPr>
                <w:rFonts w:ascii="Times New Roman" w:hAnsi="Times New Roman"/>
                <w:kern w:val="0"/>
                <w:sz w:val="20"/>
                <w:szCs w:val="21"/>
              </w:rPr>
            </w:pPr>
            <w:r>
              <w:rPr>
                <w:rFonts w:hint="eastAsia" w:ascii="Times New Roman" w:hAnsi="Times New Roman"/>
                <w:kern w:val="0"/>
                <w:sz w:val="20"/>
                <w:szCs w:val="21"/>
              </w:rPr>
              <w:t>电梯采用无齿轮永磁同步电梯；电梯安装电能回馈装置，使得损耗的电能得以回收、利用，消除电阻发热原件，大大降低机房温度；在电梯中安装变频驱动装置；制定合理的电梯运行规程，在日常工作中尽量合理疏导乘客集中乘梯，减少电梯运行次数，通过疏导尽量平衡各电梯使用时间。</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1）建筑</w:t>
      </w:r>
      <w:r>
        <w:rPr>
          <w:rFonts w:ascii="Times New Roman" w:hAnsi="Times New Roman"/>
        </w:rPr>
        <w:t>专业竣工图及设计说明</w:t>
      </w:r>
      <w:r>
        <w:rPr>
          <w:rFonts w:hint="eastAsia" w:ascii="Times New Roman" w:hAnsi="Times New Roman"/>
        </w:rPr>
        <w:t>，</w:t>
      </w:r>
      <w:r>
        <w:rPr>
          <w:rFonts w:ascii="Times New Roman" w:hAnsi="Times New Roman"/>
        </w:rPr>
        <w:t>应包含设备表等设计文件</w:t>
      </w:r>
      <w:r>
        <w:rPr>
          <w:rFonts w:hint="eastAsia" w:ascii="Times New Roman" w:hAnsi="Times New Roman"/>
        </w:rPr>
        <w:t>；</w:t>
      </w:r>
    </w:p>
    <w:p>
      <w:pPr>
        <w:rPr>
          <w:rFonts w:ascii="Times New Roman" w:hAnsi="Times New Roman"/>
        </w:rPr>
      </w:pPr>
      <w:r>
        <w:rPr>
          <w:rFonts w:hint="eastAsia" w:ascii="Times New Roman" w:hAnsi="Times New Roman"/>
        </w:rPr>
        <w:t>2）电梯及扶梯订货清单及产品资料、电梯产品性能检测报告；</w:t>
      </w:r>
    </w:p>
    <w:p>
      <w:pPr>
        <w:rPr>
          <w:rFonts w:ascii="Times New Roman" w:hAnsi="Times New Roman"/>
        </w:rPr>
      </w:pPr>
      <w:r>
        <w:rPr>
          <w:rFonts w:hint="eastAsia" w:ascii="Times New Roman" w:hAnsi="Times New Roman"/>
        </w:rPr>
        <w:t>3）电梯与自动</w:t>
      </w:r>
      <w:r>
        <w:rPr>
          <w:rFonts w:ascii="Times New Roman" w:hAnsi="Times New Roman"/>
        </w:rPr>
        <w:t>扶梯人流平衡计算分析报告。</w:t>
      </w:r>
    </w:p>
    <w:bookmarkEnd w:id="137"/>
    <w:bookmarkEnd w:id="138"/>
    <w:bookmarkEnd w:id="139"/>
    <w:bookmarkEnd w:id="140"/>
    <w:bookmarkEnd w:id="141"/>
    <w:p/>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7.1.7 应制定水资源利用方案，统筹利用各种水资源。</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rPr>
        <w:t>请简要说明水系统利用方案的内容。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水源：本项目以市政给水管网为水源，从西面市政路引入一路DN100 的给水管，并向室内各用水点供水，甲方提供基本水压为0.25MPa。从西面市政路和南面市政给水管引入两路DN100 的给水管与小区内形成环网，按照消防规范在环网管道适当位置设置室外消火栓，确保本小区的消防用水。</w:t>
            </w:r>
          </w:p>
          <w:p>
            <w:pPr>
              <w:ind w:firstLine="400" w:firstLineChars="200"/>
              <w:rPr>
                <w:rFonts w:ascii="Times New Roman" w:hAnsi="Times New Roman"/>
                <w:kern w:val="0"/>
                <w:sz w:val="20"/>
                <w:szCs w:val="21"/>
              </w:rPr>
            </w:pPr>
            <w:r>
              <w:rPr>
                <w:rFonts w:hint="eastAsia" w:ascii="Times New Roman" w:hAnsi="Times New Roman"/>
                <w:kern w:val="0"/>
                <w:sz w:val="20"/>
                <w:szCs w:val="21"/>
              </w:rPr>
              <w:t>给水系统：生活给水系统分为市政直供及加压供水系统。本工程生活给水系统：-1F 至1F 直接由市政供水，2F 至7F 设于负一层泵房内的变频泵组加压供水，采用支管减压措施，阀后压力为0.20MPa。</w:t>
            </w:r>
          </w:p>
          <w:p>
            <w:pPr>
              <w:ind w:firstLine="400" w:firstLineChars="200"/>
              <w:rPr>
                <w:rFonts w:ascii="Times New Roman" w:hAnsi="Times New Roman"/>
                <w:kern w:val="0"/>
                <w:sz w:val="20"/>
                <w:szCs w:val="21"/>
              </w:rPr>
            </w:pPr>
            <w:r>
              <w:rPr>
                <w:rFonts w:hint="eastAsia" w:ascii="Times New Roman" w:hAnsi="Times New Roman"/>
                <w:kern w:val="0"/>
                <w:sz w:val="20"/>
                <w:szCs w:val="21"/>
              </w:rPr>
              <w:t>排水系统：本项目室内生活污、废水合流排放，生活污水与废水分流排放，室外采用雨污</w:t>
            </w:r>
          </w:p>
          <w:p>
            <w:pPr>
              <w:rPr>
                <w:rFonts w:ascii="Times New Roman" w:hAnsi="Times New Roman"/>
                <w:kern w:val="0"/>
                <w:sz w:val="20"/>
                <w:szCs w:val="21"/>
              </w:rPr>
            </w:pPr>
            <w:r>
              <w:rPr>
                <w:rFonts w:hint="eastAsia" w:ascii="Times New Roman" w:hAnsi="Times New Roman"/>
                <w:kern w:val="0"/>
                <w:sz w:val="20"/>
                <w:szCs w:val="21"/>
              </w:rPr>
              <w:t>分流、污废合流体制。污废水直接排至室外化粪池，室外污废水收集经化粪池处理后再排入市政污水管道，厨房废水经隔油池处理后再排入市政污水管道；室内地下车库冲洗废水汇集至地下室各集水坑, 由潜污泵提升至室外污水井；雨水经室外雨水检查井最终排至周边市政道路雨水管网面，雨水按重力、满流雨水排水系统设计，屋面雨水由87 型雨水斗、侧墙式雨水斗收集，经雨水立管排至室外雨水管道。</w:t>
            </w:r>
          </w:p>
          <w:p>
            <w:pPr>
              <w:ind w:firstLine="400" w:firstLineChars="200"/>
              <w:rPr>
                <w:rFonts w:ascii="Times New Roman" w:hAnsi="Times New Roman"/>
                <w:kern w:val="0"/>
                <w:sz w:val="20"/>
                <w:szCs w:val="21"/>
              </w:rPr>
            </w:pPr>
            <w:r>
              <w:rPr>
                <w:rFonts w:hint="eastAsia" w:ascii="Times New Roman" w:hAnsi="Times New Roman"/>
                <w:kern w:val="0"/>
                <w:sz w:val="20"/>
                <w:szCs w:val="21"/>
              </w:rPr>
              <w:t>管材：合理选择供水的材质及管径，选用良好的卫生器具，控制其漏水量，选用性能好的</w:t>
            </w:r>
          </w:p>
          <w:p>
            <w:pPr>
              <w:rPr>
                <w:rFonts w:ascii="Times New Roman" w:hAnsi="Times New Roman"/>
                <w:kern w:val="0"/>
                <w:sz w:val="20"/>
                <w:szCs w:val="21"/>
              </w:rPr>
            </w:pPr>
            <w:r>
              <w:rPr>
                <w:rFonts w:hint="eastAsia" w:ascii="Times New Roman" w:hAnsi="Times New Roman"/>
                <w:kern w:val="0"/>
                <w:sz w:val="20"/>
                <w:szCs w:val="21"/>
              </w:rPr>
              <w:t>阀门，并在阀前增设软密封闭阀，合理设置检修阀门的位置。各用水部门采用计量收费,不</w:t>
            </w:r>
          </w:p>
          <w:p>
            <w:pPr>
              <w:rPr>
                <w:rFonts w:ascii="Times New Roman" w:hAnsi="Times New Roman"/>
                <w:kern w:val="0"/>
                <w:sz w:val="20"/>
                <w:szCs w:val="21"/>
              </w:rPr>
            </w:pPr>
            <w:r>
              <w:rPr>
                <w:rFonts w:hint="eastAsia" w:ascii="Times New Roman" w:hAnsi="Times New Roman"/>
                <w:kern w:val="0"/>
                <w:sz w:val="20"/>
                <w:szCs w:val="21"/>
              </w:rPr>
              <w:t>同用途的用水单设水表，水表安装率达100%。</w:t>
            </w:r>
          </w:p>
          <w:p>
            <w:pPr>
              <w:ind w:firstLine="400" w:firstLineChars="200"/>
              <w:rPr>
                <w:rFonts w:ascii="Times New Roman" w:hAnsi="Times New Roman"/>
                <w:kern w:val="0"/>
                <w:sz w:val="20"/>
                <w:szCs w:val="21"/>
              </w:rPr>
            </w:pPr>
            <w:r>
              <w:rPr>
                <w:rFonts w:hint="eastAsia" w:ascii="Times New Roman" w:hAnsi="Times New Roman"/>
                <w:kern w:val="0"/>
                <w:sz w:val="20"/>
                <w:szCs w:val="21"/>
              </w:rPr>
              <w:t>节水器具：用较高用水效率等级的卫生器具，用水效率等级达到一级。坐便器采用设有大、小便分档的冲洗水箱（3L/4.5L）;蹲便器采用延时自闭式冲洗阀；小便器采用应在2S内自动止水的感应式冲洗阀,非正常供电电压下应自动断水,一次冲水量不大于2.0L；公共场所洗手盆采用充气式感应龙头、其它洗手盆采用节能水龙头最大流量不大于0.1L/S）; 校区内80%面积以上地下车库以及道路冲洗采用高压水枪.</w:t>
            </w:r>
          </w:p>
        </w:tc>
      </w:tr>
    </w:tbl>
    <w:p>
      <w:pPr>
        <w:spacing w:line="360" w:lineRule="auto"/>
        <w:rPr>
          <w:rFonts w:cs="宋体"/>
        </w:rPr>
      </w:pPr>
      <w:r>
        <w:rPr>
          <w:rFonts w:hint="eastAsia" w:cs="宋体"/>
          <w:lang w:val="zh-CN"/>
        </w:rPr>
        <w:t>用水计</w:t>
      </w:r>
      <w:r>
        <w:rPr>
          <w:rFonts w:hint="eastAsia" w:cs="宋体"/>
        </w:rPr>
        <w:t>量表按</w:t>
      </w:r>
      <w:r>
        <w:rPr>
          <w:rFonts w:hint="eastAsia" w:eastAsia="仿宋_GB2312" w:cs="仿宋_GB2312"/>
          <w:szCs w:val="21"/>
        </w:rPr>
        <w:t>□</w:t>
      </w:r>
      <w:r>
        <w:rPr>
          <w:rFonts w:hint="eastAsia" w:cs="宋体"/>
        </w:rPr>
        <w:t xml:space="preserve">用途 </w:t>
      </w:r>
      <w:r>
        <w:rPr>
          <w:rFonts w:hint="eastAsia" w:eastAsia="仿宋_GB2312" w:cs="仿宋_GB2312"/>
          <w:szCs w:val="21"/>
        </w:rPr>
        <w:t>□</w:t>
      </w:r>
      <w:r>
        <w:rPr>
          <w:rFonts w:hint="eastAsia" w:cs="宋体"/>
        </w:rPr>
        <w:t>付费 □管理单元 设置：</w:t>
      </w:r>
    </w:p>
    <w:p>
      <w:pPr>
        <w:spacing w:line="288" w:lineRule="auto"/>
        <w:jc w:val="center"/>
        <w:rPr>
          <w:szCs w:val="21"/>
        </w:rPr>
      </w:pPr>
      <w:r>
        <w:rPr>
          <w:rFonts w:hint="eastAsia" w:cs="宋体"/>
          <w:szCs w:val="21"/>
        </w:rPr>
        <w:t>用水计量水表主要信息</w:t>
      </w:r>
    </w:p>
    <w:tbl>
      <w:tblPr>
        <w:tblStyle w:val="7"/>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936"/>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cs="宋体"/>
                <w:szCs w:val="21"/>
              </w:rPr>
              <w:t>水表编号</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cs="宋体"/>
                <w:szCs w:val="21"/>
              </w:rPr>
              <w:t>用途</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cs="宋体"/>
                <w:szCs w:val="21"/>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Style w:val="17"/>
              </w:rPr>
              <w:t xml:space="preserve"> </w:t>
            </w:r>
          </w:p>
        </w:tc>
        <w:tc>
          <w:tcPr>
            <w:tcW w:w="393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c>
          <w:tcPr>
            <w:tcW w:w="2443"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Style w:val="17"/>
              </w:rPr>
              <w:t xml:space="preserve"> </w:t>
            </w:r>
          </w:p>
        </w:tc>
        <w:tc>
          <w:tcPr>
            <w:tcW w:w="393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c>
          <w:tcPr>
            <w:tcW w:w="2443"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Style w:val="17"/>
              </w:rPr>
              <w:t xml:space="preserve"> </w:t>
            </w:r>
          </w:p>
        </w:tc>
        <w:tc>
          <w:tcPr>
            <w:tcW w:w="393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c>
          <w:tcPr>
            <w:tcW w:w="2443"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Style w:val="17"/>
              </w:rPr>
              <w:t xml:space="preserve"> </w:t>
            </w:r>
          </w:p>
        </w:tc>
        <w:tc>
          <w:tcPr>
            <w:tcW w:w="393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c>
          <w:tcPr>
            <w:tcW w:w="2443"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Style w:val="17"/>
              </w:rPr>
              <w:t xml:space="preserve"> </w:t>
            </w:r>
          </w:p>
        </w:tc>
        <w:tc>
          <w:tcPr>
            <w:tcW w:w="393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c>
          <w:tcPr>
            <w:tcW w:w="2443"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Style w:val="17"/>
              </w:rPr>
              <w:t xml:space="preserve"> </w:t>
            </w:r>
          </w:p>
        </w:tc>
        <w:tc>
          <w:tcPr>
            <w:tcW w:w="393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c>
          <w:tcPr>
            <w:tcW w:w="2443"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Style w:val="17"/>
              </w:rPr>
              <w:t xml:space="preserve"> </w:t>
            </w:r>
          </w:p>
        </w:tc>
        <w:tc>
          <w:tcPr>
            <w:tcW w:w="393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c>
          <w:tcPr>
            <w:tcW w:w="2443"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lang w:val="zh-CN"/>
              </w:rPr>
            </w:pPr>
          </w:p>
        </w:tc>
      </w:tr>
    </w:tbl>
    <w:p>
      <w:pPr>
        <w:spacing w:line="288" w:lineRule="auto"/>
        <w:rPr>
          <w:rFonts w:ascii="Times New Roman" w:hAnsi="Times New Roman"/>
        </w:rPr>
      </w:pPr>
      <w:r>
        <w:rPr>
          <w:rFonts w:ascii="Times New Roman" w:hAnsi="Times New Roman"/>
          <w:kern w:val="0"/>
        </w:rPr>
        <w:t>用水点供水压力最大为</w:t>
      </w:r>
      <w:r>
        <w:rPr>
          <w:rFonts w:ascii="Times New Roman" w:hAnsi="Times New Roman"/>
          <w:szCs w:val="21"/>
          <w:u w:val="single"/>
          <w:lang w:val="zh-CN"/>
        </w:rPr>
        <w:t xml:space="preserve"> </w:t>
      </w:r>
      <w:r>
        <w:rPr>
          <w:rFonts w:hint="eastAsia" w:ascii="Times New Roman" w:hAnsi="Times New Roman"/>
          <w:szCs w:val="21"/>
          <w:u w:val="single"/>
          <w:lang w:val="zh-CN"/>
        </w:rPr>
        <w:t xml:space="preserve">         </w:t>
      </w:r>
      <w:r>
        <w:rPr>
          <w:rFonts w:ascii="Times New Roman" w:hAnsi="Times New Roman"/>
          <w:szCs w:val="21"/>
          <w:u w:val="single"/>
          <w:lang w:val="zh-CN"/>
        </w:rPr>
        <w:t xml:space="preserve">  </w:t>
      </w:r>
      <w:r>
        <w:rPr>
          <w:rFonts w:ascii="Times New Roman" w:hAnsi="Times New Roman"/>
          <w:kern w:val="0"/>
        </w:rPr>
        <w:t>MPa</w:t>
      </w:r>
      <w:r>
        <w:rPr>
          <w:rFonts w:ascii="Times New Roman" w:hAnsi="Times New Roman"/>
        </w:rPr>
        <w:t>。</w:t>
      </w:r>
    </w:p>
    <w:p>
      <w:pPr>
        <w:rPr>
          <w:rFonts w:ascii="Times New Roman" w:hAnsi="Times New Roman"/>
          <w:szCs w:val="21"/>
        </w:rPr>
      </w:pPr>
      <w:r>
        <w:rPr>
          <w:rFonts w:ascii="Times New Roman" w:hAnsi="Times New Roman"/>
          <w:szCs w:val="21"/>
          <w:lang w:val="zh-CN"/>
        </w:rPr>
        <w:t>请简要说明市政供水压力、水系统压力分区、用水器具的水压要求。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本项目给水系统竖向分2个区：其中-1F至1F层由市政水直接供给，2F至12F层为加压高区，每区供水范围内每层用水点处供水压力均控制在0.10～0.20MPa之间。</w:t>
            </w:r>
          </w:p>
          <w:p>
            <w:pPr>
              <w:ind w:firstLine="400" w:firstLineChars="200"/>
              <w:rPr>
                <w:rFonts w:ascii="Times New Roman" w:hAnsi="Times New Roman"/>
                <w:kern w:val="0"/>
                <w:sz w:val="20"/>
                <w:szCs w:val="21"/>
              </w:rPr>
            </w:pPr>
            <w:r>
              <w:rPr>
                <w:rFonts w:hint="eastAsia" w:ascii="Times New Roman" w:hAnsi="Times New Roman"/>
                <w:kern w:val="0"/>
                <w:sz w:val="20"/>
                <w:szCs w:val="21"/>
              </w:rPr>
              <w:t>入户管水压大于0.35MPa者设减压阀减压至0.2MPa以内；入户管水压小于0.35MPa但大于0.2MPa者采用截止阀调至0.2MPa以内，且满足给水配件最低工作压力的要求。</w:t>
            </w:r>
          </w:p>
          <w:p>
            <w:pPr>
              <w:ind w:firstLine="400" w:firstLineChars="200"/>
              <w:rPr>
                <w:rFonts w:ascii="Times New Roman" w:hAnsi="Times New Roman"/>
                <w:kern w:val="0"/>
                <w:sz w:val="20"/>
                <w:szCs w:val="21"/>
              </w:rPr>
            </w:pPr>
            <w:r>
              <w:rPr>
                <w:rFonts w:hint="eastAsia" w:ascii="Times New Roman" w:hAnsi="Times New Roman"/>
                <w:kern w:val="0"/>
                <w:sz w:val="20"/>
                <w:szCs w:val="21"/>
              </w:rPr>
              <w:t>给水水源为市政给水管网及中水给水管网，供水压力均为0.17MPa。自来水给水系统1~2层由市政直供，入户管工作压力0.17MPa;3~6层无负压自来水供水设备供水,入户管工作压力0.30MPa. 中水给水系统1层由市政中水管网直供，入户管工作压力0.17MPa; 2~6层由无负压中水供水设备供水,入户管工作压力0.35MPa。无负压供水设备采用全变频恒压供水设备。各层支管供水压力均不大于0.20MPa，满足各用水器具的水压要求。</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1）水资源利用方案；</w:t>
      </w:r>
    </w:p>
    <w:p>
      <w:pPr>
        <w:rPr>
          <w:rFonts w:ascii="Times New Roman" w:hAnsi="Times New Roman"/>
        </w:rPr>
      </w:pPr>
      <w:r>
        <w:rPr>
          <w:rFonts w:hint="eastAsia" w:ascii="Times New Roman" w:hAnsi="Times New Roman"/>
        </w:rPr>
        <w:t>2）给排水竣工图及设计说明，应包含水表分类计量的设计内容；</w:t>
      </w:r>
    </w:p>
    <w:p>
      <w:pPr>
        <w:rPr>
          <w:rFonts w:ascii="Times New Roman" w:hAnsi="Times New Roman"/>
        </w:rPr>
      </w:pPr>
      <w:r>
        <w:rPr>
          <w:rFonts w:hint="eastAsia" w:ascii="Times New Roman" w:hAnsi="Times New Roman"/>
        </w:rPr>
        <w:t>3）节水器具、设备和系统的产品说明书、用水器具产品节水性能检测报告。</w:t>
      </w:r>
    </w:p>
    <w:p>
      <w:pPr>
        <w:rPr>
          <w:rFonts w:ascii="Times New Roman" w:hAnsi="Times New Roman"/>
        </w:rPr>
      </w:pPr>
    </w:p>
    <w:p>
      <w:pPr>
        <w:rPr>
          <w:rFonts w:ascii="Times New Roman" w:hAnsi="Times New Roman"/>
          <w:szCs w:val="21"/>
        </w:rPr>
      </w:pPr>
      <w: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rPr>
      </w:pPr>
      <w:r>
        <w:rPr>
          <w:rFonts w:hint="eastAsia"/>
          <w:sz w:val="24"/>
          <w:szCs w:val="40"/>
        </w:rPr>
        <w:t>7.1.8 不应</w:t>
      </w:r>
      <w:r>
        <w:rPr>
          <w:sz w:val="24"/>
          <w:szCs w:val="40"/>
        </w:rPr>
        <w:t>采用建筑形体和布置严重不规则的建筑结构</w:t>
      </w:r>
      <w:r>
        <w:rPr>
          <w:rFonts w:hint="eastAsia"/>
          <w:sz w:val="24"/>
          <w:szCs w:val="40"/>
        </w:rPr>
        <w:t>。</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cs="宋体"/>
        </w:rPr>
        <w:t xml:space="preserve">建筑形体属于 </w:t>
      </w:r>
      <w:r>
        <w:rPr>
          <w:rFonts w:hint="eastAsia"/>
          <w:sz w:val="28"/>
        </w:rPr>
        <w:sym w:font="Wingdings 2" w:char="F0A3"/>
      </w:r>
      <w:r>
        <w:rPr>
          <w:rFonts w:hint="eastAsia" w:cs="宋体"/>
        </w:rPr>
        <w:t xml:space="preserve">规则  </w:t>
      </w:r>
      <w:r>
        <w:rPr>
          <w:rFonts w:hint="eastAsia"/>
          <w:sz w:val="28"/>
        </w:rPr>
        <w:sym w:font="Wingdings 2" w:char="F0A3"/>
      </w:r>
      <w:r>
        <w:rPr>
          <w:rFonts w:hint="eastAsia" w:cs="宋体"/>
        </w:rPr>
        <w:t xml:space="preserve">不规则  </w:t>
      </w:r>
      <w:r>
        <w:rPr>
          <w:rFonts w:hint="eastAsia"/>
          <w:sz w:val="28"/>
        </w:rPr>
        <w:sym w:font="Wingdings 2" w:char="F0A3"/>
      </w:r>
      <w:r>
        <w:rPr>
          <w:rFonts w:hint="eastAsia" w:cs="宋体"/>
        </w:rPr>
        <w:t xml:space="preserve">特别不规则  </w:t>
      </w:r>
      <w:r>
        <w:rPr>
          <w:rFonts w:hint="eastAsia"/>
          <w:sz w:val="28"/>
        </w:rPr>
        <w:sym w:font="Wingdings 2" w:char="F0A3"/>
      </w:r>
      <w:r>
        <w:rPr>
          <w:rFonts w:hint="eastAsia" w:cs="宋体"/>
        </w:rPr>
        <w:t>严重不规则</w:t>
      </w:r>
    </w:p>
    <w:p>
      <w:pPr>
        <w:rPr>
          <w:lang w:val="zh-CN"/>
        </w:rPr>
      </w:pPr>
      <w:r>
        <w:rPr>
          <w:rFonts w:hint="eastAsia" w:cs="宋体"/>
        </w:rPr>
        <w:t>不规则建筑形体判断：</w:t>
      </w:r>
    </w:p>
    <w:p>
      <w:pPr>
        <w:rPr>
          <w:rFonts w:cs="宋体"/>
        </w:rPr>
      </w:pPr>
      <w:r>
        <w:rPr>
          <w:rFonts w:hint="eastAsia"/>
          <w:b/>
          <w:bCs/>
          <w:lang w:val="zh-CN"/>
        </w:rPr>
        <w:t xml:space="preserve"> </w:t>
      </w:r>
      <w:r>
        <w:rPr>
          <w:rFonts w:hint="eastAsia" w:cs="宋体"/>
        </w:rPr>
        <w:t xml:space="preserve"> a）平面不规则类型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605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53" w:type="dxa"/>
            <w:shd w:val="clear" w:color="auto" w:fill="auto"/>
            <w:noWrap w:val="0"/>
            <w:vAlign w:val="top"/>
          </w:tcPr>
          <w:p>
            <w:pPr>
              <w:spacing w:line="288" w:lineRule="auto"/>
              <w:jc w:val="center"/>
              <w:rPr>
                <w:bCs/>
                <w:lang w:val="zh-CN"/>
              </w:rPr>
            </w:pPr>
            <w:r>
              <w:rPr>
                <w:rFonts w:hint="eastAsia"/>
                <w:bCs/>
                <w:lang w:val="zh-CN"/>
              </w:rPr>
              <w:t>不规则类型</w:t>
            </w:r>
          </w:p>
        </w:tc>
        <w:tc>
          <w:tcPr>
            <w:tcW w:w="6058" w:type="dxa"/>
            <w:shd w:val="clear" w:color="auto" w:fill="auto"/>
            <w:noWrap w:val="0"/>
            <w:vAlign w:val="top"/>
          </w:tcPr>
          <w:p>
            <w:pPr>
              <w:spacing w:line="288" w:lineRule="auto"/>
              <w:jc w:val="center"/>
              <w:rPr>
                <w:bCs/>
                <w:lang w:val="zh-CN"/>
              </w:rPr>
            </w:pPr>
            <w:r>
              <w:rPr>
                <w:rFonts w:hint="eastAsia"/>
                <w:bCs/>
                <w:lang w:val="zh-CN"/>
              </w:rPr>
              <w:t>定义和参考指标</w:t>
            </w:r>
          </w:p>
        </w:tc>
        <w:tc>
          <w:tcPr>
            <w:tcW w:w="885" w:type="dxa"/>
            <w:shd w:val="clear" w:color="auto" w:fill="auto"/>
            <w:noWrap w:val="0"/>
            <w:vAlign w:val="top"/>
          </w:tcPr>
          <w:p>
            <w:pPr>
              <w:spacing w:line="288" w:lineRule="auto"/>
              <w:jc w:val="center"/>
              <w:rPr>
                <w:bCs/>
                <w:lang w:val="zh-CN"/>
              </w:rPr>
            </w:pPr>
            <w:r>
              <w:rPr>
                <w:rFonts w:hint="eastAsia"/>
                <w:bCs/>
                <w:lang w:val="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53" w:type="dxa"/>
            <w:shd w:val="clear" w:color="auto" w:fill="auto"/>
            <w:noWrap w:val="0"/>
            <w:vAlign w:val="center"/>
          </w:tcPr>
          <w:p>
            <w:pPr>
              <w:spacing w:line="288" w:lineRule="auto"/>
              <w:jc w:val="center"/>
              <w:rPr>
                <w:bCs/>
                <w:lang w:val="zh-CN"/>
              </w:rPr>
            </w:pPr>
            <w:r>
              <w:rPr>
                <w:rFonts w:hint="eastAsia"/>
                <w:bCs/>
                <w:lang w:val="zh-CN"/>
              </w:rPr>
              <w:t>扭转不规则</w:t>
            </w:r>
          </w:p>
        </w:tc>
        <w:tc>
          <w:tcPr>
            <w:tcW w:w="6058" w:type="dxa"/>
            <w:shd w:val="clear" w:color="auto" w:fill="auto"/>
            <w:noWrap w:val="0"/>
            <w:vAlign w:val="top"/>
          </w:tcPr>
          <w:p>
            <w:pPr>
              <w:spacing w:line="300" w:lineRule="exact"/>
              <w:rPr>
                <w:bCs/>
                <w:lang w:val="zh-CN"/>
              </w:rPr>
            </w:pPr>
            <w:r>
              <w:rPr>
                <w:rFonts w:hint="eastAsia"/>
                <w:bCs/>
                <w:lang w:val="zh-CN"/>
              </w:rPr>
              <w:t>在规定的水平力作用下，楼层的最大弹性水平位移或（层间位移），大于该楼层两端弹性水平位移（或层间位移）平均值的1.2倍</w:t>
            </w:r>
          </w:p>
        </w:tc>
        <w:tc>
          <w:tcPr>
            <w:tcW w:w="885" w:type="dxa"/>
            <w:shd w:val="clear" w:color="auto" w:fill="auto"/>
            <w:noWrap w:val="0"/>
            <w:vAlign w:val="center"/>
          </w:tcPr>
          <w:p>
            <w:pPr>
              <w:spacing w:line="288" w:lineRule="auto"/>
              <w:jc w:val="center"/>
              <w:rPr>
                <w:b/>
                <w:bCs/>
                <w:lang w:val="zh-CN"/>
              </w:rPr>
            </w:pPr>
            <w:r>
              <w:rPr>
                <w:rFonts w:hint="eastAsia"/>
                <w:b/>
                <w:bCs/>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53" w:type="dxa"/>
            <w:shd w:val="clear" w:color="auto" w:fill="auto"/>
            <w:noWrap w:val="0"/>
            <w:vAlign w:val="center"/>
          </w:tcPr>
          <w:p>
            <w:pPr>
              <w:spacing w:line="288" w:lineRule="auto"/>
              <w:jc w:val="center"/>
              <w:rPr>
                <w:bCs/>
                <w:lang w:val="zh-CN"/>
              </w:rPr>
            </w:pPr>
            <w:r>
              <w:rPr>
                <w:rFonts w:hint="eastAsia"/>
                <w:bCs/>
                <w:lang w:val="zh-CN"/>
              </w:rPr>
              <w:t>凹凸不规则</w:t>
            </w:r>
          </w:p>
        </w:tc>
        <w:tc>
          <w:tcPr>
            <w:tcW w:w="6058" w:type="dxa"/>
            <w:shd w:val="clear" w:color="auto" w:fill="auto"/>
            <w:noWrap w:val="0"/>
            <w:vAlign w:val="top"/>
          </w:tcPr>
          <w:p>
            <w:pPr>
              <w:spacing w:line="288" w:lineRule="auto"/>
              <w:rPr>
                <w:bCs/>
                <w:lang w:val="zh-CN"/>
              </w:rPr>
            </w:pPr>
            <w:r>
              <w:rPr>
                <w:rFonts w:hint="eastAsia"/>
                <w:bCs/>
                <w:lang w:val="zh-CN"/>
              </w:rPr>
              <w:t>平面凹进的尺寸，大于相应投影方向总尺寸的30%</w:t>
            </w:r>
          </w:p>
        </w:tc>
        <w:tc>
          <w:tcPr>
            <w:tcW w:w="885" w:type="dxa"/>
            <w:shd w:val="clear" w:color="auto" w:fill="auto"/>
            <w:noWrap w:val="0"/>
            <w:vAlign w:val="center"/>
          </w:tcPr>
          <w:p>
            <w:pPr>
              <w:spacing w:line="288" w:lineRule="auto"/>
              <w:jc w:val="center"/>
              <w:rPr>
                <w:b/>
                <w:bCs/>
                <w:lang w:val="zh-CN"/>
              </w:rPr>
            </w:pPr>
            <w:r>
              <w:rPr>
                <w:rFonts w:hint="eastAsia"/>
                <w:b/>
                <w:bCs/>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53" w:type="dxa"/>
            <w:shd w:val="clear" w:color="auto" w:fill="auto"/>
            <w:noWrap w:val="0"/>
            <w:vAlign w:val="center"/>
          </w:tcPr>
          <w:p>
            <w:pPr>
              <w:spacing w:line="288" w:lineRule="auto"/>
              <w:jc w:val="center"/>
              <w:rPr>
                <w:bCs/>
                <w:lang w:val="zh-CN"/>
              </w:rPr>
            </w:pPr>
            <w:r>
              <w:rPr>
                <w:rFonts w:hint="eastAsia"/>
                <w:bCs/>
                <w:lang w:val="zh-CN"/>
              </w:rPr>
              <w:t>楼板局部不连续</w:t>
            </w:r>
          </w:p>
        </w:tc>
        <w:tc>
          <w:tcPr>
            <w:tcW w:w="6058" w:type="dxa"/>
            <w:shd w:val="clear" w:color="auto" w:fill="auto"/>
            <w:noWrap w:val="0"/>
            <w:vAlign w:val="top"/>
          </w:tcPr>
          <w:p>
            <w:pPr>
              <w:spacing w:line="300" w:lineRule="exact"/>
              <w:rPr>
                <w:bCs/>
                <w:lang w:val="zh-CN"/>
              </w:rPr>
            </w:pPr>
            <w:r>
              <w:rPr>
                <w:rFonts w:hint="eastAsia"/>
                <w:bCs/>
                <w:lang w:val="zh-CN"/>
              </w:rPr>
              <w:t>楼板的尺寸和平面刚度急剧变化，例如，有效楼板宽度小于该层楼板典型宽度的50%，或开洞面积大于该层楼面面积的30%，或较大的楼层错层。</w:t>
            </w:r>
          </w:p>
        </w:tc>
        <w:tc>
          <w:tcPr>
            <w:tcW w:w="885" w:type="dxa"/>
            <w:shd w:val="clear" w:color="auto" w:fill="auto"/>
            <w:noWrap w:val="0"/>
            <w:vAlign w:val="center"/>
          </w:tcPr>
          <w:p>
            <w:pPr>
              <w:spacing w:line="288" w:lineRule="auto"/>
              <w:jc w:val="center"/>
              <w:rPr>
                <w:b/>
                <w:bCs/>
                <w:lang w:val="zh-CN"/>
              </w:rPr>
            </w:pPr>
            <w:r>
              <w:rPr>
                <w:rFonts w:hint="eastAsia"/>
                <w:b/>
                <w:bCs/>
                <w:lang w:val="zh-CN"/>
              </w:rPr>
              <w:t>是</w:t>
            </w:r>
          </w:p>
        </w:tc>
      </w:tr>
    </w:tbl>
    <w:p>
      <w:pPr>
        <w:ind w:firstLine="210" w:firstLineChars="100"/>
        <w:rPr>
          <w:rFonts w:cs="宋体"/>
        </w:rPr>
      </w:pPr>
      <w:r>
        <w:rPr>
          <w:rFonts w:hint="eastAsia" w:cs="宋体"/>
        </w:rPr>
        <w:t>b）竖向不规则类型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84" w:type="dxa"/>
            <w:shd w:val="clear" w:color="auto" w:fill="auto"/>
            <w:noWrap w:val="0"/>
            <w:vAlign w:val="top"/>
          </w:tcPr>
          <w:p>
            <w:pPr>
              <w:spacing w:line="288" w:lineRule="auto"/>
              <w:jc w:val="center"/>
              <w:rPr>
                <w:bCs/>
                <w:lang w:val="zh-CN"/>
              </w:rPr>
            </w:pPr>
            <w:r>
              <w:rPr>
                <w:rFonts w:hint="eastAsia"/>
                <w:bCs/>
                <w:lang w:val="zh-CN"/>
              </w:rPr>
              <w:t>不规则类型</w:t>
            </w:r>
          </w:p>
        </w:tc>
        <w:tc>
          <w:tcPr>
            <w:tcW w:w="6237" w:type="dxa"/>
            <w:shd w:val="clear" w:color="auto" w:fill="auto"/>
            <w:noWrap w:val="0"/>
            <w:vAlign w:val="top"/>
          </w:tcPr>
          <w:p>
            <w:pPr>
              <w:spacing w:line="288" w:lineRule="auto"/>
              <w:jc w:val="center"/>
              <w:rPr>
                <w:bCs/>
                <w:lang w:val="zh-CN"/>
              </w:rPr>
            </w:pPr>
            <w:r>
              <w:rPr>
                <w:rFonts w:hint="eastAsia"/>
                <w:bCs/>
                <w:lang w:val="zh-CN"/>
              </w:rPr>
              <w:t>定义和参考指标</w:t>
            </w:r>
          </w:p>
        </w:tc>
        <w:tc>
          <w:tcPr>
            <w:tcW w:w="851" w:type="dxa"/>
            <w:shd w:val="clear" w:color="auto" w:fill="auto"/>
            <w:noWrap w:val="0"/>
            <w:vAlign w:val="top"/>
          </w:tcPr>
          <w:p>
            <w:pPr>
              <w:spacing w:line="288" w:lineRule="auto"/>
              <w:jc w:val="center"/>
              <w:rPr>
                <w:bCs/>
                <w:lang w:val="zh-CN"/>
              </w:rPr>
            </w:pPr>
            <w:r>
              <w:rPr>
                <w:rFonts w:hint="eastAsia"/>
                <w:bCs/>
                <w:lang w:val="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84" w:type="dxa"/>
            <w:shd w:val="clear" w:color="auto" w:fill="auto"/>
            <w:noWrap w:val="0"/>
            <w:vAlign w:val="center"/>
          </w:tcPr>
          <w:p>
            <w:pPr>
              <w:spacing w:line="288" w:lineRule="auto"/>
              <w:jc w:val="center"/>
              <w:rPr>
                <w:bCs/>
                <w:lang w:val="zh-CN"/>
              </w:rPr>
            </w:pPr>
            <w:r>
              <w:rPr>
                <w:rFonts w:hint="eastAsia"/>
                <w:bCs/>
                <w:lang w:val="zh-CN"/>
              </w:rPr>
              <w:t>侧向刚度不规则</w:t>
            </w:r>
          </w:p>
        </w:tc>
        <w:tc>
          <w:tcPr>
            <w:tcW w:w="6237" w:type="dxa"/>
            <w:shd w:val="clear" w:color="auto" w:fill="auto"/>
            <w:noWrap w:val="0"/>
            <w:vAlign w:val="top"/>
          </w:tcPr>
          <w:p>
            <w:pPr>
              <w:spacing w:line="300" w:lineRule="exact"/>
              <w:rPr>
                <w:bCs/>
                <w:lang w:val="zh-CN"/>
              </w:rPr>
            </w:pPr>
            <w:r>
              <w:rPr>
                <w:rFonts w:hint="eastAsia"/>
                <w:bCs/>
                <w:lang w:val="zh-CN"/>
              </w:rPr>
              <w:t>该层的侧向刚度小于相邻上一层的70%，或小于其上相邻三个楼层侧向刚度平均值的80%；除顶层或出屋面小建筑外，局部收进的水平向尺寸大于相邻下一层的25%</w:t>
            </w:r>
          </w:p>
        </w:tc>
        <w:tc>
          <w:tcPr>
            <w:tcW w:w="851" w:type="dxa"/>
            <w:shd w:val="clear" w:color="auto" w:fill="auto"/>
            <w:noWrap w:val="0"/>
            <w:vAlign w:val="center"/>
          </w:tcPr>
          <w:p>
            <w:pPr>
              <w:spacing w:line="288" w:lineRule="auto"/>
              <w:jc w:val="center"/>
              <w:rPr>
                <w:b/>
                <w:bCs/>
                <w:lang w:val="zh-CN"/>
              </w:rPr>
            </w:pPr>
            <w:r>
              <w:rPr>
                <w:rFonts w:hint="eastAsia"/>
                <w:b/>
                <w:bCs/>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84" w:type="dxa"/>
            <w:shd w:val="clear" w:color="auto" w:fill="auto"/>
            <w:noWrap w:val="0"/>
            <w:vAlign w:val="center"/>
          </w:tcPr>
          <w:p>
            <w:pPr>
              <w:spacing w:line="288" w:lineRule="auto"/>
              <w:jc w:val="center"/>
              <w:rPr>
                <w:bCs/>
                <w:lang w:val="zh-CN"/>
              </w:rPr>
            </w:pPr>
            <w:r>
              <w:rPr>
                <w:rFonts w:hint="eastAsia"/>
                <w:bCs/>
                <w:lang w:val="zh-CN"/>
              </w:rPr>
              <w:t>竖向抗侧力构件不连续</w:t>
            </w:r>
          </w:p>
        </w:tc>
        <w:tc>
          <w:tcPr>
            <w:tcW w:w="6237" w:type="dxa"/>
            <w:shd w:val="clear" w:color="auto" w:fill="auto"/>
            <w:noWrap w:val="0"/>
            <w:vAlign w:val="top"/>
          </w:tcPr>
          <w:p>
            <w:pPr>
              <w:spacing w:line="300" w:lineRule="exact"/>
              <w:rPr>
                <w:bCs/>
                <w:lang w:val="zh-CN"/>
              </w:rPr>
            </w:pPr>
            <w:r>
              <w:rPr>
                <w:rFonts w:hint="eastAsia"/>
                <w:bCs/>
                <w:lang w:val="zh-CN"/>
              </w:rPr>
              <w:t>竖向抗侧力构件（柱、抗震墙、抗震支撑）的内力由水平转换构件（梁、桁架等）向下传递</w:t>
            </w:r>
          </w:p>
        </w:tc>
        <w:tc>
          <w:tcPr>
            <w:tcW w:w="851" w:type="dxa"/>
            <w:shd w:val="clear" w:color="auto" w:fill="auto"/>
            <w:noWrap w:val="0"/>
            <w:vAlign w:val="center"/>
          </w:tcPr>
          <w:p>
            <w:pPr>
              <w:spacing w:line="288" w:lineRule="auto"/>
              <w:jc w:val="center"/>
              <w:rPr>
                <w:b/>
                <w:bCs/>
                <w:lang w:val="zh-CN"/>
              </w:rPr>
            </w:pPr>
            <w:r>
              <w:rPr>
                <w:rFonts w:hint="eastAsia"/>
                <w:b/>
                <w:bCs/>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384" w:type="dxa"/>
            <w:shd w:val="clear" w:color="auto" w:fill="auto"/>
            <w:noWrap w:val="0"/>
            <w:vAlign w:val="center"/>
          </w:tcPr>
          <w:p>
            <w:pPr>
              <w:spacing w:line="288" w:lineRule="auto"/>
              <w:jc w:val="center"/>
              <w:rPr>
                <w:bCs/>
                <w:lang w:val="zh-CN"/>
              </w:rPr>
            </w:pPr>
            <w:r>
              <w:rPr>
                <w:rFonts w:hint="eastAsia"/>
                <w:bCs/>
                <w:lang w:val="zh-CN"/>
              </w:rPr>
              <w:t>楼板局部不连续</w:t>
            </w:r>
          </w:p>
        </w:tc>
        <w:tc>
          <w:tcPr>
            <w:tcW w:w="6237" w:type="dxa"/>
            <w:shd w:val="clear" w:color="auto" w:fill="auto"/>
            <w:noWrap w:val="0"/>
            <w:vAlign w:val="top"/>
          </w:tcPr>
          <w:p>
            <w:pPr>
              <w:spacing w:line="288" w:lineRule="auto"/>
              <w:rPr>
                <w:bCs/>
                <w:lang w:val="zh-CN"/>
              </w:rPr>
            </w:pPr>
            <w:r>
              <w:rPr>
                <w:rFonts w:hint="eastAsia"/>
                <w:bCs/>
                <w:lang w:val="zh-CN"/>
              </w:rPr>
              <w:t>抗侧力结构的层间受剪承载力小于相邻上一楼层的80%</w:t>
            </w:r>
          </w:p>
        </w:tc>
        <w:tc>
          <w:tcPr>
            <w:tcW w:w="851" w:type="dxa"/>
            <w:shd w:val="clear" w:color="auto" w:fill="auto"/>
            <w:noWrap w:val="0"/>
            <w:vAlign w:val="center"/>
          </w:tcPr>
          <w:p>
            <w:pPr>
              <w:spacing w:line="288" w:lineRule="auto"/>
              <w:jc w:val="center"/>
              <w:rPr>
                <w:b/>
                <w:bCs/>
                <w:lang w:val="zh-CN"/>
              </w:rPr>
            </w:pPr>
            <w:r>
              <w:rPr>
                <w:rFonts w:hint="eastAsia"/>
                <w:b/>
                <w:bCs/>
                <w:lang w:val="zh-CN"/>
              </w:rPr>
              <w:t>是</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1）建筑、结构专业竣工图及设计说明；</w:t>
      </w:r>
    </w:p>
    <w:p>
      <w:r>
        <w:rPr>
          <w:rFonts w:ascii="Times New Roman" w:hAnsi="Times New Roman"/>
        </w:rPr>
        <w:t>2</w:t>
      </w:r>
      <w:r>
        <w:rPr>
          <w:rFonts w:hint="eastAsia" w:ascii="Times New Roman" w:hAnsi="Times New Roman"/>
        </w:rPr>
        <w:t>）建筑形体规则性判定报告、结构专项论证报告。</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0"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rPr>
      </w:pPr>
      <w:r>
        <w:rPr>
          <w:rFonts w:hint="eastAsia"/>
          <w:sz w:val="24"/>
          <w:szCs w:val="40"/>
        </w:rPr>
        <w:t>7.1.9 建筑造型要素应简约，且无大量装饰性构件。</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rPr>
      </w:pPr>
      <w:r>
        <w:rPr>
          <w:rFonts w:ascii="Times New Roman" w:hAnsi="Times New Roman"/>
        </w:rPr>
        <w:t xml:space="preserve">1）本项目是否使用了装饰性构件： </w:t>
      </w:r>
      <w:r>
        <w:rPr>
          <w:rFonts w:hint="eastAsia"/>
          <w:sz w:val="28"/>
        </w:rPr>
        <w:sym w:font="Wingdings 2" w:char="F0A3"/>
      </w:r>
      <w:r>
        <w:rPr>
          <w:rFonts w:ascii="Times New Roman" w:hAnsi="Times New Roman"/>
        </w:rPr>
        <w:t xml:space="preserve">是、 </w:t>
      </w:r>
      <w:r>
        <w:rPr>
          <w:rFonts w:hint="eastAsia"/>
          <w:sz w:val="28"/>
        </w:rPr>
        <w:sym w:font="Wingdings 2" w:char="F0A3"/>
      </w:r>
      <w:r>
        <w:rPr>
          <w:rFonts w:ascii="Times New Roman" w:hAnsi="Times New Roman"/>
        </w:rPr>
        <w:t>否</w:t>
      </w:r>
    </w:p>
    <w:p>
      <w:pPr>
        <w:rPr>
          <w:rFonts w:ascii="Times New Roman" w:hAnsi="Times New Roman"/>
        </w:rPr>
      </w:pPr>
      <w:r>
        <w:rPr>
          <w:rFonts w:ascii="Times New Roman" w:hAnsi="Times New Roman"/>
        </w:rPr>
        <w:t>2）如果使用了装饰性构件：</w:t>
      </w:r>
    </w:p>
    <w:p>
      <w:pPr>
        <w:rPr>
          <w:rFonts w:ascii="Times New Roman" w:hAnsi="Times New Roman"/>
          <w:u w:val="single"/>
        </w:rPr>
      </w:pPr>
      <w:r>
        <w:rPr>
          <w:rFonts w:ascii="Times New Roman" w:hAnsi="Times New Roman"/>
        </w:rPr>
        <w:t>装饰性构件的造价：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万元，工程总造价：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万元，装饰性构件造价占工程总造价的比例：</w:t>
      </w:r>
      <w:r>
        <w:rPr>
          <w:rFonts w:ascii="Times New Roman" w:hAnsi="Times New Roman"/>
          <w:u w:val="single"/>
        </w:rPr>
        <w:t xml:space="preserve"> </w:t>
      </w:r>
      <w:r>
        <w:rPr>
          <w:rFonts w:hint="eastAsia" w:ascii="Times New Roman" w:hAnsi="Times New Roman"/>
          <w:u w:val="single"/>
        </w:rPr>
        <w:t xml:space="preserve">       </w:t>
      </w:r>
    </w:p>
    <w:p>
      <w:pPr>
        <w:rPr>
          <w:rFonts w:ascii="Times New Roman" w:hAnsi="Times New Roman"/>
        </w:rPr>
      </w:pPr>
      <w:r>
        <w:rPr>
          <w:rFonts w:ascii="Times New Roman" w:hAnsi="Times New Roman"/>
        </w:rPr>
        <w:t>3）装饰性构件的类别为：</w:t>
      </w:r>
    </w:p>
    <w:p>
      <w:pPr>
        <w:rPr>
          <w:rFonts w:ascii="Times New Roman" w:hAnsi="Times New Roman"/>
        </w:rPr>
      </w:pPr>
      <w:r>
        <w:rPr>
          <w:rFonts w:ascii="Times New Roman" w:hAnsi="Times New Roman"/>
        </w:rPr>
        <w:t>（1）超出安全防护高度2倍的女儿墙</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sz w:val="28"/>
        </w:rPr>
        <w:sym w:font="Wingdings 2" w:char="F0A3"/>
      </w:r>
    </w:p>
    <w:p>
      <w:pPr>
        <w:rPr>
          <w:rFonts w:ascii="Times New Roman" w:hAnsi="Times New Roman"/>
        </w:rPr>
      </w:pPr>
      <w:r>
        <w:rPr>
          <w:rFonts w:ascii="Times New Roman" w:hAnsi="Times New Roman"/>
        </w:rPr>
        <w:t>（2）仅用于装饰的塔、球、曲面</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sz w:val="28"/>
        </w:rPr>
        <w:sym w:font="Wingdings 2" w:char="F0A3"/>
      </w:r>
    </w:p>
    <w:p>
      <w:pPr>
        <w:rPr>
          <w:rFonts w:ascii="Times New Roman" w:hAnsi="Times New Roman"/>
        </w:rPr>
      </w:pPr>
      <w:r>
        <w:rPr>
          <w:rFonts w:ascii="Times New Roman" w:hAnsi="Times New Roman"/>
        </w:rPr>
        <w:t>（3）不具备功能作用的飘板、格栅、构架</w:t>
      </w:r>
      <w:r>
        <w:rPr>
          <w:rFonts w:ascii="Times New Roman" w:hAnsi="Times New Roman"/>
        </w:rPr>
        <w:tab/>
      </w:r>
      <w:r>
        <w:rPr>
          <w:rFonts w:ascii="Times New Roman" w:hAnsi="Times New Roman"/>
        </w:rPr>
        <w:tab/>
      </w:r>
      <w:r>
        <w:rPr>
          <w:rFonts w:ascii="Times New Roman" w:hAnsi="Times New Roman"/>
        </w:rPr>
        <w:tab/>
      </w:r>
      <w:r>
        <w:rPr>
          <w:rFonts w:hint="eastAsia"/>
          <w:sz w:val="28"/>
        </w:rPr>
        <w:sym w:font="Wingdings 2" w:char="F0A3"/>
      </w: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1）建筑、</w:t>
      </w:r>
      <w:r>
        <w:rPr>
          <w:rFonts w:ascii="Times New Roman" w:hAnsi="Times New Roman"/>
        </w:rPr>
        <w:t>结构</w:t>
      </w:r>
      <w:r>
        <w:rPr>
          <w:rFonts w:hint="eastAsia" w:ascii="Times New Roman" w:hAnsi="Times New Roman"/>
        </w:rPr>
        <w:t>专业竣工图及设计说明</w:t>
      </w:r>
      <w:r>
        <w:rPr>
          <w:rFonts w:ascii="Times New Roman" w:hAnsi="Times New Roman"/>
        </w:rPr>
        <w:t>；</w:t>
      </w:r>
    </w:p>
    <w:p>
      <w:pPr>
        <w:rPr>
          <w:rFonts w:ascii="Times New Roman" w:hAnsi="Times New Roman"/>
        </w:rPr>
      </w:pPr>
      <w:r>
        <w:rPr>
          <w:rFonts w:ascii="Times New Roman" w:hAnsi="Times New Roman"/>
        </w:rPr>
        <w:t>2</w:t>
      </w:r>
      <w:r>
        <w:rPr>
          <w:rFonts w:hint="eastAsia" w:ascii="Times New Roman" w:hAnsi="Times New Roman"/>
        </w:rPr>
        <w:t>）建筑外装修竣工图及设计说明、</w:t>
      </w:r>
      <w:r>
        <w:rPr>
          <w:rFonts w:ascii="Times New Roman" w:hAnsi="Times New Roman"/>
        </w:rPr>
        <w:t xml:space="preserve">建筑效果图； </w:t>
      </w:r>
    </w:p>
    <w:p>
      <w:pPr>
        <w:rPr>
          <w:rFonts w:cs="宋体"/>
        </w:rPr>
      </w:pPr>
      <w:r>
        <w:rPr>
          <w:rFonts w:ascii="Times New Roman" w:hAnsi="Times New Roman"/>
        </w:rPr>
        <w:t>3</w:t>
      </w:r>
      <w:r>
        <w:rPr>
          <w:rFonts w:hint="eastAsia" w:ascii="Times New Roman" w:hAnsi="Times New Roman"/>
        </w:rPr>
        <w:t>）建筑工程造价结算书、装饰性构件造价比例计算书。</w:t>
      </w:r>
    </w:p>
    <w:p>
      <w:pPr>
        <w:spacing w:line="288" w:lineRule="auto"/>
        <w:rPr>
          <w:rFonts w:cs="宋体"/>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7.1.10  500km以内生产的建筑材料重量占建筑材料总重量的比例应大于60</w:t>
      </w:r>
      <w:r>
        <w:rPr>
          <w:sz w:val="24"/>
          <w:szCs w:val="40"/>
        </w:rPr>
        <w:t>%；现</w:t>
      </w:r>
      <w:r>
        <w:rPr>
          <w:rFonts w:hint="eastAsia"/>
          <w:sz w:val="24"/>
          <w:szCs w:val="40"/>
        </w:rPr>
        <w:t>浇</w:t>
      </w:r>
      <w:r>
        <w:rPr>
          <w:sz w:val="24"/>
          <w:szCs w:val="40"/>
        </w:rPr>
        <w:t>混凝土应采用预拌混凝土，建筑砂浆应采用预拌砂浆。</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pPr>
        <w:ind w:left="945" w:hanging="945" w:hangingChars="450"/>
        <w:rPr>
          <w:rFonts w:cs="宋体"/>
          <w:u w:val="single"/>
          <w:lang w:val="zh-CN"/>
        </w:rPr>
      </w:pPr>
      <w:r>
        <w:rPr>
          <w:rFonts w:hint="eastAsia" w:cs="宋体"/>
          <w:lang w:val="zh-CN"/>
        </w:rPr>
        <w:t>项目所用建筑材料的总重量：</w:t>
      </w:r>
      <w:r>
        <w:rPr>
          <w:rFonts w:hint="eastAsia" w:cs="宋体"/>
          <w:u w:val="single"/>
          <w:lang w:val="zh-CN"/>
        </w:rPr>
        <w:t xml:space="preserve">          </w:t>
      </w:r>
      <w:r>
        <w:rPr>
          <w:rFonts w:hint="eastAsia" w:cs="宋体"/>
          <w:lang w:val="zh-CN"/>
        </w:rPr>
        <w:t>（吨），</w:t>
      </w:r>
      <w:r>
        <w:rPr>
          <w:rFonts w:cs="宋体"/>
          <w:lang w:val="zh-CN"/>
        </w:rPr>
        <w:t>500km</w:t>
      </w:r>
      <w:r>
        <w:rPr>
          <w:rFonts w:hint="eastAsia" w:cs="宋体"/>
          <w:lang w:val="zh-CN"/>
        </w:rPr>
        <w:t>以内生产的建筑材料使用量：</w:t>
      </w:r>
      <w:r>
        <w:rPr>
          <w:rFonts w:hint="eastAsia" w:cs="宋体"/>
          <w:u w:val="single"/>
          <w:lang w:val="zh-CN"/>
        </w:rPr>
        <w:t xml:space="preserve"> </w:t>
      </w:r>
    </w:p>
    <w:p>
      <w:pPr>
        <w:rPr>
          <w:rFonts w:cs="宋体"/>
          <w:lang w:val="zh-CN"/>
        </w:rPr>
      </w:pPr>
      <w:r>
        <w:rPr>
          <w:rFonts w:hint="eastAsia" w:cs="宋体"/>
          <w:u w:val="single"/>
          <w:lang w:val="zh-CN"/>
        </w:rPr>
        <w:t xml:space="preserve">         </w:t>
      </w:r>
      <w:r>
        <w:rPr>
          <w:rFonts w:hint="eastAsia" w:cs="宋体"/>
          <w:lang w:val="zh-CN"/>
        </w:rPr>
        <w:t>（吨），占总重量的比例为：</w:t>
      </w:r>
      <w:r>
        <w:rPr>
          <w:rFonts w:hint="eastAsia" w:cs="宋体"/>
          <w:u w:val="single"/>
          <w:lang w:val="zh-CN"/>
        </w:rPr>
        <w:t xml:space="preserve">           </w:t>
      </w:r>
      <w:r>
        <w:rPr>
          <w:rFonts w:hint="eastAsia" w:cs="宋体"/>
          <w:lang w:val="zh-CN"/>
        </w:rPr>
        <w:t>%。</w:t>
      </w:r>
    </w:p>
    <w:p>
      <w:pPr>
        <w:rPr>
          <w:rFonts w:cs="宋体"/>
          <w:lang w:val="zh-CN"/>
        </w:rPr>
      </w:pPr>
      <w:r>
        <w:rPr>
          <w:rFonts w:hint="eastAsia" w:cs="宋体"/>
          <w:lang w:val="zh-CN"/>
        </w:rPr>
        <w:t>现浇混凝土是否全部采用预拌混凝土：</w:t>
      </w:r>
      <w:r>
        <w:rPr>
          <w:rFonts w:hint="eastAsia"/>
          <w:sz w:val="28"/>
        </w:rPr>
        <w:sym w:font="Wingdings 2" w:char="F0A3"/>
      </w:r>
      <w:r>
        <w:rPr>
          <w:rFonts w:hint="eastAsia" w:cs="宋体"/>
          <w:lang w:val="zh-CN"/>
        </w:rPr>
        <w:t>是、</w:t>
      </w:r>
      <w:r>
        <w:rPr>
          <w:rFonts w:hint="eastAsia"/>
          <w:sz w:val="28"/>
        </w:rPr>
        <w:sym w:font="Wingdings 2" w:char="F0A3"/>
      </w:r>
      <w:r>
        <w:rPr>
          <w:rFonts w:hint="eastAsia" w:cs="宋体"/>
          <w:lang w:val="zh-CN"/>
        </w:rPr>
        <w:t>否</w:t>
      </w:r>
    </w:p>
    <w:p>
      <w:pPr>
        <w:rPr>
          <w:rFonts w:cs="宋体"/>
          <w:lang w:val="zh-CN"/>
        </w:rPr>
      </w:pPr>
      <w:r>
        <w:rPr>
          <w:rFonts w:hint="eastAsia" w:cs="宋体"/>
          <w:lang w:val="zh-CN"/>
        </w:rPr>
        <w:t>建筑砂浆是否全部采用预拌砂浆：</w:t>
      </w:r>
      <w:r>
        <w:rPr>
          <w:rFonts w:hint="eastAsia"/>
          <w:sz w:val="28"/>
        </w:rPr>
        <w:sym w:font="Wingdings 2" w:char="F0A3"/>
      </w:r>
      <w:r>
        <w:rPr>
          <w:rFonts w:hint="eastAsia" w:cs="宋体"/>
          <w:lang w:val="zh-CN"/>
        </w:rPr>
        <w:t>是、</w:t>
      </w:r>
      <w:r>
        <w:rPr>
          <w:rFonts w:hint="eastAsia"/>
          <w:sz w:val="28"/>
        </w:rPr>
        <w:sym w:font="Wingdings 2" w:char="F0A3"/>
      </w:r>
      <w:r>
        <w:rPr>
          <w:rFonts w:hint="eastAsia" w:cs="宋体"/>
          <w:lang w:val="zh-CN"/>
        </w:rPr>
        <w:t>否</w:t>
      </w:r>
    </w:p>
    <w:p>
      <w:pPr>
        <w:spacing w:line="288" w:lineRule="auto"/>
        <w:rPr>
          <w:rFonts w:cs="宋体"/>
          <w:lang w:val="zh-CN"/>
        </w:rPr>
      </w:pPr>
    </w:p>
    <w:p>
      <w:pPr>
        <w:rPr>
          <w:rFonts w:ascii="Times New Roman" w:hAnsi="Times New Roman"/>
          <w:szCs w:val="21"/>
        </w:rPr>
      </w:pPr>
      <w:r>
        <w:rPr>
          <w:rFonts w:hint="eastAsia" w:cs="宋体"/>
          <w:lang w:val="zh-CN"/>
        </w:rPr>
        <w:t>请简要说明本项目建材</w:t>
      </w:r>
      <w:r>
        <w:rPr>
          <w:rFonts w:cs="宋体"/>
          <w:lang w:val="zh-CN"/>
        </w:rPr>
        <w:t>的主要供应</w:t>
      </w:r>
      <w:r>
        <w:rPr>
          <w:rFonts w:hint="eastAsia" w:cs="宋体"/>
          <w:lang w:val="zh-CN"/>
        </w:rPr>
        <w:t>厂家</w:t>
      </w:r>
      <w:r>
        <w:rPr>
          <w:rFonts w:cs="宋体"/>
          <w:lang w:val="zh-CN"/>
        </w:rPr>
        <w:t>、地理位置，</w:t>
      </w:r>
      <w:r>
        <w:rPr>
          <w:rFonts w:hint="eastAsia" w:cs="宋体"/>
          <w:lang w:val="zh-CN"/>
        </w:rPr>
        <w:t>预拌混凝土和</w:t>
      </w:r>
      <w:r>
        <w:rPr>
          <w:rFonts w:cs="宋体"/>
          <w:lang w:val="zh-CN"/>
        </w:rPr>
        <w:t>预拌砂浆的使用</w:t>
      </w:r>
      <w:r>
        <w:rPr>
          <w:rFonts w:hint="eastAsia" w:cs="宋体"/>
          <w:lang w:val="zh-CN"/>
        </w:rPr>
        <w:t>情况</w:t>
      </w:r>
      <w:r>
        <w:rPr>
          <w:rFonts w:cs="宋体"/>
          <w:lang w:val="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项目建筑砂浆全部采用预拌砂浆。</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1）结构竣工图及设计说明；</w:t>
      </w:r>
    </w:p>
    <w:p>
      <w:pPr>
        <w:rPr>
          <w:rFonts w:ascii="Times New Roman" w:hAnsi="Times New Roman"/>
        </w:rPr>
      </w:pPr>
      <w:r>
        <w:rPr>
          <w:rFonts w:hint="eastAsia" w:ascii="Times New Roman" w:hAnsi="Times New Roman"/>
        </w:rPr>
        <w:t>2）建筑材料、预拌混凝土、预拌砂浆的购销合同；</w:t>
      </w:r>
    </w:p>
    <w:p>
      <w:pPr>
        <w:rPr>
          <w:rFonts w:ascii="Times New Roman" w:hAnsi="Times New Roman"/>
        </w:rPr>
      </w:pPr>
      <w:r>
        <w:rPr>
          <w:rFonts w:hint="eastAsia" w:ascii="Times New Roman" w:hAnsi="Times New Roman"/>
        </w:rPr>
        <w:t>3）工程决算材料清单，本地化材料使用比例计算文件。</w:t>
      </w:r>
    </w:p>
    <w:p>
      <w:pPr>
        <w:spacing w:line="288" w:lineRule="auto"/>
        <w:rPr>
          <w:rFonts w:ascii="宋体" w:cs="宋体"/>
          <w:kern w:val="0"/>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7.2.1 节约集约利用土地。（</w:t>
      </w:r>
      <w:r>
        <w:rPr>
          <w:sz w:val="24"/>
          <w:szCs w:val="40"/>
        </w:rPr>
        <w:t>20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p>
      <w:pPr>
        <w:pStyle w:val="12"/>
        <w:numPr>
          <w:ilvl w:val="0"/>
          <w:numId w:val="1"/>
        </w:numPr>
        <w:ind w:firstLineChars="0"/>
      </w:pPr>
      <w:r>
        <w:t>居住建筑  建筑层数</w:t>
      </w:r>
      <w:r>
        <w:rPr>
          <w:lang w:val="zh-CN"/>
        </w:rPr>
        <w:t>□</w:t>
      </w:r>
      <w:r>
        <w:t xml:space="preserve"> 3层及以下  </w:t>
      </w:r>
      <w:r>
        <w:rPr>
          <w:lang w:val="zh-CN"/>
        </w:rPr>
        <w:t>□</w:t>
      </w:r>
      <w:r>
        <w:t xml:space="preserve"> 4~6层  </w:t>
      </w:r>
      <w:r>
        <w:rPr>
          <w:lang w:val="zh-CN"/>
        </w:rPr>
        <w:t>□</w:t>
      </w:r>
      <w:r>
        <w:t xml:space="preserve">7~9层  </w:t>
      </w:r>
      <w:r>
        <w:rPr>
          <w:lang w:val="zh-CN"/>
        </w:rPr>
        <w:t>□</w:t>
      </w:r>
      <w:r>
        <w:t xml:space="preserve">10~18层 </w:t>
      </w:r>
      <w:r>
        <w:rPr>
          <w:lang w:val="zh-CN"/>
        </w:rPr>
        <w:t>□</w:t>
      </w:r>
      <w:r>
        <w:t>19层及以上</w:t>
      </w:r>
    </w:p>
    <w:tbl>
      <w:tblPr>
        <w:tblStyle w:val="7"/>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237"/>
        <w:gridCol w:w="1258"/>
        <w:gridCol w:w="1276"/>
        <w:gridCol w:w="1275"/>
        <w:gridCol w:w="1276"/>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5" w:hRule="atLeast"/>
          <w:jc w:val="center"/>
        </w:trPr>
        <w:tc>
          <w:tcPr>
            <w:tcW w:w="997" w:type="dxa"/>
            <w:vMerge w:val="restart"/>
            <w:noWrap w:val="0"/>
            <w:vAlign w:val="center"/>
          </w:tcPr>
          <w:p>
            <w:pPr>
              <w:jc w:val="center"/>
              <w:rPr>
                <w:rFonts w:ascii="Times New Roman" w:hAnsi="Times New Roman"/>
                <w:szCs w:val="21"/>
              </w:rPr>
            </w:pPr>
            <w:r>
              <w:rPr>
                <w:rFonts w:ascii="Times New Roman" w:hAnsi="Times New Roman"/>
                <w:szCs w:val="21"/>
              </w:rPr>
              <w:t>建筑气候区划</w:t>
            </w:r>
          </w:p>
        </w:tc>
        <w:tc>
          <w:tcPr>
            <w:tcW w:w="6322" w:type="dxa"/>
            <w:gridSpan w:val="5"/>
            <w:tcBorders>
              <w:bottom w:val="single" w:color="auto" w:sz="4" w:space="0"/>
            </w:tcBorders>
            <w:noWrap w:val="0"/>
            <w:vAlign w:val="center"/>
          </w:tcPr>
          <w:p>
            <w:pPr>
              <w:jc w:val="center"/>
              <w:rPr>
                <w:rFonts w:ascii="Times New Roman" w:hAnsi="Times New Roman"/>
                <w:szCs w:val="21"/>
              </w:rPr>
            </w:pPr>
            <w:r>
              <w:rPr>
                <w:rFonts w:ascii="Times New Roman" w:hAnsi="Times New Roman"/>
                <w:szCs w:val="21"/>
              </w:rPr>
              <w:t>人均居住用地指标A(m2)</w:t>
            </w:r>
          </w:p>
        </w:tc>
        <w:tc>
          <w:tcPr>
            <w:tcW w:w="992" w:type="dxa"/>
            <w:vMerge w:val="restart"/>
            <w:noWrap w:val="0"/>
            <w:vAlign w:val="center"/>
          </w:tcPr>
          <w:p>
            <w:pPr>
              <w:jc w:val="center"/>
              <w:rPr>
                <w:rFonts w:ascii="Times New Roman" w:hAnsi="Times New Roman"/>
                <w:szCs w:val="21"/>
              </w:rPr>
            </w:pPr>
            <w:r>
              <w:rPr>
                <w:rFonts w:ascii="Times New Roman" w:hAnsi="Times New Roman"/>
                <w:szCs w:val="21"/>
              </w:rPr>
              <w:t>评价</w:t>
            </w:r>
          </w:p>
          <w:p>
            <w:pPr>
              <w:jc w:val="center"/>
              <w:rPr>
                <w:rFonts w:ascii="Times New Roman" w:hAnsi="Times New Roman"/>
                <w:szCs w:val="21"/>
              </w:rPr>
            </w:pPr>
            <w:r>
              <w:rPr>
                <w:rFonts w:ascii="Times New Roman" w:hAnsi="Times New Roman"/>
                <w:szCs w:val="21"/>
              </w:rPr>
              <w:t>分值</w:t>
            </w:r>
          </w:p>
        </w:tc>
        <w:tc>
          <w:tcPr>
            <w:tcW w:w="851" w:type="dxa"/>
            <w:vMerge w:val="restart"/>
            <w:noWrap w:val="0"/>
            <w:vAlign w:val="center"/>
          </w:tcPr>
          <w:p>
            <w:pPr>
              <w:jc w:val="center"/>
              <w:rPr>
                <w:rFonts w:ascii="Times New Roman" w:hAnsi="Times New Roman"/>
                <w:szCs w:val="21"/>
              </w:rPr>
            </w:pPr>
            <w:r>
              <w:rPr>
                <w:rFonts w:ascii="Times New Roman" w:hAnsi="Times New Roman"/>
                <w:szCs w:val="21"/>
              </w:rPr>
              <w:t>自评</w:t>
            </w:r>
          </w:p>
          <w:p>
            <w:pPr>
              <w:jc w:val="center"/>
              <w:rPr>
                <w:rFonts w:ascii="Times New Roman" w:hAnsi="Times New Roman"/>
                <w:szCs w:val="21"/>
              </w:rPr>
            </w:pPr>
            <w:r>
              <w:rPr>
                <w:rFonts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7" w:hRule="atLeast"/>
          <w:jc w:val="center"/>
        </w:trPr>
        <w:tc>
          <w:tcPr>
            <w:tcW w:w="997" w:type="dxa"/>
            <w:vMerge w:val="continue"/>
            <w:noWrap w:val="0"/>
            <w:vAlign w:val="center"/>
          </w:tcPr>
          <w:p>
            <w:pPr>
              <w:jc w:val="center"/>
              <w:rPr>
                <w:rFonts w:ascii="Times New Roman" w:hAnsi="Times New Roman"/>
                <w:szCs w:val="21"/>
              </w:rPr>
            </w:pPr>
          </w:p>
        </w:tc>
        <w:tc>
          <w:tcPr>
            <w:tcW w:w="1237" w:type="dxa"/>
            <w:tcBorders>
              <w:bottom w:val="single" w:color="auto" w:sz="4" w:space="0"/>
            </w:tcBorders>
            <w:noWrap w:val="0"/>
            <w:vAlign w:val="center"/>
          </w:tcPr>
          <w:p>
            <w:pPr>
              <w:jc w:val="center"/>
              <w:rPr>
                <w:rFonts w:ascii="Times New Roman" w:hAnsi="Times New Roman"/>
                <w:szCs w:val="21"/>
              </w:rPr>
            </w:pPr>
            <w:r>
              <w:rPr>
                <w:rFonts w:ascii="Times New Roman" w:hAnsi="Times New Roman"/>
                <w:szCs w:val="21"/>
              </w:rPr>
              <w:t>3层及以下</w:t>
            </w:r>
          </w:p>
        </w:tc>
        <w:tc>
          <w:tcPr>
            <w:tcW w:w="1258" w:type="dxa"/>
            <w:tcBorders>
              <w:bottom w:val="single" w:color="auto" w:sz="4" w:space="0"/>
            </w:tcBorders>
            <w:noWrap w:val="0"/>
            <w:vAlign w:val="center"/>
          </w:tcPr>
          <w:p>
            <w:pPr>
              <w:jc w:val="center"/>
              <w:rPr>
                <w:rFonts w:ascii="Times New Roman" w:hAnsi="Times New Roman"/>
                <w:szCs w:val="21"/>
              </w:rPr>
            </w:pPr>
            <w:r>
              <w:rPr>
                <w:rFonts w:ascii="Times New Roman" w:hAnsi="Times New Roman"/>
                <w:szCs w:val="21"/>
              </w:rPr>
              <w:t>4~6层</w:t>
            </w:r>
          </w:p>
        </w:tc>
        <w:tc>
          <w:tcPr>
            <w:tcW w:w="1276" w:type="dxa"/>
            <w:tcBorders>
              <w:bottom w:val="single" w:color="auto" w:sz="4" w:space="0"/>
            </w:tcBorders>
            <w:noWrap w:val="0"/>
            <w:vAlign w:val="center"/>
          </w:tcPr>
          <w:p>
            <w:pPr>
              <w:jc w:val="center"/>
              <w:rPr>
                <w:rFonts w:ascii="Times New Roman" w:hAnsi="Times New Roman"/>
                <w:szCs w:val="21"/>
              </w:rPr>
            </w:pPr>
            <w:r>
              <w:rPr>
                <w:rFonts w:ascii="Times New Roman" w:hAnsi="Times New Roman"/>
                <w:szCs w:val="21"/>
              </w:rPr>
              <w:t>7~12层</w:t>
            </w:r>
          </w:p>
        </w:tc>
        <w:tc>
          <w:tcPr>
            <w:tcW w:w="1275" w:type="dxa"/>
            <w:tcBorders>
              <w:bottom w:val="single" w:color="auto" w:sz="4" w:space="0"/>
            </w:tcBorders>
            <w:noWrap w:val="0"/>
            <w:vAlign w:val="center"/>
          </w:tcPr>
          <w:p>
            <w:pPr>
              <w:jc w:val="center"/>
              <w:rPr>
                <w:rFonts w:ascii="Times New Roman" w:hAnsi="Times New Roman"/>
                <w:szCs w:val="21"/>
              </w:rPr>
            </w:pPr>
            <w:r>
              <w:rPr>
                <w:rFonts w:ascii="Times New Roman" w:hAnsi="Times New Roman"/>
                <w:szCs w:val="21"/>
              </w:rPr>
              <w:t>13~18层</w:t>
            </w:r>
          </w:p>
        </w:tc>
        <w:tc>
          <w:tcPr>
            <w:tcW w:w="1276" w:type="dxa"/>
            <w:tcBorders>
              <w:bottom w:val="single" w:color="auto" w:sz="4" w:space="0"/>
            </w:tcBorders>
            <w:noWrap w:val="0"/>
            <w:vAlign w:val="center"/>
          </w:tcPr>
          <w:p>
            <w:pPr>
              <w:jc w:val="center"/>
              <w:rPr>
                <w:rFonts w:ascii="Times New Roman" w:hAnsi="Times New Roman"/>
                <w:szCs w:val="21"/>
              </w:rPr>
            </w:pPr>
            <w:r>
              <w:rPr>
                <w:rFonts w:ascii="Times New Roman" w:hAnsi="Times New Roman"/>
                <w:szCs w:val="21"/>
              </w:rPr>
              <w:t>19层及</w:t>
            </w:r>
          </w:p>
          <w:p>
            <w:pPr>
              <w:jc w:val="center"/>
              <w:rPr>
                <w:rFonts w:ascii="Times New Roman" w:hAnsi="Times New Roman"/>
                <w:szCs w:val="21"/>
              </w:rPr>
            </w:pPr>
            <w:r>
              <w:rPr>
                <w:rFonts w:ascii="Times New Roman" w:hAnsi="Times New Roman"/>
                <w:szCs w:val="21"/>
              </w:rPr>
              <w:t>以上</w:t>
            </w:r>
          </w:p>
        </w:tc>
        <w:tc>
          <w:tcPr>
            <w:tcW w:w="992" w:type="dxa"/>
            <w:vMerge w:val="continue"/>
            <w:tcBorders>
              <w:bottom w:val="single" w:color="auto" w:sz="4" w:space="0"/>
            </w:tcBorders>
            <w:noWrap w:val="0"/>
            <w:vAlign w:val="center"/>
          </w:tcPr>
          <w:p>
            <w:pPr>
              <w:rPr>
                <w:rFonts w:ascii="Times New Roman" w:hAnsi="Times New Roman"/>
                <w:szCs w:val="21"/>
              </w:rPr>
            </w:pPr>
          </w:p>
        </w:tc>
        <w:tc>
          <w:tcPr>
            <w:tcW w:w="851" w:type="dxa"/>
            <w:vMerge w:val="continue"/>
            <w:tcBorders>
              <w:bottom w:val="single" w:color="auto" w:sz="4" w:space="0"/>
            </w:tcBorders>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7" w:type="dxa"/>
            <w:vMerge w:val="restart"/>
            <w:noWrap w:val="0"/>
            <w:vAlign w:val="center"/>
          </w:tcPr>
          <w:p>
            <w:pPr>
              <w:jc w:val="center"/>
              <w:rPr>
                <w:rFonts w:ascii="Times New Roman" w:hAnsi="Times New Roman"/>
                <w:szCs w:val="21"/>
              </w:rPr>
            </w:pPr>
            <w:r>
              <w:rPr>
                <w:rFonts w:hint="eastAsia" w:ascii="宋体" w:hAnsi="宋体" w:cs="宋体"/>
                <w:szCs w:val="21"/>
              </w:rPr>
              <w:t>Ⅰ</w:t>
            </w:r>
            <w:r>
              <w:rPr>
                <w:rFonts w:ascii="Times New Roman" w:hAnsi="Times New Roman"/>
                <w:szCs w:val="21"/>
              </w:rPr>
              <w:t>、</w:t>
            </w:r>
            <w:r>
              <w:rPr>
                <w:rFonts w:hint="eastAsia" w:ascii="宋体" w:hAnsi="宋体" w:cs="宋体"/>
                <w:szCs w:val="21"/>
              </w:rPr>
              <w:t>Ⅶ</w:t>
            </w:r>
          </w:p>
        </w:tc>
        <w:tc>
          <w:tcPr>
            <w:tcW w:w="1237" w:type="dxa"/>
            <w:noWrap w:val="0"/>
            <w:vAlign w:val="center"/>
          </w:tcPr>
          <w:p>
            <w:pPr>
              <w:jc w:val="center"/>
              <w:rPr>
                <w:rFonts w:ascii="Times New Roman" w:hAnsi="Times New Roman"/>
                <w:szCs w:val="21"/>
              </w:rPr>
            </w:pPr>
            <w:r>
              <w:rPr>
                <w:rFonts w:ascii="Times New Roman" w:hAnsi="Times New Roman"/>
                <w:szCs w:val="21"/>
              </w:rPr>
              <w:t>33＜A≤36</w:t>
            </w:r>
          </w:p>
        </w:tc>
        <w:tc>
          <w:tcPr>
            <w:tcW w:w="1258" w:type="dxa"/>
            <w:noWrap w:val="0"/>
            <w:vAlign w:val="center"/>
          </w:tcPr>
          <w:p>
            <w:pPr>
              <w:jc w:val="center"/>
              <w:rPr>
                <w:rFonts w:ascii="Times New Roman" w:hAnsi="Times New Roman"/>
                <w:szCs w:val="21"/>
              </w:rPr>
            </w:pPr>
            <w:r>
              <w:rPr>
                <w:rFonts w:ascii="Times New Roman" w:hAnsi="Times New Roman"/>
                <w:szCs w:val="21"/>
              </w:rPr>
              <w:t>29＜A≤32</w:t>
            </w:r>
          </w:p>
        </w:tc>
        <w:tc>
          <w:tcPr>
            <w:tcW w:w="1276" w:type="dxa"/>
            <w:noWrap w:val="0"/>
            <w:vAlign w:val="center"/>
          </w:tcPr>
          <w:p>
            <w:pPr>
              <w:jc w:val="center"/>
              <w:rPr>
                <w:rFonts w:ascii="Times New Roman" w:hAnsi="Times New Roman"/>
                <w:szCs w:val="21"/>
              </w:rPr>
            </w:pPr>
            <w:r>
              <w:rPr>
                <w:rFonts w:ascii="Times New Roman" w:hAnsi="Times New Roman"/>
                <w:szCs w:val="21"/>
              </w:rPr>
              <w:t>21＜A≤22</w:t>
            </w:r>
          </w:p>
        </w:tc>
        <w:tc>
          <w:tcPr>
            <w:tcW w:w="1275" w:type="dxa"/>
            <w:noWrap w:val="0"/>
            <w:vAlign w:val="center"/>
          </w:tcPr>
          <w:p>
            <w:pPr>
              <w:jc w:val="center"/>
              <w:rPr>
                <w:rFonts w:ascii="Times New Roman" w:hAnsi="Times New Roman"/>
                <w:szCs w:val="21"/>
              </w:rPr>
            </w:pPr>
            <w:r>
              <w:rPr>
                <w:rFonts w:ascii="Times New Roman" w:hAnsi="Times New Roman"/>
                <w:szCs w:val="21"/>
              </w:rPr>
              <w:t>17＜A≤19</w:t>
            </w:r>
          </w:p>
        </w:tc>
        <w:tc>
          <w:tcPr>
            <w:tcW w:w="1276" w:type="dxa"/>
            <w:noWrap w:val="0"/>
            <w:vAlign w:val="center"/>
          </w:tcPr>
          <w:p>
            <w:pPr>
              <w:jc w:val="center"/>
              <w:rPr>
                <w:rFonts w:ascii="Times New Roman" w:hAnsi="Times New Roman"/>
                <w:szCs w:val="21"/>
              </w:rPr>
            </w:pPr>
            <w:r>
              <w:rPr>
                <w:rFonts w:ascii="Times New Roman" w:hAnsi="Times New Roman"/>
                <w:szCs w:val="21"/>
              </w:rPr>
              <w:t>12＜A≤13</w:t>
            </w:r>
          </w:p>
        </w:tc>
        <w:tc>
          <w:tcPr>
            <w:tcW w:w="992" w:type="dxa"/>
            <w:noWrap w:val="0"/>
            <w:vAlign w:val="center"/>
          </w:tcPr>
          <w:p>
            <w:pPr>
              <w:jc w:val="center"/>
              <w:rPr>
                <w:rFonts w:ascii="Times New Roman" w:hAnsi="Times New Roman"/>
                <w:szCs w:val="21"/>
              </w:rPr>
            </w:pPr>
            <w:r>
              <w:rPr>
                <w:rFonts w:ascii="Times New Roman" w:hAnsi="Times New Roman"/>
                <w:szCs w:val="21"/>
              </w:rPr>
              <w:t>15</w:t>
            </w:r>
          </w:p>
        </w:tc>
        <w:tc>
          <w:tcPr>
            <w:tcW w:w="851" w:type="dxa"/>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7" w:type="dxa"/>
            <w:vMerge w:val="continue"/>
            <w:noWrap w:val="0"/>
            <w:vAlign w:val="center"/>
          </w:tcPr>
          <w:p>
            <w:pPr>
              <w:jc w:val="center"/>
              <w:rPr>
                <w:rFonts w:ascii="Times New Roman" w:hAnsi="Times New Roman"/>
                <w:szCs w:val="21"/>
              </w:rPr>
            </w:pPr>
          </w:p>
        </w:tc>
        <w:tc>
          <w:tcPr>
            <w:tcW w:w="1237" w:type="dxa"/>
            <w:noWrap w:val="0"/>
            <w:vAlign w:val="center"/>
          </w:tcPr>
          <w:p>
            <w:pPr>
              <w:jc w:val="center"/>
              <w:rPr>
                <w:rFonts w:ascii="Times New Roman" w:hAnsi="Times New Roman"/>
                <w:szCs w:val="21"/>
              </w:rPr>
            </w:pPr>
            <w:r>
              <w:rPr>
                <w:rFonts w:ascii="Times New Roman" w:hAnsi="Times New Roman"/>
                <w:szCs w:val="21"/>
              </w:rPr>
              <w:t>A≤33</w:t>
            </w:r>
          </w:p>
        </w:tc>
        <w:tc>
          <w:tcPr>
            <w:tcW w:w="1258" w:type="dxa"/>
            <w:noWrap w:val="0"/>
            <w:vAlign w:val="center"/>
          </w:tcPr>
          <w:p>
            <w:pPr>
              <w:jc w:val="center"/>
              <w:rPr>
                <w:rFonts w:ascii="Times New Roman" w:hAnsi="Times New Roman"/>
                <w:szCs w:val="21"/>
              </w:rPr>
            </w:pPr>
            <w:r>
              <w:rPr>
                <w:rFonts w:ascii="Times New Roman" w:hAnsi="Times New Roman"/>
                <w:szCs w:val="21"/>
              </w:rPr>
              <w:t>A≤29</w:t>
            </w:r>
          </w:p>
        </w:tc>
        <w:tc>
          <w:tcPr>
            <w:tcW w:w="1276" w:type="dxa"/>
            <w:noWrap w:val="0"/>
            <w:vAlign w:val="center"/>
          </w:tcPr>
          <w:p>
            <w:pPr>
              <w:jc w:val="center"/>
              <w:rPr>
                <w:rFonts w:ascii="Times New Roman" w:hAnsi="Times New Roman"/>
                <w:szCs w:val="21"/>
              </w:rPr>
            </w:pPr>
            <w:r>
              <w:rPr>
                <w:rFonts w:ascii="Times New Roman" w:hAnsi="Times New Roman"/>
                <w:szCs w:val="21"/>
              </w:rPr>
              <w:t>A≤21</w:t>
            </w:r>
          </w:p>
        </w:tc>
        <w:tc>
          <w:tcPr>
            <w:tcW w:w="1275" w:type="dxa"/>
            <w:noWrap w:val="0"/>
            <w:vAlign w:val="center"/>
          </w:tcPr>
          <w:p>
            <w:pPr>
              <w:jc w:val="center"/>
              <w:rPr>
                <w:rFonts w:ascii="Times New Roman" w:hAnsi="Times New Roman"/>
                <w:szCs w:val="21"/>
              </w:rPr>
            </w:pPr>
            <w:r>
              <w:rPr>
                <w:rFonts w:ascii="Times New Roman" w:hAnsi="Times New Roman"/>
                <w:szCs w:val="21"/>
              </w:rPr>
              <w:t>A≤17</w:t>
            </w:r>
          </w:p>
        </w:tc>
        <w:tc>
          <w:tcPr>
            <w:tcW w:w="1276" w:type="dxa"/>
            <w:noWrap w:val="0"/>
            <w:vAlign w:val="center"/>
          </w:tcPr>
          <w:p>
            <w:pPr>
              <w:jc w:val="center"/>
              <w:rPr>
                <w:rFonts w:ascii="Times New Roman" w:hAnsi="Times New Roman"/>
                <w:szCs w:val="21"/>
              </w:rPr>
            </w:pPr>
            <w:r>
              <w:rPr>
                <w:rFonts w:ascii="Times New Roman" w:hAnsi="Times New Roman"/>
                <w:szCs w:val="21"/>
              </w:rPr>
              <w:t>A≤12</w:t>
            </w:r>
          </w:p>
        </w:tc>
        <w:tc>
          <w:tcPr>
            <w:tcW w:w="992" w:type="dxa"/>
            <w:noWrap w:val="0"/>
            <w:vAlign w:val="center"/>
          </w:tcPr>
          <w:p>
            <w:pPr>
              <w:jc w:val="center"/>
              <w:rPr>
                <w:rFonts w:ascii="Times New Roman" w:hAnsi="Times New Roman"/>
                <w:szCs w:val="21"/>
              </w:rPr>
            </w:pPr>
            <w:r>
              <w:rPr>
                <w:rFonts w:ascii="Times New Roman" w:hAnsi="Times New Roman"/>
                <w:szCs w:val="21"/>
              </w:rPr>
              <w:t>20</w:t>
            </w:r>
          </w:p>
        </w:tc>
        <w:tc>
          <w:tcPr>
            <w:tcW w:w="851" w:type="dxa"/>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7" w:type="dxa"/>
            <w:vMerge w:val="restart"/>
            <w:noWrap w:val="0"/>
            <w:vAlign w:val="center"/>
          </w:tcPr>
          <w:p>
            <w:pPr>
              <w:jc w:val="center"/>
              <w:rPr>
                <w:rFonts w:ascii="Times New Roman" w:hAnsi="Times New Roman"/>
                <w:szCs w:val="21"/>
              </w:rPr>
            </w:pPr>
            <w:r>
              <w:rPr>
                <w:rFonts w:hint="eastAsia" w:ascii="宋体" w:hAnsi="宋体" w:cs="宋体"/>
                <w:szCs w:val="21"/>
              </w:rPr>
              <w:t>Ⅱ</w:t>
            </w:r>
            <w:r>
              <w:rPr>
                <w:rFonts w:ascii="Times New Roman" w:hAnsi="Times New Roman"/>
                <w:szCs w:val="21"/>
              </w:rPr>
              <w:t>、</w:t>
            </w:r>
            <w:r>
              <w:rPr>
                <w:rFonts w:hint="eastAsia" w:ascii="宋体" w:hAnsi="宋体" w:cs="宋体"/>
                <w:szCs w:val="21"/>
              </w:rPr>
              <w:t>Ⅵ</w:t>
            </w:r>
          </w:p>
        </w:tc>
        <w:tc>
          <w:tcPr>
            <w:tcW w:w="1237" w:type="dxa"/>
            <w:noWrap w:val="0"/>
            <w:vAlign w:val="center"/>
          </w:tcPr>
          <w:p>
            <w:pPr>
              <w:jc w:val="center"/>
              <w:rPr>
                <w:rFonts w:ascii="Times New Roman" w:hAnsi="Times New Roman"/>
                <w:szCs w:val="21"/>
              </w:rPr>
            </w:pPr>
            <w:r>
              <w:rPr>
                <w:rFonts w:ascii="Times New Roman" w:hAnsi="Times New Roman"/>
                <w:szCs w:val="21"/>
              </w:rPr>
              <w:t>33＜A≤36</w:t>
            </w:r>
          </w:p>
        </w:tc>
        <w:tc>
          <w:tcPr>
            <w:tcW w:w="1258" w:type="dxa"/>
            <w:noWrap w:val="0"/>
            <w:vAlign w:val="center"/>
          </w:tcPr>
          <w:p>
            <w:pPr>
              <w:jc w:val="center"/>
              <w:rPr>
                <w:rFonts w:ascii="Times New Roman" w:hAnsi="Times New Roman"/>
                <w:szCs w:val="21"/>
              </w:rPr>
            </w:pPr>
            <w:r>
              <w:rPr>
                <w:rFonts w:ascii="Times New Roman" w:hAnsi="Times New Roman"/>
                <w:szCs w:val="21"/>
              </w:rPr>
              <w:t>27＜A≤30</w:t>
            </w:r>
          </w:p>
        </w:tc>
        <w:tc>
          <w:tcPr>
            <w:tcW w:w="1276" w:type="dxa"/>
            <w:noWrap w:val="0"/>
            <w:vAlign w:val="center"/>
          </w:tcPr>
          <w:p>
            <w:pPr>
              <w:jc w:val="center"/>
              <w:rPr>
                <w:rFonts w:ascii="Times New Roman" w:hAnsi="Times New Roman"/>
                <w:szCs w:val="21"/>
              </w:rPr>
            </w:pPr>
            <w:r>
              <w:rPr>
                <w:rFonts w:ascii="Times New Roman" w:hAnsi="Times New Roman"/>
                <w:szCs w:val="21"/>
              </w:rPr>
              <w:t>20＜A≤21</w:t>
            </w:r>
          </w:p>
        </w:tc>
        <w:tc>
          <w:tcPr>
            <w:tcW w:w="1275" w:type="dxa"/>
            <w:noWrap w:val="0"/>
            <w:vAlign w:val="center"/>
          </w:tcPr>
          <w:p>
            <w:pPr>
              <w:jc w:val="center"/>
              <w:rPr>
                <w:rFonts w:ascii="Times New Roman" w:hAnsi="Times New Roman"/>
                <w:szCs w:val="21"/>
              </w:rPr>
            </w:pPr>
            <w:r>
              <w:rPr>
                <w:rFonts w:ascii="Times New Roman" w:hAnsi="Times New Roman"/>
                <w:szCs w:val="21"/>
              </w:rPr>
              <w:t>16＜A≤17</w:t>
            </w:r>
          </w:p>
        </w:tc>
        <w:tc>
          <w:tcPr>
            <w:tcW w:w="1276" w:type="dxa"/>
            <w:noWrap w:val="0"/>
            <w:vAlign w:val="center"/>
          </w:tcPr>
          <w:p>
            <w:pPr>
              <w:jc w:val="center"/>
              <w:rPr>
                <w:rFonts w:ascii="Times New Roman" w:hAnsi="Times New Roman"/>
                <w:szCs w:val="21"/>
              </w:rPr>
            </w:pPr>
            <w:r>
              <w:rPr>
                <w:rFonts w:ascii="Times New Roman" w:hAnsi="Times New Roman"/>
                <w:szCs w:val="21"/>
              </w:rPr>
              <w:t>12＜A≤13</w:t>
            </w:r>
          </w:p>
        </w:tc>
        <w:tc>
          <w:tcPr>
            <w:tcW w:w="992" w:type="dxa"/>
            <w:noWrap w:val="0"/>
            <w:vAlign w:val="center"/>
          </w:tcPr>
          <w:p>
            <w:pPr>
              <w:jc w:val="center"/>
              <w:rPr>
                <w:rFonts w:ascii="Times New Roman" w:hAnsi="Times New Roman"/>
                <w:szCs w:val="21"/>
              </w:rPr>
            </w:pPr>
            <w:r>
              <w:rPr>
                <w:rFonts w:ascii="Times New Roman" w:hAnsi="Times New Roman"/>
                <w:szCs w:val="21"/>
              </w:rPr>
              <w:t>15</w:t>
            </w:r>
          </w:p>
        </w:tc>
        <w:tc>
          <w:tcPr>
            <w:tcW w:w="851" w:type="dxa"/>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7" w:type="dxa"/>
            <w:vMerge w:val="continue"/>
            <w:noWrap w:val="0"/>
            <w:vAlign w:val="center"/>
          </w:tcPr>
          <w:p>
            <w:pPr>
              <w:jc w:val="center"/>
              <w:rPr>
                <w:rFonts w:ascii="Times New Roman" w:hAnsi="Times New Roman"/>
                <w:szCs w:val="21"/>
              </w:rPr>
            </w:pPr>
          </w:p>
        </w:tc>
        <w:tc>
          <w:tcPr>
            <w:tcW w:w="1237" w:type="dxa"/>
            <w:noWrap w:val="0"/>
            <w:vAlign w:val="center"/>
          </w:tcPr>
          <w:p>
            <w:pPr>
              <w:jc w:val="center"/>
              <w:rPr>
                <w:rFonts w:ascii="Times New Roman" w:hAnsi="Times New Roman"/>
                <w:szCs w:val="21"/>
              </w:rPr>
            </w:pPr>
            <w:r>
              <w:rPr>
                <w:rFonts w:ascii="Times New Roman" w:hAnsi="Times New Roman"/>
                <w:szCs w:val="21"/>
              </w:rPr>
              <w:t>A≤33</w:t>
            </w:r>
          </w:p>
        </w:tc>
        <w:tc>
          <w:tcPr>
            <w:tcW w:w="1258" w:type="dxa"/>
            <w:noWrap w:val="0"/>
            <w:vAlign w:val="center"/>
          </w:tcPr>
          <w:p>
            <w:pPr>
              <w:jc w:val="center"/>
              <w:rPr>
                <w:rFonts w:ascii="Times New Roman" w:hAnsi="Times New Roman"/>
                <w:szCs w:val="21"/>
              </w:rPr>
            </w:pPr>
            <w:r>
              <w:rPr>
                <w:rFonts w:ascii="Times New Roman" w:hAnsi="Times New Roman"/>
                <w:szCs w:val="21"/>
              </w:rPr>
              <w:t>A≤27</w:t>
            </w:r>
          </w:p>
        </w:tc>
        <w:tc>
          <w:tcPr>
            <w:tcW w:w="1276" w:type="dxa"/>
            <w:noWrap w:val="0"/>
            <w:vAlign w:val="center"/>
          </w:tcPr>
          <w:p>
            <w:pPr>
              <w:jc w:val="center"/>
              <w:rPr>
                <w:rFonts w:ascii="Times New Roman" w:hAnsi="Times New Roman"/>
                <w:szCs w:val="21"/>
              </w:rPr>
            </w:pPr>
            <w:r>
              <w:rPr>
                <w:rFonts w:ascii="Times New Roman" w:hAnsi="Times New Roman"/>
                <w:szCs w:val="21"/>
              </w:rPr>
              <w:t>A≤20</w:t>
            </w:r>
          </w:p>
        </w:tc>
        <w:tc>
          <w:tcPr>
            <w:tcW w:w="1275" w:type="dxa"/>
            <w:noWrap w:val="0"/>
            <w:vAlign w:val="center"/>
          </w:tcPr>
          <w:p>
            <w:pPr>
              <w:jc w:val="center"/>
              <w:rPr>
                <w:rFonts w:ascii="Times New Roman" w:hAnsi="Times New Roman"/>
                <w:szCs w:val="21"/>
              </w:rPr>
            </w:pPr>
            <w:r>
              <w:rPr>
                <w:rFonts w:ascii="Times New Roman" w:hAnsi="Times New Roman"/>
                <w:szCs w:val="21"/>
              </w:rPr>
              <w:t>A≤16</w:t>
            </w:r>
          </w:p>
        </w:tc>
        <w:tc>
          <w:tcPr>
            <w:tcW w:w="1276" w:type="dxa"/>
            <w:noWrap w:val="0"/>
            <w:vAlign w:val="center"/>
          </w:tcPr>
          <w:p>
            <w:pPr>
              <w:jc w:val="center"/>
              <w:rPr>
                <w:rFonts w:ascii="Times New Roman" w:hAnsi="Times New Roman"/>
                <w:szCs w:val="21"/>
              </w:rPr>
            </w:pPr>
            <w:r>
              <w:rPr>
                <w:rFonts w:ascii="Times New Roman" w:hAnsi="Times New Roman"/>
                <w:szCs w:val="21"/>
              </w:rPr>
              <w:t>A≤12</w:t>
            </w:r>
          </w:p>
        </w:tc>
        <w:tc>
          <w:tcPr>
            <w:tcW w:w="992" w:type="dxa"/>
            <w:noWrap w:val="0"/>
            <w:vAlign w:val="center"/>
          </w:tcPr>
          <w:p>
            <w:pPr>
              <w:jc w:val="center"/>
              <w:rPr>
                <w:rFonts w:ascii="Times New Roman" w:hAnsi="Times New Roman"/>
                <w:szCs w:val="21"/>
              </w:rPr>
            </w:pPr>
            <w:r>
              <w:rPr>
                <w:rFonts w:ascii="Times New Roman" w:hAnsi="Times New Roman"/>
                <w:szCs w:val="21"/>
              </w:rPr>
              <w:t>20</w:t>
            </w:r>
          </w:p>
        </w:tc>
        <w:tc>
          <w:tcPr>
            <w:tcW w:w="851" w:type="dxa"/>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7" w:type="dxa"/>
            <w:vMerge w:val="restart"/>
            <w:noWrap w:val="0"/>
            <w:vAlign w:val="center"/>
          </w:tcPr>
          <w:p>
            <w:pPr>
              <w:jc w:val="center"/>
              <w:rPr>
                <w:rFonts w:ascii="Times New Roman" w:hAnsi="Times New Roman"/>
                <w:szCs w:val="21"/>
              </w:rPr>
            </w:pPr>
            <w:r>
              <w:rPr>
                <w:rFonts w:hint="eastAsia" w:ascii="宋体" w:hAnsi="宋体" w:cs="宋体"/>
                <w:szCs w:val="21"/>
              </w:rPr>
              <w:t>Ⅲ</w:t>
            </w:r>
            <w:r>
              <w:rPr>
                <w:rFonts w:ascii="Times New Roman" w:hAnsi="Times New Roman"/>
                <w:szCs w:val="21"/>
              </w:rPr>
              <w:t>、</w:t>
            </w:r>
            <w:r>
              <w:rPr>
                <w:rFonts w:hint="eastAsia" w:ascii="宋体" w:hAnsi="宋体" w:cs="宋体"/>
                <w:szCs w:val="21"/>
              </w:rPr>
              <w:t>Ⅳ</w:t>
            </w:r>
            <w:r>
              <w:rPr>
                <w:rFonts w:ascii="Times New Roman" w:hAnsi="Times New Roman"/>
                <w:szCs w:val="21"/>
              </w:rPr>
              <w:t>、</w:t>
            </w:r>
            <w:r>
              <w:rPr>
                <w:rFonts w:hint="eastAsia" w:ascii="宋体" w:hAnsi="宋体" w:cs="宋体"/>
                <w:szCs w:val="21"/>
              </w:rPr>
              <w:t>Ⅴ</w:t>
            </w:r>
          </w:p>
        </w:tc>
        <w:tc>
          <w:tcPr>
            <w:tcW w:w="1237" w:type="dxa"/>
            <w:noWrap w:val="0"/>
            <w:vAlign w:val="center"/>
          </w:tcPr>
          <w:p>
            <w:pPr>
              <w:jc w:val="center"/>
              <w:rPr>
                <w:rFonts w:ascii="Times New Roman" w:hAnsi="Times New Roman"/>
                <w:szCs w:val="21"/>
              </w:rPr>
            </w:pPr>
            <w:r>
              <w:rPr>
                <w:rFonts w:ascii="Times New Roman" w:hAnsi="Times New Roman"/>
                <w:szCs w:val="21"/>
              </w:rPr>
              <w:t>33＜A≤36</w:t>
            </w:r>
          </w:p>
        </w:tc>
        <w:tc>
          <w:tcPr>
            <w:tcW w:w="1258" w:type="dxa"/>
            <w:noWrap w:val="0"/>
            <w:vAlign w:val="center"/>
          </w:tcPr>
          <w:p>
            <w:pPr>
              <w:jc w:val="center"/>
              <w:rPr>
                <w:rFonts w:ascii="Times New Roman" w:hAnsi="Times New Roman"/>
                <w:szCs w:val="21"/>
              </w:rPr>
            </w:pPr>
            <w:r>
              <w:rPr>
                <w:rFonts w:ascii="Times New Roman" w:hAnsi="Times New Roman"/>
                <w:szCs w:val="21"/>
              </w:rPr>
              <w:t>24＜A≤27</w:t>
            </w:r>
          </w:p>
        </w:tc>
        <w:tc>
          <w:tcPr>
            <w:tcW w:w="1276" w:type="dxa"/>
            <w:noWrap w:val="0"/>
            <w:vAlign w:val="center"/>
          </w:tcPr>
          <w:p>
            <w:pPr>
              <w:jc w:val="center"/>
              <w:rPr>
                <w:rFonts w:ascii="Times New Roman" w:hAnsi="Times New Roman"/>
                <w:szCs w:val="21"/>
              </w:rPr>
            </w:pPr>
            <w:r>
              <w:rPr>
                <w:rFonts w:ascii="Times New Roman" w:hAnsi="Times New Roman"/>
                <w:szCs w:val="21"/>
              </w:rPr>
              <w:t>19＜A≤20</w:t>
            </w:r>
          </w:p>
        </w:tc>
        <w:tc>
          <w:tcPr>
            <w:tcW w:w="1275" w:type="dxa"/>
            <w:noWrap w:val="0"/>
            <w:vAlign w:val="center"/>
          </w:tcPr>
          <w:p>
            <w:pPr>
              <w:jc w:val="center"/>
              <w:rPr>
                <w:rFonts w:ascii="Times New Roman" w:hAnsi="Times New Roman"/>
                <w:szCs w:val="21"/>
              </w:rPr>
            </w:pPr>
            <w:r>
              <w:rPr>
                <w:rFonts w:ascii="Times New Roman" w:hAnsi="Times New Roman"/>
                <w:szCs w:val="21"/>
              </w:rPr>
              <w:t>15＜A≤16</w:t>
            </w:r>
          </w:p>
        </w:tc>
        <w:tc>
          <w:tcPr>
            <w:tcW w:w="1276" w:type="dxa"/>
            <w:noWrap w:val="0"/>
            <w:vAlign w:val="center"/>
          </w:tcPr>
          <w:p>
            <w:pPr>
              <w:jc w:val="center"/>
              <w:rPr>
                <w:rFonts w:ascii="Times New Roman" w:hAnsi="Times New Roman"/>
                <w:szCs w:val="21"/>
              </w:rPr>
            </w:pPr>
            <w:r>
              <w:rPr>
                <w:rFonts w:ascii="Times New Roman" w:hAnsi="Times New Roman"/>
                <w:szCs w:val="21"/>
              </w:rPr>
              <w:t>11＜A≤12</w:t>
            </w:r>
          </w:p>
        </w:tc>
        <w:tc>
          <w:tcPr>
            <w:tcW w:w="992" w:type="dxa"/>
            <w:noWrap w:val="0"/>
            <w:vAlign w:val="center"/>
          </w:tcPr>
          <w:p>
            <w:pPr>
              <w:jc w:val="center"/>
              <w:rPr>
                <w:rFonts w:ascii="Times New Roman" w:hAnsi="Times New Roman"/>
                <w:szCs w:val="21"/>
              </w:rPr>
            </w:pPr>
            <w:r>
              <w:rPr>
                <w:rFonts w:ascii="Times New Roman" w:hAnsi="Times New Roman"/>
                <w:szCs w:val="21"/>
              </w:rPr>
              <w:t>15</w:t>
            </w:r>
          </w:p>
        </w:tc>
        <w:tc>
          <w:tcPr>
            <w:tcW w:w="851" w:type="dxa"/>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7" w:type="dxa"/>
            <w:vMerge w:val="continue"/>
            <w:noWrap w:val="0"/>
            <w:vAlign w:val="center"/>
          </w:tcPr>
          <w:p>
            <w:pPr>
              <w:rPr>
                <w:rFonts w:ascii="Times New Roman" w:hAnsi="Times New Roman"/>
                <w:szCs w:val="21"/>
              </w:rPr>
            </w:pPr>
          </w:p>
        </w:tc>
        <w:tc>
          <w:tcPr>
            <w:tcW w:w="1237" w:type="dxa"/>
            <w:noWrap w:val="0"/>
            <w:vAlign w:val="center"/>
          </w:tcPr>
          <w:p>
            <w:pPr>
              <w:jc w:val="center"/>
              <w:rPr>
                <w:rFonts w:ascii="Times New Roman" w:hAnsi="Times New Roman"/>
                <w:szCs w:val="21"/>
              </w:rPr>
            </w:pPr>
            <w:r>
              <w:rPr>
                <w:rFonts w:ascii="Times New Roman" w:hAnsi="Times New Roman"/>
                <w:szCs w:val="21"/>
              </w:rPr>
              <w:t>A≤33</w:t>
            </w:r>
          </w:p>
        </w:tc>
        <w:tc>
          <w:tcPr>
            <w:tcW w:w="1258" w:type="dxa"/>
            <w:noWrap w:val="0"/>
            <w:vAlign w:val="center"/>
          </w:tcPr>
          <w:p>
            <w:pPr>
              <w:jc w:val="center"/>
              <w:rPr>
                <w:rFonts w:ascii="Times New Roman" w:hAnsi="Times New Roman"/>
                <w:szCs w:val="21"/>
              </w:rPr>
            </w:pPr>
            <w:r>
              <w:rPr>
                <w:rFonts w:ascii="Times New Roman" w:hAnsi="Times New Roman"/>
                <w:szCs w:val="21"/>
              </w:rPr>
              <w:t>A≤24</w:t>
            </w:r>
          </w:p>
        </w:tc>
        <w:tc>
          <w:tcPr>
            <w:tcW w:w="1276" w:type="dxa"/>
            <w:noWrap w:val="0"/>
            <w:vAlign w:val="center"/>
          </w:tcPr>
          <w:p>
            <w:pPr>
              <w:jc w:val="center"/>
              <w:rPr>
                <w:rFonts w:ascii="Times New Roman" w:hAnsi="Times New Roman"/>
                <w:szCs w:val="21"/>
              </w:rPr>
            </w:pPr>
            <w:r>
              <w:rPr>
                <w:rFonts w:ascii="Times New Roman" w:hAnsi="Times New Roman"/>
                <w:szCs w:val="21"/>
              </w:rPr>
              <w:t>A≤19</w:t>
            </w:r>
          </w:p>
        </w:tc>
        <w:tc>
          <w:tcPr>
            <w:tcW w:w="1275" w:type="dxa"/>
            <w:noWrap w:val="0"/>
            <w:vAlign w:val="center"/>
          </w:tcPr>
          <w:p>
            <w:pPr>
              <w:jc w:val="center"/>
              <w:rPr>
                <w:rFonts w:ascii="Times New Roman" w:hAnsi="Times New Roman"/>
                <w:szCs w:val="21"/>
              </w:rPr>
            </w:pPr>
            <w:r>
              <w:rPr>
                <w:rFonts w:ascii="Times New Roman" w:hAnsi="Times New Roman"/>
                <w:szCs w:val="21"/>
              </w:rPr>
              <w:t>A≤15</w:t>
            </w:r>
          </w:p>
        </w:tc>
        <w:tc>
          <w:tcPr>
            <w:tcW w:w="1276" w:type="dxa"/>
            <w:noWrap w:val="0"/>
            <w:vAlign w:val="center"/>
          </w:tcPr>
          <w:p>
            <w:pPr>
              <w:jc w:val="center"/>
              <w:rPr>
                <w:rFonts w:ascii="Times New Roman" w:hAnsi="Times New Roman"/>
                <w:szCs w:val="21"/>
              </w:rPr>
            </w:pPr>
            <w:r>
              <w:rPr>
                <w:rFonts w:ascii="Times New Roman" w:hAnsi="Times New Roman"/>
                <w:szCs w:val="21"/>
              </w:rPr>
              <w:t>A≤11</w:t>
            </w:r>
          </w:p>
        </w:tc>
        <w:tc>
          <w:tcPr>
            <w:tcW w:w="992" w:type="dxa"/>
            <w:noWrap w:val="0"/>
            <w:vAlign w:val="center"/>
          </w:tcPr>
          <w:p>
            <w:pPr>
              <w:jc w:val="center"/>
              <w:rPr>
                <w:rFonts w:ascii="Times New Roman" w:hAnsi="Times New Roman"/>
                <w:szCs w:val="21"/>
              </w:rPr>
            </w:pPr>
            <w:r>
              <w:rPr>
                <w:rFonts w:ascii="Times New Roman" w:hAnsi="Times New Roman"/>
                <w:szCs w:val="21"/>
              </w:rPr>
              <w:t>20</w:t>
            </w:r>
          </w:p>
        </w:tc>
        <w:tc>
          <w:tcPr>
            <w:tcW w:w="851" w:type="dxa"/>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319" w:type="dxa"/>
            <w:gridSpan w:val="6"/>
            <w:noWrap w:val="0"/>
            <w:vAlign w:val="center"/>
          </w:tcPr>
          <w:p>
            <w:pPr>
              <w:jc w:val="center"/>
              <w:rPr>
                <w:rFonts w:ascii="Times New Roman" w:hAnsi="Times New Roman"/>
                <w:szCs w:val="21"/>
              </w:rPr>
            </w:pPr>
            <w:r>
              <w:rPr>
                <w:rFonts w:ascii="Times New Roman" w:hAnsi="Times New Roman"/>
              </w:rPr>
              <w:t>合计</w:t>
            </w:r>
          </w:p>
        </w:tc>
        <w:tc>
          <w:tcPr>
            <w:tcW w:w="992" w:type="dxa"/>
            <w:noWrap w:val="0"/>
            <w:vAlign w:val="center"/>
          </w:tcPr>
          <w:p>
            <w:pPr>
              <w:jc w:val="center"/>
              <w:rPr>
                <w:rFonts w:ascii="Times New Roman" w:hAnsi="Times New Roman"/>
                <w:szCs w:val="21"/>
              </w:rPr>
            </w:pPr>
            <w:r>
              <w:rPr>
                <w:rFonts w:hint="eastAsia" w:ascii="Times New Roman" w:hAnsi="Times New Roman"/>
                <w:szCs w:val="21"/>
              </w:rPr>
              <w:t>20</w:t>
            </w:r>
          </w:p>
        </w:tc>
        <w:tc>
          <w:tcPr>
            <w:tcW w:w="851" w:type="dxa"/>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rPr>
          <w:rFonts w:ascii="Times New Roman" w:hAnsi="Times New Roman"/>
        </w:rPr>
      </w:pPr>
      <w:r>
        <w:rPr>
          <w:rFonts w:ascii="Times New Roman" w:hAnsi="Times New Roman"/>
        </w:rPr>
        <w:t>2）公共建筑容积率R</w:t>
      </w:r>
    </w:p>
    <w:tbl>
      <w:tblPr>
        <w:tblStyle w:val="7"/>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119"/>
        <w:gridCol w:w="155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403" w:type="dxa"/>
            <w:noWrap w:val="0"/>
            <w:vAlign w:val="center"/>
          </w:tcPr>
          <w:p>
            <w:pPr>
              <w:jc w:val="center"/>
              <w:rPr>
                <w:rFonts w:ascii="Times New Roman" w:hAnsi="Times New Roman"/>
              </w:rPr>
            </w:pPr>
            <w:r>
              <w:rPr>
                <w:rFonts w:ascii="Times New Roman" w:hAnsi="Times New Roman"/>
              </w:rPr>
              <w:t>行政办公、商务办公、商业金融、旅馆饭店、交通枢纽等</w:t>
            </w:r>
          </w:p>
        </w:tc>
        <w:tc>
          <w:tcPr>
            <w:tcW w:w="3119" w:type="dxa"/>
            <w:noWrap w:val="0"/>
            <w:vAlign w:val="center"/>
          </w:tcPr>
          <w:p>
            <w:pPr>
              <w:jc w:val="center"/>
              <w:rPr>
                <w:rFonts w:ascii="Times New Roman" w:hAnsi="Times New Roman"/>
              </w:rPr>
            </w:pPr>
            <w:r>
              <w:rPr>
                <w:rFonts w:ascii="Times New Roman" w:hAnsi="Times New Roman"/>
              </w:rPr>
              <w:t>教育、文化、体育、医疗卫生、社会福利等</w:t>
            </w:r>
          </w:p>
        </w:tc>
        <w:tc>
          <w:tcPr>
            <w:tcW w:w="1559" w:type="dxa"/>
            <w:noWrap w:val="0"/>
            <w:vAlign w:val="center"/>
          </w:tcPr>
          <w:p>
            <w:pPr>
              <w:jc w:val="center"/>
              <w:rPr>
                <w:rFonts w:ascii="Times New Roman" w:hAnsi="Times New Roman"/>
              </w:rPr>
            </w:pPr>
            <w:r>
              <w:rPr>
                <w:rFonts w:ascii="Times New Roman" w:hAnsi="Times New Roman"/>
              </w:rPr>
              <w:t>评价分值</w:t>
            </w:r>
          </w:p>
        </w:tc>
        <w:tc>
          <w:tcPr>
            <w:tcW w:w="1105" w:type="dxa"/>
            <w:noWrap w:val="0"/>
            <w:vAlign w:val="center"/>
          </w:tcPr>
          <w:p>
            <w:pPr>
              <w:jc w:val="center"/>
              <w:rPr>
                <w:rFonts w:ascii="Times New Roman" w:hAnsi="Times New Roman"/>
              </w:rPr>
            </w:pPr>
            <w:r>
              <w:rPr>
                <w:rFonts w:ascii="Times New Roman" w:hAnsi="Times New Roma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403" w:type="dxa"/>
            <w:noWrap w:val="0"/>
            <w:vAlign w:val="center"/>
          </w:tcPr>
          <w:p>
            <w:pPr>
              <w:jc w:val="center"/>
              <w:rPr>
                <w:rFonts w:ascii="Times New Roman" w:hAnsi="Times New Roman"/>
              </w:rPr>
            </w:pPr>
            <w:r>
              <w:rPr>
                <w:rFonts w:ascii="Times New Roman" w:hAnsi="Times New Roman"/>
              </w:rPr>
              <w:t>1.0≤R＜1.5</w:t>
            </w:r>
          </w:p>
        </w:tc>
        <w:tc>
          <w:tcPr>
            <w:tcW w:w="3119" w:type="dxa"/>
            <w:noWrap w:val="0"/>
            <w:vAlign w:val="center"/>
          </w:tcPr>
          <w:p>
            <w:pPr>
              <w:jc w:val="center"/>
              <w:rPr>
                <w:rFonts w:ascii="Times New Roman" w:hAnsi="Times New Roman"/>
              </w:rPr>
            </w:pPr>
            <w:r>
              <w:rPr>
                <w:rFonts w:ascii="Times New Roman" w:hAnsi="Times New Roman"/>
              </w:rPr>
              <w:t>0.5≤R＜0.8</w:t>
            </w:r>
          </w:p>
        </w:tc>
        <w:tc>
          <w:tcPr>
            <w:tcW w:w="1559" w:type="dxa"/>
            <w:noWrap w:val="0"/>
            <w:vAlign w:val="center"/>
          </w:tcPr>
          <w:p>
            <w:pPr>
              <w:jc w:val="center"/>
              <w:rPr>
                <w:rFonts w:ascii="Times New Roman" w:hAnsi="Times New Roman"/>
              </w:rPr>
            </w:pPr>
            <w:r>
              <w:rPr>
                <w:rFonts w:ascii="Times New Roman" w:hAnsi="Times New Roman"/>
              </w:rPr>
              <w:t>8</w:t>
            </w:r>
          </w:p>
        </w:tc>
        <w:tc>
          <w:tcPr>
            <w:tcW w:w="1105" w:type="dxa"/>
            <w:noWrap w:val="0"/>
            <w:vAlign w:val="top"/>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403" w:type="dxa"/>
            <w:noWrap w:val="0"/>
            <w:vAlign w:val="center"/>
          </w:tcPr>
          <w:p>
            <w:pPr>
              <w:jc w:val="center"/>
              <w:rPr>
                <w:rFonts w:ascii="Times New Roman" w:hAnsi="Times New Roman"/>
              </w:rPr>
            </w:pPr>
            <w:r>
              <w:rPr>
                <w:rFonts w:ascii="Times New Roman" w:hAnsi="Times New Roman"/>
              </w:rPr>
              <w:t>1.5≤R＜2.5</w:t>
            </w:r>
          </w:p>
        </w:tc>
        <w:tc>
          <w:tcPr>
            <w:tcW w:w="3119" w:type="dxa"/>
            <w:noWrap w:val="0"/>
            <w:vAlign w:val="center"/>
          </w:tcPr>
          <w:p>
            <w:pPr>
              <w:jc w:val="center"/>
              <w:rPr>
                <w:rFonts w:ascii="Times New Roman" w:hAnsi="Times New Roman"/>
              </w:rPr>
            </w:pPr>
            <w:r>
              <w:rPr>
                <w:rFonts w:ascii="Times New Roman" w:hAnsi="Times New Roman"/>
              </w:rPr>
              <w:t>R≥2.0</w:t>
            </w:r>
          </w:p>
        </w:tc>
        <w:tc>
          <w:tcPr>
            <w:tcW w:w="1559" w:type="dxa"/>
            <w:noWrap w:val="0"/>
            <w:vAlign w:val="center"/>
          </w:tcPr>
          <w:p>
            <w:pPr>
              <w:jc w:val="center"/>
              <w:rPr>
                <w:rFonts w:ascii="Times New Roman" w:hAnsi="Times New Roman"/>
              </w:rPr>
            </w:pPr>
            <w:r>
              <w:rPr>
                <w:rFonts w:ascii="Times New Roman" w:hAnsi="Times New Roman"/>
              </w:rPr>
              <w:t>12</w:t>
            </w:r>
          </w:p>
        </w:tc>
        <w:tc>
          <w:tcPr>
            <w:tcW w:w="1105" w:type="dxa"/>
            <w:noWrap w:val="0"/>
            <w:vAlign w:val="top"/>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403" w:type="dxa"/>
            <w:noWrap w:val="0"/>
            <w:vAlign w:val="center"/>
          </w:tcPr>
          <w:p>
            <w:pPr>
              <w:jc w:val="center"/>
              <w:rPr>
                <w:rFonts w:ascii="Times New Roman" w:hAnsi="Times New Roman"/>
              </w:rPr>
            </w:pPr>
            <w:r>
              <w:rPr>
                <w:rFonts w:ascii="Times New Roman" w:hAnsi="Times New Roman"/>
              </w:rPr>
              <w:t>2.5≤R＜3.5</w:t>
            </w:r>
          </w:p>
        </w:tc>
        <w:tc>
          <w:tcPr>
            <w:tcW w:w="3119" w:type="dxa"/>
            <w:noWrap w:val="0"/>
            <w:vAlign w:val="center"/>
          </w:tcPr>
          <w:p>
            <w:pPr>
              <w:jc w:val="center"/>
              <w:rPr>
                <w:rFonts w:ascii="Times New Roman" w:hAnsi="Times New Roman"/>
              </w:rPr>
            </w:pPr>
            <w:r>
              <w:rPr>
                <w:rFonts w:ascii="Times New Roman" w:hAnsi="Times New Roman"/>
              </w:rPr>
              <w:t>0.8≤R＜1.5</w:t>
            </w:r>
          </w:p>
        </w:tc>
        <w:tc>
          <w:tcPr>
            <w:tcW w:w="1559" w:type="dxa"/>
            <w:noWrap w:val="0"/>
            <w:vAlign w:val="center"/>
          </w:tcPr>
          <w:p>
            <w:pPr>
              <w:jc w:val="center"/>
              <w:rPr>
                <w:rFonts w:ascii="Times New Roman" w:hAnsi="Times New Roman"/>
              </w:rPr>
            </w:pPr>
            <w:r>
              <w:rPr>
                <w:rFonts w:ascii="Times New Roman" w:hAnsi="Times New Roman"/>
              </w:rPr>
              <w:t>16</w:t>
            </w:r>
          </w:p>
        </w:tc>
        <w:tc>
          <w:tcPr>
            <w:tcW w:w="1105" w:type="dxa"/>
            <w:noWrap w:val="0"/>
            <w:vAlign w:val="top"/>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403" w:type="dxa"/>
            <w:noWrap w:val="0"/>
            <w:vAlign w:val="center"/>
          </w:tcPr>
          <w:p>
            <w:pPr>
              <w:jc w:val="center"/>
              <w:rPr>
                <w:rFonts w:ascii="Times New Roman" w:hAnsi="Times New Roman"/>
              </w:rPr>
            </w:pPr>
            <w:r>
              <w:rPr>
                <w:rFonts w:ascii="Times New Roman" w:hAnsi="Times New Roman"/>
              </w:rPr>
              <w:t>R≥3.5</w:t>
            </w:r>
          </w:p>
        </w:tc>
        <w:tc>
          <w:tcPr>
            <w:tcW w:w="3119" w:type="dxa"/>
            <w:noWrap w:val="0"/>
            <w:vAlign w:val="center"/>
          </w:tcPr>
          <w:p>
            <w:pPr>
              <w:jc w:val="center"/>
              <w:rPr>
                <w:rFonts w:ascii="Times New Roman" w:hAnsi="Times New Roman"/>
              </w:rPr>
            </w:pPr>
            <w:r>
              <w:rPr>
                <w:rFonts w:ascii="Times New Roman" w:hAnsi="Times New Roman"/>
              </w:rPr>
              <w:t>1.5≤R＜3.5</w:t>
            </w:r>
          </w:p>
        </w:tc>
        <w:tc>
          <w:tcPr>
            <w:tcW w:w="1559" w:type="dxa"/>
            <w:noWrap w:val="0"/>
            <w:vAlign w:val="center"/>
          </w:tcPr>
          <w:p>
            <w:pPr>
              <w:jc w:val="center"/>
              <w:rPr>
                <w:rFonts w:ascii="Times New Roman" w:hAnsi="Times New Roman"/>
              </w:rPr>
            </w:pPr>
            <w:r>
              <w:rPr>
                <w:rFonts w:ascii="Times New Roman" w:hAnsi="Times New Roman"/>
              </w:rPr>
              <w:t>20</w:t>
            </w:r>
          </w:p>
        </w:tc>
        <w:tc>
          <w:tcPr>
            <w:tcW w:w="1105" w:type="dxa"/>
            <w:noWrap w:val="0"/>
            <w:vAlign w:val="top"/>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522" w:type="dxa"/>
            <w:gridSpan w:val="2"/>
            <w:noWrap w:val="0"/>
            <w:vAlign w:val="center"/>
          </w:tcPr>
          <w:p>
            <w:pPr>
              <w:jc w:val="center"/>
              <w:rPr>
                <w:rFonts w:ascii="Times New Roman" w:hAnsi="Times New Roman"/>
              </w:rPr>
            </w:pPr>
            <w:r>
              <w:rPr>
                <w:rFonts w:ascii="Times New Roman" w:hAnsi="Times New Roman"/>
              </w:rPr>
              <w:t>合计</w:t>
            </w:r>
          </w:p>
        </w:tc>
        <w:tc>
          <w:tcPr>
            <w:tcW w:w="1559" w:type="dxa"/>
            <w:noWrap w:val="0"/>
            <w:vAlign w:val="center"/>
          </w:tcPr>
          <w:p>
            <w:pPr>
              <w:jc w:val="center"/>
              <w:rPr>
                <w:rFonts w:ascii="Times New Roman" w:hAnsi="Times New Roman"/>
              </w:rPr>
            </w:pPr>
            <w:r>
              <w:rPr>
                <w:rFonts w:hint="eastAsia" w:ascii="Times New Roman" w:hAnsi="Times New Roman"/>
              </w:rPr>
              <w:t>20</w:t>
            </w:r>
          </w:p>
        </w:tc>
        <w:tc>
          <w:tcPr>
            <w:tcW w:w="1105" w:type="dxa"/>
            <w:noWrap w:val="0"/>
            <w:vAlign w:val="top"/>
          </w:tcPr>
          <w:p>
            <w:pPr>
              <w:jc w:val="center"/>
              <w:rPr>
                <w:rFonts w:ascii="Times New Roman" w:hAnsi="Times New Roman"/>
              </w:rPr>
            </w:pPr>
            <w:r>
              <w:rPr>
                <w:rFonts w:hint="eastAsia" w:ascii="Times New Roman" w:hAnsi="Times New Roman"/>
                <w:kern w:val="0"/>
                <w:szCs w:val="21"/>
              </w:rPr>
              <w:t xml:space="preserve">  </w:t>
            </w:r>
          </w:p>
        </w:tc>
      </w:tr>
    </w:tbl>
    <w:p>
      <w:pPr>
        <w:rPr>
          <w:rFonts w:ascii="Times New Roman" w:hAnsi="Times New Roman"/>
          <w:b/>
          <w:szCs w:val="21"/>
        </w:rPr>
      </w:pPr>
      <w:r>
        <w:rPr>
          <w:rFonts w:ascii="Times New Roman" w:hAnsi="Times New Roman"/>
          <w:b/>
          <w:szCs w:val="21"/>
        </w:rPr>
        <w:t>2 评价要点</w:t>
      </w:r>
    </w:p>
    <w:p>
      <w:pPr>
        <w:rPr>
          <w:rFonts w:ascii="Times New Roman" w:hAnsi="Times New Roman"/>
        </w:rPr>
      </w:pPr>
      <w:r>
        <w:rPr>
          <w:rFonts w:ascii="Times New Roman" w:hAnsi="Times New Roman"/>
        </w:rPr>
        <w:t>1）居住建筑</w:t>
      </w:r>
    </w:p>
    <w:p>
      <w:pPr>
        <w:rPr>
          <w:rFonts w:ascii="Times New Roman" w:hAnsi="Times New Roman"/>
          <w:u w:val="single"/>
        </w:rPr>
      </w:pPr>
      <w:r>
        <w:rPr>
          <w:rFonts w:ascii="Times New Roman" w:hAnsi="Times New Roman"/>
        </w:rPr>
        <w:t>住区用地面积：</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，户均人数：</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人，总户数：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户。</w:t>
      </w:r>
    </w:p>
    <w:p>
      <w:pPr>
        <w:rPr>
          <w:rFonts w:ascii="Times New Roman" w:hAnsi="Times New Roman"/>
        </w:rPr>
      </w:pPr>
      <w:r>
        <w:rPr>
          <w:rFonts w:ascii="Times New Roman" w:hAnsi="Times New Roman"/>
        </w:rPr>
        <w:t>主要户型：_</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 xml:space="preserve"> _，主要户型建筑面积：</w:t>
      </w:r>
      <w:r>
        <w:rPr>
          <w:rFonts w:hint="eastAsia" w:ascii="Times New Roman" w:hAnsi="Times New Roman"/>
          <w:u w:val="single"/>
        </w:rPr>
        <w:t xml:space="preserve">    </w:t>
      </w:r>
      <w:r>
        <w:rPr>
          <w:rFonts w:ascii="Times New Roman" w:hAnsi="Times New Roman"/>
        </w:rPr>
        <w:t xml:space="preserve"> _ m</w:t>
      </w:r>
      <w:r>
        <w:rPr>
          <w:rFonts w:ascii="Times New Roman" w:hAnsi="Times New Roman"/>
          <w:vertAlign w:val="superscript"/>
        </w:rPr>
        <w:t>2</w:t>
      </w:r>
      <w:r>
        <w:rPr>
          <w:rFonts w:ascii="Times New Roman" w:hAnsi="Times New Roman"/>
        </w:rPr>
        <w:t>，占总户数的比例：_</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 xml:space="preserve"> _%。</w:t>
      </w:r>
    </w:p>
    <w:p>
      <w:pPr>
        <w:rPr>
          <w:rFonts w:ascii="Times New Roman" w:hAnsi="Times New Roman"/>
        </w:rPr>
      </w:pPr>
      <w:r>
        <w:rPr>
          <w:rFonts w:ascii="Times New Roman" w:hAnsi="Times New Roman"/>
        </w:rPr>
        <w:t>人均居住用地指标：</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/人</w:t>
      </w:r>
    </w:p>
    <w:p>
      <w:pPr>
        <w:rPr>
          <w:rFonts w:ascii="Times New Roman" w:hAnsi="Times New Roman"/>
        </w:rPr>
      </w:pPr>
      <w:r>
        <w:rPr>
          <w:rFonts w:ascii="Times New Roman" w:hAnsi="Times New Roman"/>
        </w:rPr>
        <w:t>2）公共建筑</w:t>
      </w:r>
    </w:p>
    <w:p>
      <w:pPr>
        <w:rPr>
          <w:rFonts w:ascii="Times New Roman" w:hAnsi="Times New Roman"/>
        </w:rPr>
      </w:pPr>
      <w:r>
        <w:rPr>
          <w:rFonts w:ascii="Times New Roman" w:hAnsi="Times New Roman"/>
        </w:rPr>
        <w:t>规划用地面积：</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，地上总建筑面积：</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 xml:space="preserve"> ，容积率：</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1）竣工总平面图及相关设计说明；</w:t>
      </w:r>
    </w:p>
    <w:p>
      <w:pPr>
        <w:rPr>
          <w:rFonts w:ascii="Times New Roman" w:hAnsi="Times New Roman"/>
        </w:rPr>
      </w:pPr>
      <w:r>
        <w:rPr>
          <w:rFonts w:hint="eastAsia" w:ascii="Times New Roman" w:hAnsi="Times New Roman"/>
        </w:rPr>
        <w:t>2）用地指标计算书</w:t>
      </w:r>
      <w:r>
        <w:rPr>
          <w:rFonts w:ascii="Times New Roman" w:hAnsi="Times New Roman"/>
        </w:rPr>
        <w:t>。</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1"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7.2.2合理开发利用地下空间。（</w:t>
      </w:r>
      <w:r>
        <w:rPr>
          <w:sz w:val="24"/>
          <w:szCs w:val="40"/>
        </w:rPr>
        <w:t>12</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p>
      <w:pPr>
        <w:spacing w:line="288" w:lineRule="auto"/>
        <w:rPr>
          <w:rFonts w:ascii="Times New Roman" w:hAnsi="Times New Roman"/>
          <w:kern w:val="0"/>
        </w:rPr>
      </w:pPr>
      <w:r>
        <w:rPr>
          <w:rFonts w:ascii="Times New Roman" w:hAnsi="Times New Roman"/>
        </w:rPr>
        <w:t>1）</w:t>
      </w:r>
      <w:r>
        <w:rPr>
          <w:rFonts w:ascii="Times New Roman" w:hAnsi="Times New Roman"/>
          <w:kern w:val="0"/>
        </w:rPr>
        <w:t>居住建筑</w:t>
      </w:r>
    </w:p>
    <w:tbl>
      <w:tblPr>
        <w:tblStyle w:val="7"/>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26"/>
        <w:gridCol w:w="1984"/>
        <w:gridCol w:w="170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noWrap w:val="0"/>
            <w:vAlign w:val="center"/>
          </w:tcPr>
          <w:p>
            <w:pPr>
              <w:jc w:val="center"/>
              <w:rPr>
                <w:rFonts w:ascii="Times New Roman" w:hAnsi="Times New Roman"/>
                <w:b/>
              </w:rPr>
            </w:pPr>
            <w:r>
              <w:rPr>
                <w:rFonts w:ascii="Times New Roman" w:hAnsi="Times New Roman"/>
                <w:szCs w:val="21"/>
              </w:rPr>
              <w:t>序号</w:t>
            </w:r>
          </w:p>
        </w:tc>
        <w:tc>
          <w:tcPr>
            <w:tcW w:w="4210" w:type="dxa"/>
            <w:gridSpan w:val="2"/>
            <w:noWrap w:val="0"/>
            <w:vAlign w:val="center"/>
          </w:tcPr>
          <w:p>
            <w:pPr>
              <w:jc w:val="center"/>
              <w:rPr>
                <w:rFonts w:ascii="Times New Roman" w:hAnsi="Times New Roman"/>
                <w:b/>
              </w:rPr>
            </w:pPr>
            <w:r>
              <w:rPr>
                <w:rFonts w:ascii="Times New Roman" w:hAnsi="Times New Roman"/>
                <w:szCs w:val="21"/>
              </w:rPr>
              <w:t>评价内容</w:t>
            </w:r>
          </w:p>
        </w:tc>
        <w:tc>
          <w:tcPr>
            <w:tcW w:w="1701" w:type="dxa"/>
            <w:noWrap w:val="0"/>
            <w:vAlign w:val="center"/>
          </w:tcPr>
          <w:p>
            <w:pPr>
              <w:jc w:val="center"/>
              <w:rPr>
                <w:rFonts w:ascii="Times New Roman" w:hAnsi="Times New Roman"/>
                <w:b/>
              </w:rPr>
            </w:pPr>
            <w:r>
              <w:rPr>
                <w:rFonts w:ascii="Times New Roman" w:hAnsi="Times New Roman"/>
                <w:szCs w:val="21"/>
              </w:rPr>
              <w:t>评价分值</w:t>
            </w:r>
          </w:p>
        </w:tc>
        <w:tc>
          <w:tcPr>
            <w:tcW w:w="1318" w:type="dxa"/>
            <w:noWrap w:val="0"/>
            <w:vAlign w:val="center"/>
          </w:tcPr>
          <w:p>
            <w:pPr>
              <w:jc w:val="center"/>
              <w:rPr>
                <w:rFonts w:ascii="Times New Roman" w:hAnsi="Times New Roman"/>
                <w:b/>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vMerge w:val="restart"/>
            <w:noWrap w:val="0"/>
            <w:vAlign w:val="center"/>
          </w:tcPr>
          <w:p>
            <w:pPr>
              <w:jc w:val="center"/>
              <w:rPr>
                <w:rFonts w:ascii="Times New Roman" w:hAnsi="Times New Roman"/>
              </w:rPr>
            </w:pPr>
            <w:r>
              <w:rPr>
                <w:rFonts w:ascii="Times New Roman" w:hAnsi="Times New Roman"/>
              </w:rPr>
              <w:t>1</w:t>
            </w:r>
          </w:p>
        </w:tc>
        <w:tc>
          <w:tcPr>
            <w:tcW w:w="2226" w:type="dxa"/>
            <w:vMerge w:val="restart"/>
            <w:noWrap w:val="0"/>
            <w:vAlign w:val="center"/>
          </w:tcPr>
          <w:p>
            <w:pPr>
              <w:jc w:val="left"/>
              <w:rPr>
                <w:rFonts w:ascii="Times New Roman" w:hAnsi="Times New Roman"/>
              </w:rPr>
            </w:pPr>
            <w:bookmarkStart w:id="142" w:name="_Toc9944748"/>
            <w:bookmarkStart w:id="143" w:name="_Toc9945028"/>
            <w:bookmarkStart w:id="144" w:name="_Toc9945172"/>
            <w:bookmarkStart w:id="145" w:name="_Toc9945314"/>
            <w:bookmarkStart w:id="146" w:name="_Toc9945455"/>
            <w:r>
              <w:rPr>
                <w:rFonts w:ascii="Times New Roman" w:hAnsi="Times New Roman"/>
              </w:rPr>
              <w:t>地下建筑面积与地上建筑面积的比率</w:t>
            </w:r>
            <w:r>
              <w:rPr>
                <w:rFonts w:ascii="Times New Roman" w:hAnsi="Times New Roman"/>
                <w:i/>
              </w:rPr>
              <w:t>R</w:t>
            </w:r>
            <w:r>
              <w:rPr>
                <w:rFonts w:ascii="Times New Roman" w:hAnsi="Times New Roman"/>
              </w:rPr>
              <w:t>r</w:t>
            </w:r>
            <w:bookmarkEnd w:id="142"/>
            <w:bookmarkEnd w:id="143"/>
            <w:bookmarkEnd w:id="144"/>
            <w:bookmarkEnd w:id="145"/>
            <w:bookmarkEnd w:id="146"/>
          </w:p>
          <w:p>
            <w:pPr>
              <w:jc w:val="left"/>
              <w:rPr>
                <w:rFonts w:ascii="Times New Roman" w:hAnsi="Times New Roman"/>
              </w:rPr>
            </w:pPr>
            <w:bookmarkStart w:id="147" w:name="_Toc9944749"/>
            <w:bookmarkStart w:id="148" w:name="_Toc9945029"/>
            <w:bookmarkStart w:id="149" w:name="_Toc9945173"/>
            <w:bookmarkStart w:id="150" w:name="_Toc9945315"/>
            <w:bookmarkStart w:id="151" w:name="_Toc9945456"/>
            <w:r>
              <w:rPr>
                <w:rFonts w:ascii="Times New Roman" w:hAnsi="Times New Roman"/>
              </w:rPr>
              <w:t>地下一层建筑面积与总用地面积的比率</w:t>
            </w:r>
            <w:r>
              <w:rPr>
                <w:rFonts w:ascii="Times New Roman" w:hAnsi="Times New Roman"/>
                <w:i/>
              </w:rPr>
              <w:t>R</w:t>
            </w:r>
            <w:r>
              <w:rPr>
                <w:rFonts w:ascii="Times New Roman" w:hAnsi="Times New Roman"/>
              </w:rPr>
              <w:t>p</w:t>
            </w:r>
            <w:bookmarkEnd w:id="147"/>
            <w:bookmarkEnd w:id="148"/>
            <w:bookmarkEnd w:id="149"/>
            <w:bookmarkEnd w:id="150"/>
            <w:bookmarkEnd w:id="151"/>
          </w:p>
        </w:tc>
        <w:tc>
          <w:tcPr>
            <w:tcW w:w="1984" w:type="dxa"/>
            <w:noWrap w:val="0"/>
            <w:vAlign w:val="center"/>
          </w:tcPr>
          <w:p>
            <w:pPr>
              <w:jc w:val="center"/>
              <w:rPr>
                <w:rFonts w:ascii="Times New Roman" w:hAnsi="Times New Roman"/>
              </w:rPr>
            </w:pPr>
            <w:bookmarkStart w:id="152" w:name="_Toc9944750"/>
            <w:bookmarkStart w:id="153" w:name="_Toc9945030"/>
            <w:bookmarkStart w:id="154" w:name="_Toc9945174"/>
            <w:bookmarkStart w:id="155" w:name="_Toc9945316"/>
            <w:bookmarkStart w:id="156" w:name="_Toc9945457"/>
            <w:r>
              <w:rPr>
                <w:rFonts w:ascii="Times New Roman" w:hAnsi="Times New Roman"/>
              </w:rPr>
              <w:t>5%≤</w:t>
            </w:r>
            <w:r>
              <w:rPr>
                <w:rFonts w:ascii="Times New Roman" w:hAnsi="Times New Roman"/>
                <w:i/>
              </w:rPr>
              <w:t>R</w:t>
            </w:r>
            <w:r>
              <w:rPr>
                <w:rFonts w:ascii="Times New Roman" w:hAnsi="Times New Roman"/>
              </w:rPr>
              <w:t>r＜20%</w:t>
            </w:r>
            <w:bookmarkEnd w:id="152"/>
            <w:bookmarkEnd w:id="153"/>
            <w:bookmarkEnd w:id="154"/>
            <w:bookmarkEnd w:id="155"/>
            <w:bookmarkEnd w:id="156"/>
          </w:p>
        </w:tc>
        <w:tc>
          <w:tcPr>
            <w:tcW w:w="1701" w:type="dxa"/>
            <w:noWrap w:val="0"/>
            <w:vAlign w:val="center"/>
          </w:tcPr>
          <w:p>
            <w:pPr>
              <w:jc w:val="center"/>
              <w:rPr>
                <w:rFonts w:ascii="Times New Roman" w:hAnsi="Times New Roman"/>
              </w:rPr>
            </w:pPr>
            <w:bookmarkStart w:id="157" w:name="_Toc9944751"/>
            <w:bookmarkStart w:id="158" w:name="_Toc9945031"/>
            <w:bookmarkStart w:id="159" w:name="_Toc9945175"/>
            <w:bookmarkStart w:id="160" w:name="_Toc9945317"/>
            <w:bookmarkStart w:id="161" w:name="_Toc9945458"/>
            <w:r>
              <w:rPr>
                <w:rFonts w:ascii="Times New Roman" w:hAnsi="Times New Roman"/>
              </w:rPr>
              <w:t>5</w:t>
            </w:r>
            <w:bookmarkEnd w:id="157"/>
            <w:bookmarkEnd w:id="158"/>
            <w:bookmarkEnd w:id="159"/>
            <w:bookmarkEnd w:id="160"/>
            <w:bookmarkEnd w:id="161"/>
          </w:p>
        </w:tc>
        <w:tc>
          <w:tcPr>
            <w:tcW w:w="1318" w:type="dxa"/>
            <w:noWrap w:val="0"/>
            <w:vAlign w:val="center"/>
          </w:tcPr>
          <w:p>
            <w:pPr>
              <w:pStyle w:val="11"/>
              <w:spacing w:line="240" w:lineRule="auto"/>
              <w:jc w:val="center"/>
              <w:outlineLvl w:val="9"/>
              <w:rPr>
                <w:bCs/>
                <w:sz w:val="21"/>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vMerge w:val="continue"/>
            <w:noWrap w:val="0"/>
            <w:vAlign w:val="center"/>
          </w:tcPr>
          <w:p>
            <w:pPr>
              <w:pStyle w:val="11"/>
              <w:spacing w:line="240" w:lineRule="auto"/>
              <w:jc w:val="center"/>
              <w:outlineLvl w:val="9"/>
              <w:rPr>
                <w:bCs/>
                <w:sz w:val="21"/>
                <w:szCs w:val="21"/>
              </w:rPr>
            </w:pPr>
          </w:p>
        </w:tc>
        <w:tc>
          <w:tcPr>
            <w:tcW w:w="2226" w:type="dxa"/>
            <w:vMerge w:val="continue"/>
            <w:noWrap w:val="0"/>
            <w:vAlign w:val="center"/>
          </w:tcPr>
          <w:p>
            <w:pPr>
              <w:pStyle w:val="11"/>
              <w:spacing w:line="240" w:lineRule="auto"/>
              <w:jc w:val="left"/>
              <w:outlineLvl w:val="9"/>
              <w:rPr>
                <w:bCs/>
                <w:sz w:val="21"/>
                <w:szCs w:val="21"/>
              </w:rPr>
            </w:pPr>
          </w:p>
        </w:tc>
        <w:tc>
          <w:tcPr>
            <w:tcW w:w="1984" w:type="dxa"/>
            <w:noWrap w:val="0"/>
            <w:vAlign w:val="center"/>
          </w:tcPr>
          <w:p>
            <w:pPr>
              <w:jc w:val="center"/>
              <w:rPr>
                <w:rFonts w:ascii="Times New Roman" w:hAnsi="Times New Roman"/>
              </w:rPr>
            </w:pPr>
            <w:bookmarkStart w:id="162" w:name="_Toc9944752"/>
            <w:bookmarkStart w:id="163" w:name="_Toc9945032"/>
            <w:bookmarkStart w:id="164" w:name="_Toc9945176"/>
            <w:bookmarkStart w:id="165" w:name="_Toc9945318"/>
            <w:bookmarkStart w:id="166" w:name="_Toc9945459"/>
            <w:r>
              <w:rPr>
                <w:rFonts w:ascii="Times New Roman" w:hAnsi="Times New Roman"/>
                <w:i/>
              </w:rPr>
              <w:t>R</w:t>
            </w:r>
            <w:r>
              <w:rPr>
                <w:rFonts w:ascii="Times New Roman" w:hAnsi="Times New Roman"/>
              </w:rPr>
              <w:t>r≥20%</w:t>
            </w:r>
            <w:bookmarkEnd w:id="162"/>
            <w:bookmarkEnd w:id="163"/>
            <w:bookmarkEnd w:id="164"/>
            <w:bookmarkEnd w:id="165"/>
            <w:bookmarkEnd w:id="166"/>
          </w:p>
        </w:tc>
        <w:tc>
          <w:tcPr>
            <w:tcW w:w="1701" w:type="dxa"/>
            <w:noWrap w:val="0"/>
            <w:vAlign w:val="center"/>
          </w:tcPr>
          <w:p>
            <w:pPr>
              <w:jc w:val="center"/>
              <w:rPr>
                <w:rFonts w:ascii="Times New Roman" w:hAnsi="Times New Roman"/>
              </w:rPr>
            </w:pPr>
            <w:bookmarkStart w:id="167" w:name="_Toc9944753"/>
            <w:bookmarkStart w:id="168" w:name="_Toc9945033"/>
            <w:bookmarkStart w:id="169" w:name="_Toc9945177"/>
            <w:bookmarkStart w:id="170" w:name="_Toc9945319"/>
            <w:bookmarkStart w:id="171" w:name="_Toc9945460"/>
            <w:r>
              <w:rPr>
                <w:rFonts w:ascii="Times New Roman" w:hAnsi="Times New Roman"/>
              </w:rPr>
              <w:t>7</w:t>
            </w:r>
            <w:bookmarkEnd w:id="167"/>
            <w:bookmarkEnd w:id="168"/>
            <w:bookmarkEnd w:id="169"/>
            <w:bookmarkEnd w:id="170"/>
            <w:bookmarkEnd w:id="171"/>
          </w:p>
        </w:tc>
        <w:tc>
          <w:tcPr>
            <w:tcW w:w="1318" w:type="dxa"/>
            <w:noWrap w:val="0"/>
            <w:vAlign w:val="center"/>
          </w:tcPr>
          <w:p>
            <w:pPr>
              <w:pStyle w:val="11"/>
              <w:spacing w:line="240" w:lineRule="auto"/>
              <w:jc w:val="center"/>
              <w:outlineLvl w:val="9"/>
              <w:rPr>
                <w:bCs/>
                <w:sz w:val="21"/>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vMerge w:val="continue"/>
            <w:noWrap w:val="0"/>
            <w:vAlign w:val="center"/>
          </w:tcPr>
          <w:p>
            <w:pPr>
              <w:pStyle w:val="11"/>
              <w:spacing w:line="240" w:lineRule="auto"/>
              <w:jc w:val="center"/>
              <w:outlineLvl w:val="9"/>
              <w:rPr>
                <w:bCs/>
                <w:i/>
                <w:sz w:val="21"/>
                <w:szCs w:val="21"/>
              </w:rPr>
            </w:pPr>
          </w:p>
        </w:tc>
        <w:tc>
          <w:tcPr>
            <w:tcW w:w="2226" w:type="dxa"/>
            <w:vMerge w:val="continue"/>
            <w:noWrap w:val="0"/>
            <w:vAlign w:val="center"/>
          </w:tcPr>
          <w:p>
            <w:pPr>
              <w:pStyle w:val="11"/>
              <w:spacing w:line="240" w:lineRule="auto"/>
              <w:jc w:val="left"/>
              <w:outlineLvl w:val="9"/>
              <w:rPr>
                <w:bCs/>
                <w:i/>
                <w:sz w:val="21"/>
                <w:szCs w:val="21"/>
              </w:rPr>
            </w:pPr>
          </w:p>
        </w:tc>
        <w:tc>
          <w:tcPr>
            <w:tcW w:w="1984" w:type="dxa"/>
            <w:noWrap w:val="0"/>
            <w:vAlign w:val="center"/>
          </w:tcPr>
          <w:p>
            <w:pPr>
              <w:jc w:val="center"/>
              <w:rPr>
                <w:rFonts w:ascii="Times New Roman" w:hAnsi="Times New Roman"/>
              </w:rPr>
            </w:pPr>
            <w:bookmarkStart w:id="172" w:name="_Toc9944754"/>
            <w:bookmarkStart w:id="173" w:name="_Toc9945034"/>
            <w:bookmarkStart w:id="174" w:name="_Toc9945178"/>
            <w:bookmarkStart w:id="175" w:name="_Toc9945320"/>
            <w:bookmarkStart w:id="176" w:name="_Toc9945461"/>
            <w:r>
              <w:rPr>
                <w:rFonts w:ascii="Times New Roman" w:hAnsi="Times New Roman"/>
                <w:i/>
              </w:rPr>
              <w:t>R</w:t>
            </w:r>
            <w:r>
              <w:rPr>
                <w:rFonts w:ascii="Times New Roman" w:hAnsi="Times New Roman"/>
              </w:rPr>
              <w:t>r≥35%且</w:t>
            </w:r>
          </w:p>
          <w:p>
            <w:pPr>
              <w:jc w:val="center"/>
              <w:rPr>
                <w:rFonts w:ascii="Times New Roman" w:hAnsi="Times New Roman"/>
              </w:rPr>
            </w:pPr>
            <w:r>
              <w:rPr>
                <w:rFonts w:ascii="Times New Roman" w:hAnsi="Times New Roman"/>
                <w:i/>
              </w:rPr>
              <w:t>R</w:t>
            </w:r>
            <w:r>
              <w:rPr>
                <w:rFonts w:ascii="Times New Roman" w:hAnsi="Times New Roman"/>
              </w:rPr>
              <w:t>p＜60%</w:t>
            </w:r>
            <w:bookmarkEnd w:id="172"/>
            <w:bookmarkEnd w:id="173"/>
            <w:bookmarkEnd w:id="174"/>
            <w:bookmarkEnd w:id="175"/>
            <w:bookmarkEnd w:id="176"/>
          </w:p>
        </w:tc>
        <w:tc>
          <w:tcPr>
            <w:tcW w:w="1701" w:type="dxa"/>
            <w:noWrap w:val="0"/>
            <w:vAlign w:val="center"/>
          </w:tcPr>
          <w:p>
            <w:pPr>
              <w:jc w:val="center"/>
              <w:rPr>
                <w:rFonts w:ascii="Times New Roman" w:hAnsi="Times New Roman"/>
              </w:rPr>
            </w:pPr>
            <w:bookmarkStart w:id="177" w:name="_Toc9944755"/>
            <w:bookmarkStart w:id="178" w:name="_Toc9945035"/>
            <w:bookmarkStart w:id="179" w:name="_Toc9945179"/>
            <w:bookmarkStart w:id="180" w:name="_Toc9945321"/>
            <w:bookmarkStart w:id="181" w:name="_Toc9945462"/>
            <w:r>
              <w:rPr>
                <w:rFonts w:ascii="Times New Roman" w:hAnsi="Times New Roman"/>
              </w:rPr>
              <w:t>12</w:t>
            </w:r>
            <w:bookmarkEnd w:id="177"/>
            <w:bookmarkEnd w:id="178"/>
            <w:bookmarkEnd w:id="179"/>
            <w:bookmarkEnd w:id="180"/>
            <w:bookmarkEnd w:id="181"/>
          </w:p>
        </w:tc>
        <w:tc>
          <w:tcPr>
            <w:tcW w:w="1318" w:type="dxa"/>
            <w:noWrap w:val="0"/>
            <w:vAlign w:val="center"/>
          </w:tcPr>
          <w:p>
            <w:pPr>
              <w:pStyle w:val="11"/>
              <w:spacing w:line="240" w:lineRule="auto"/>
              <w:jc w:val="center"/>
              <w:outlineLvl w:val="9"/>
              <w:rPr>
                <w:bCs/>
                <w:sz w:val="21"/>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noWrap w:val="0"/>
            <w:vAlign w:val="center"/>
          </w:tcPr>
          <w:p>
            <w:pPr>
              <w:pStyle w:val="11"/>
              <w:spacing w:line="240" w:lineRule="auto"/>
              <w:jc w:val="center"/>
              <w:outlineLvl w:val="9"/>
              <w:rPr>
                <w:bCs/>
                <w:sz w:val="21"/>
                <w:szCs w:val="21"/>
              </w:rPr>
            </w:pPr>
            <w:r>
              <w:rPr>
                <w:bCs/>
                <w:sz w:val="21"/>
                <w:szCs w:val="21"/>
              </w:rPr>
              <w:t>2</w:t>
            </w:r>
          </w:p>
        </w:tc>
        <w:tc>
          <w:tcPr>
            <w:tcW w:w="2226" w:type="dxa"/>
            <w:noWrap w:val="0"/>
            <w:vAlign w:val="center"/>
          </w:tcPr>
          <w:p>
            <w:pPr>
              <w:pStyle w:val="11"/>
              <w:spacing w:line="240" w:lineRule="auto"/>
              <w:jc w:val="left"/>
              <w:outlineLvl w:val="9"/>
              <w:rPr>
                <w:bCs/>
                <w:sz w:val="21"/>
                <w:szCs w:val="21"/>
              </w:rPr>
            </w:pPr>
            <w:r>
              <w:rPr>
                <w:bCs/>
                <w:sz w:val="21"/>
                <w:szCs w:val="21"/>
              </w:rPr>
              <w:t>不适宜开发地下空间</w:t>
            </w:r>
          </w:p>
        </w:tc>
        <w:tc>
          <w:tcPr>
            <w:tcW w:w="1984" w:type="dxa"/>
            <w:noWrap w:val="0"/>
            <w:vAlign w:val="center"/>
          </w:tcPr>
          <w:p>
            <w:pPr>
              <w:jc w:val="center"/>
              <w:rPr>
                <w:rFonts w:ascii="Times New Roman" w:hAnsi="Times New Roman"/>
                <w:i/>
              </w:rPr>
            </w:pPr>
            <w:r>
              <w:rPr>
                <w:rFonts w:ascii="Times New Roman" w:hAnsi="Times New Roman"/>
                <w:i/>
              </w:rPr>
              <w:t>---</w:t>
            </w:r>
          </w:p>
        </w:tc>
        <w:tc>
          <w:tcPr>
            <w:tcW w:w="1701" w:type="dxa"/>
            <w:noWrap w:val="0"/>
            <w:vAlign w:val="center"/>
          </w:tcPr>
          <w:p>
            <w:pPr>
              <w:jc w:val="center"/>
              <w:rPr>
                <w:rFonts w:ascii="Times New Roman" w:hAnsi="Times New Roman"/>
              </w:rPr>
            </w:pPr>
            <w:r>
              <w:rPr>
                <w:rFonts w:ascii="Times New Roman" w:hAnsi="Times New Roman"/>
              </w:rPr>
              <w:t>12</w:t>
            </w:r>
          </w:p>
        </w:tc>
        <w:tc>
          <w:tcPr>
            <w:tcW w:w="1318" w:type="dxa"/>
            <w:noWrap w:val="0"/>
            <w:vAlign w:val="center"/>
          </w:tcPr>
          <w:p>
            <w:pPr>
              <w:pStyle w:val="11"/>
              <w:spacing w:line="240" w:lineRule="auto"/>
              <w:jc w:val="center"/>
              <w:outlineLvl w:val="9"/>
              <w:rPr>
                <w:bCs/>
                <w:sz w:val="21"/>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919" w:type="dxa"/>
            <w:gridSpan w:val="3"/>
            <w:noWrap w:val="0"/>
            <w:vAlign w:val="center"/>
          </w:tcPr>
          <w:p>
            <w:pPr>
              <w:jc w:val="center"/>
              <w:rPr>
                <w:rFonts w:ascii="Times New Roman" w:hAnsi="Times New Roman"/>
                <w:i/>
              </w:rPr>
            </w:pPr>
            <w:r>
              <w:rPr>
                <w:rFonts w:ascii="Times New Roman" w:hAnsi="Times New Roman"/>
              </w:rPr>
              <w:t>合计</w:t>
            </w:r>
          </w:p>
        </w:tc>
        <w:tc>
          <w:tcPr>
            <w:tcW w:w="1701" w:type="dxa"/>
            <w:noWrap w:val="0"/>
            <w:vAlign w:val="center"/>
          </w:tcPr>
          <w:p>
            <w:pPr>
              <w:jc w:val="center"/>
              <w:rPr>
                <w:rFonts w:ascii="Times New Roman" w:hAnsi="Times New Roman"/>
              </w:rPr>
            </w:pPr>
            <w:r>
              <w:rPr>
                <w:rFonts w:hint="eastAsia" w:ascii="Times New Roman" w:hAnsi="Times New Roman"/>
              </w:rPr>
              <w:t>12</w:t>
            </w:r>
          </w:p>
        </w:tc>
        <w:tc>
          <w:tcPr>
            <w:tcW w:w="1318" w:type="dxa"/>
            <w:noWrap w:val="0"/>
            <w:vAlign w:val="center"/>
          </w:tcPr>
          <w:p>
            <w:pPr>
              <w:pStyle w:val="11"/>
              <w:spacing w:line="240" w:lineRule="auto"/>
              <w:jc w:val="center"/>
              <w:outlineLvl w:val="9"/>
              <w:rPr>
                <w:bCs/>
                <w:sz w:val="21"/>
                <w:szCs w:val="21"/>
              </w:rPr>
            </w:pPr>
            <w:r>
              <w:rPr>
                <w:rFonts w:hint="eastAsia"/>
                <w:kern w:val="0"/>
                <w:szCs w:val="21"/>
              </w:rPr>
              <w:t xml:space="preserve">  </w:t>
            </w:r>
          </w:p>
        </w:tc>
      </w:tr>
    </w:tbl>
    <w:p>
      <w:pPr>
        <w:spacing w:line="288" w:lineRule="auto"/>
        <w:rPr>
          <w:rFonts w:ascii="Times New Roman" w:hAnsi="Times New Roman"/>
        </w:rPr>
      </w:pPr>
      <w:r>
        <w:rPr>
          <w:rFonts w:hint="eastAsia" w:ascii="Times New Roman" w:hAnsi="Times New Roman"/>
        </w:rPr>
        <w:t>2）公共建筑</w:t>
      </w:r>
    </w:p>
    <w:tbl>
      <w:tblPr>
        <w:tblStyle w:val="7"/>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669"/>
        <w:gridCol w:w="1567"/>
        <w:gridCol w:w="170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82" w:type="dxa"/>
            <w:noWrap w:val="0"/>
            <w:vAlign w:val="center"/>
          </w:tcPr>
          <w:p>
            <w:pPr>
              <w:jc w:val="center"/>
              <w:rPr>
                <w:rFonts w:ascii="Times New Roman" w:hAnsi="Times New Roman"/>
                <w:b/>
              </w:rPr>
            </w:pPr>
            <w:r>
              <w:rPr>
                <w:rFonts w:ascii="Times New Roman" w:hAnsi="Times New Roman"/>
                <w:szCs w:val="21"/>
              </w:rPr>
              <w:t>序号</w:t>
            </w:r>
          </w:p>
        </w:tc>
        <w:tc>
          <w:tcPr>
            <w:tcW w:w="4236" w:type="dxa"/>
            <w:gridSpan w:val="2"/>
            <w:noWrap w:val="0"/>
            <w:vAlign w:val="center"/>
          </w:tcPr>
          <w:p>
            <w:pPr>
              <w:jc w:val="center"/>
              <w:rPr>
                <w:rFonts w:ascii="Times New Roman" w:hAnsi="Times New Roman"/>
                <w:b/>
              </w:rPr>
            </w:pPr>
            <w:r>
              <w:rPr>
                <w:rFonts w:ascii="Times New Roman" w:hAnsi="Times New Roman"/>
                <w:szCs w:val="21"/>
              </w:rPr>
              <w:t>评价内容</w:t>
            </w:r>
          </w:p>
        </w:tc>
        <w:tc>
          <w:tcPr>
            <w:tcW w:w="1701" w:type="dxa"/>
            <w:noWrap w:val="0"/>
            <w:vAlign w:val="center"/>
          </w:tcPr>
          <w:p>
            <w:pPr>
              <w:jc w:val="center"/>
              <w:rPr>
                <w:rFonts w:ascii="Times New Roman" w:hAnsi="Times New Roman"/>
                <w:b/>
              </w:rPr>
            </w:pPr>
            <w:r>
              <w:rPr>
                <w:rFonts w:ascii="Times New Roman" w:hAnsi="Times New Roman"/>
                <w:szCs w:val="21"/>
              </w:rPr>
              <w:t>评价分值</w:t>
            </w:r>
          </w:p>
        </w:tc>
        <w:tc>
          <w:tcPr>
            <w:tcW w:w="1316" w:type="dxa"/>
            <w:noWrap w:val="0"/>
            <w:vAlign w:val="center"/>
          </w:tcPr>
          <w:p>
            <w:pPr>
              <w:jc w:val="center"/>
              <w:rPr>
                <w:rFonts w:ascii="Times New Roman" w:hAnsi="Times New Roman"/>
                <w:b/>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82" w:type="dxa"/>
            <w:vMerge w:val="restart"/>
            <w:noWrap w:val="0"/>
            <w:vAlign w:val="center"/>
          </w:tcPr>
          <w:p>
            <w:pPr>
              <w:jc w:val="center"/>
              <w:rPr>
                <w:rFonts w:ascii="Times New Roman" w:hAnsi="Times New Roman"/>
              </w:rPr>
            </w:pPr>
            <w:r>
              <w:rPr>
                <w:rFonts w:ascii="Times New Roman" w:hAnsi="Times New Roman"/>
              </w:rPr>
              <w:t>1</w:t>
            </w:r>
          </w:p>
        </w:tc>
        <w:tc>
          <w:tcPr>
            <w:tcW w:w="2669" w:type="dxa"/>
            <w:vMerge w:val="restart"/>
            <w:noWrap w:val="0"/>
            <w:vAlign w:val="center"/>
          </w:tcPr>
          <w:p>
            <w:pPr>
              <w:jc w:val="left"/>
              <w:rPr>
                <w:rFonts w:ascii="Times New Roman" w:hAnsi="Times New Roman"/>
              </w:rPr>
            </w:pPr>
            <w:bookmarkStart w:id="182" w:name="_Toc9944757"/>
            <w:bookmarkStart w:id="183" w:name="_Toc9945037"/>
            <w:bookmarkStart w:id="184" w:name="_Toc9945181"/>
            <w:bookmarkStart w:id="185" w:name="_Toc9945323"/>
            <w:bookmarkStart w:id="186" w:name="_Toc9945464"/>
            <w:r>
              <w:rPr>
                <w:rFonts w:ascii="Times New Roman" w:hAnsi="Times New Roman"/>
              </w:rPr>
              <w:t>地下建筑面积与总用地面积之比</w:t>
            </w:r>
            <w:r>
              <w:rPr>
                <w:rFonts w:ascii="Times New Roman" w:hAnsi="Times New Roman"/>
                <w:i/>
              </w:rPr>
              <w:t>R</w:t>
            </w:r>
            <w:r>
              <w:rPr>
                <w:rFonts w:ascii="Times New Roman" w:hAnsi="Times New Roman"/>
              </w:rPr>
              <w:t>p</w:t>
            </w:r>
            <w:r>
              <w:rPr>
                <w:rFonts w:ascii="Times New Roman" w:hAnsi="Times New Roman"/>
                <w:vertAlign w:val="subscript"/>
              </w:rPr>
              <w:t>1</w:t>
            </w:r>
            <w:bookmarkEnd w:id="182"/>
            <w:bookmarkEnd w:id="183"/>
            <w:bookmarkEnd w:id="184"/>
            <w:bookmarkEnd w:id="185"/>
            <w:bookmarkEnd w:id="186"/>
          </w:p>
          <w:p>
            <w:pPr>
              <w:jc w:val="left"/>
              <w:rPr>
                <w:rFonts w:ascii="Times New Roman" w:hAnsi="Times New Roman"/>
              </w:rPr>
            </w:pPr>
            <w:bookmarkStart w:id="187" w:name="_Toc9944758"/>
            <w:bookmarkStart w:id="188" w:name="_Toc9945038"/>
            <w:bookmarkStart w:id="189" w:name="_Toc9945182"/>
            <w:bookmarkStart w:id="190" w:name="_Toc9945324"/>
            <w:bookmarkStart w:id="191" w:name="_Toc9945465"/>
            <w:r>
              <w:rPr>
                <w:rFonts w:ascii="Times New Roman" w:hAnsi="Times New Roman"/>
              </w:rPr>
              <w:t>地下一层建筑面积与总用地面积的比率</w:t>
            </w:r>
            <w:r>
              <w:rPr>
                <w:rFonts w:ascii="Times New Roman" w:hAnsi="Times New Roman"/>
                <w:i/>
              </w:rPr>
              <w:t>R</w:t>
            </w:r>
            <w:r>
              <w:rPr>
                <w:rFonts w:ascii="Times New Roman" w:hAnsi="Times New Roman"/>
              </w:rPr>
              <w:t>p</w:t>
            </w:r>
            <w:bookmarkEnd w:id="187"/>
            <w:bookmarkEnd w:id="188"/>
            <w:bookmarkEnd w:id="189"/>
            <w:bookmarkEnd w:id="190"/>
            <w:bookmarkEnd w:id="191"/>
          </w:p>
        </w:tc>
        <w:tc>
          <w:tcPr>
            <w:tcW w:w="1567" w:type="dxa"/>
            <w:noWrap w:val="0"/>
            <w:vAlign w:val="center"/>
          </w:tcPr>
          <w:p>
            <w:pPr>
              <w:jc w:val="center"/>
              <w:rPr>
                <w:rFonts w:ascii="Times New Roman" w:hAnsi="Times New Roman"/>
              </w:rPr>
            </w:pPr>
            <w:bookmarkStart w:id="192" w:name="_Toc9944759"/>
            <w:bookmarkStart w:id="193" w:name="_Toc9945039"/>
            <w:bookmarkStart w:id="194" w:name="_Toc9945183"/>
            <w:bookmarkStart w:id="195" w:name="_Toc9945325"/>
            <w:bookmarkStart w:id="196" w:name="_Toc9945466"/>
            <w:r>
              <w:rPr>
                <w:rFonts w:ascii="Times New Roman" w:hAnsi="Times New Roman"/>
                <w:i/>
              </w:rPr>
              <w:t>R</w:t>
            </w:r>
            <w:r>
              <w:rPr>
                <w:rFonts w:ascii="Times New Roman" w:hAnsi="Times New Roman"/>
              </w:rPr>
              <w:t>p</w:t>
            </w:r>
            <w:r>
              <w:rPr>
                <w:rFonts w:ascii="Times New Roman" w:hAnsi="Times New Roman"/>
                <w:vertAlign w:val="subscript"/>
              </w:rPr>
              <w:t>1</w:t>
            </w:r>
            <w:r>
              <w:rPr>
                <w:rFonts w:ascii="Times New Roman" w:hAnsi="Times New Roman"/>
              </w:rPr>
              <w:t>≥0.5</w:t>
            </w:r>
            <w:bookmarkEnd w:id="192"/>
            <w:bookmarkEnd w:id="193"/>
            <w:bookmarkEnd w:id="194"/>
            <w:bookmarkEnd w:id="195"/>
            <w:bookmarkEnd w:id="196"/>
          </w:p>
        </w:tc>
        <w:tc>
          <w:tcPr>
            <w:tcW w:w="1701" w:type="dxa"/>
            <w:noWrap w:val="0"/>
            <w:vAlign w:val="center"/>
          </w:tcPr>
          <w:p>
            <w:pPr>
              <w:jc w:val="center"/>
              <w:rPr>
                <w:rFonts w:ascii="Times New Roman" w:hAnsi="Times New Roman"/>
              </w:rPr>
            </w:pPr>
            <w:bookmarkStart w:id="197" w:name="_Toc9944760"/>
            <w:bookmarkStart w:id="198" w:name="_Toc9945040"/>
            <w:bookmarkStart w:id="199" w:name="_Toc9945184"/>
            <w:bookmarkStart w:id="200" w:name="_Toc9945326"/>
            <w:bookmarkStart w:id="201" w:name="_Toc9945467"/>
            <w:r>
              <w:rPr>
                <w:rFonts w:ascii="Times New Roman" w:hAnsi="Times New Roman"/>
              </w:rPr>
              <w:t>5</w:t>
            </w:r>
            <w:bookmarkEnd w:id="197"/>
            <w:bookmarkEnd w:id="198"/>
            <w:bookmarkEnd w:id="199"/>
            <w:bookmarkEnd w:id="200"/>
            <w:bookmarkEnd w:id="201"/>
          </w:p>
        </w:tc>
        <w:tc>
          <w:tcPr>
            <w:tcW w:w="1316" w:type="dxa"/>
            <w:noWrap w:val="0"/>
            <w:vAlign w:val="center"/>
          </w:tcPr>
          <w:p>
            <w:pPr>
              <w:pStyle w:val="11"/>
              <w:spacing w:line="240" w:lineRule="auto"/>
              <w:jc w:val="center"/>
              <w:outlineLvl w:val="9"/>
              <w:rPr>
                <w:bCs/>
                <w:sz w:val="21"/>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5" w:hRule="atLeast"/>
          <w:jc w:val="center"/>
        </w:trPr>
        <w:tc>
          <w:tcPr>
            <w:tcW w:w="682" w:type="dxa"/>
            <w:vMerge w:val="continue"/>
            <w:noWrap w:val="0"/>
            <w:vAlign w:val="center"/>
          </w:tcPr>
          <w:p>
            <w:pPr>
              <w:pStyle w:val="11"/>
              <w:spacing w:line="240" w:lineRule="auto"/>
              <w:jc w:val="center"/>
              <w:outlineLvl w:val="9"/>
              <w:rPr>
                <w:bCs/>
                <w:i/>
                <w:sz w:val="21"/>
                <w:szCs w:val="21"/>
              </w:rPr>
            </w:pPr>
          </w:p>
        </w:tc>
        <w:tc>
          <w:tcPr>
            <w:tcW w:w="2669" w:type="dxa"/>
            <w:vMerge w:val="continue"/>
            <w:noWrap w:val="0"/>
            <w:vAlign w:val="center"/>
          </w:tcPr>
          <w:p>
            <w:pPr>
              <w:pStyle w:val="11"/>
              <w:spacing w:line="240" w:lineRule="auto"/>
              <w:jc w:val="left"/>
              <w:outlineLvl w:val="9"/>
              <w:rPr>
                <w:bCs/>
                <w:i/>
                <w:sz w:val="21"/>
                <w:szCs w:val="21"/>
              </w:rPr>
            </w:pPr>
          </w:p>
        </w:tc>
        <w:tc>
          <w:tcPr>
            <w:tcW w:w="1567" w:type="dxa"/>
            <w:noWrap w:val="0"/>
            <w:vAlign w:val="center"/>
          </w:tcPr>
          <w:p>
            <w:pPr>
              <w:jc w:val="center"/>
              <w:rPr>
                <w:rFonts w:ascii="Times New Roman" w:hAnsi="Times New Roman"/>
              </w:rPr>
            </w:pPr>
            <w:bookmarkStart w:id="202" w:name="_Toc9944761"/>
            <w:bookmarkStart w:id="203" w:name="_Toc9945041"/>
            <w:bookmarkStart w:id="204" w:name="_Toc9945185"/>
            <w:bookmarkStart w:id="205" w:name="_Toc9945327"/>
            <w:bookmarkStart w:id="206" w:name="_Toc9945468"/>
            <w:r>
              <w:rPr>
                <w:rFonts w:ascii="Times New Roman" w:hAnsi="Times New Roman"/>
                <w:i/>
              </w:rPr>
              <w:t>R</w:t>
            </w:r>
            <w:r>
              <w:rPr>
                <w:rFonts w:ascii="Times New Roman" w:hAnsi="Times New Roman"/>
              </w:rPr>
              <w:t>p</w:t>
            </w:r>
            <w:r>
              <w:rPr>
                <w:rFonts w:ascii="Times New Roman" w:hAnsi="Times New Roman"/>
                <w:vertAlign w:val="subscript"/>
              </w:rPr>
              <w:t>1</w:t>
            </w:r>
            <w:r>
              <w:rPr>
                <w:rFonts w:ascii="Times New Roman" w:hAnsi="Times New Roman"/>
              </w:rPr>
              <w:t>≥0.7且</w:t>
            </w:r>
          </w:p>
          <w:p>
            <w:pPr>
              <w:jc w:val="center"/>
              <w:rPr>
                <w:rFonts w:ascii="Times New Roman" w:hAnsi="Times New Roman"/>
              </w:rPr>
            </w:pPr>
            <w:r>
              <w:rPr>
                <w:rFonts w:ascii="Times New Roman" w:hAnsi="Times New Roman"/>
                <w:i/>
              </w:rPr>
              <w:t>R</w:t>
            </w:r>
            <w:r>
              <w:rPr>
                <w:rFonts w:ascii="Times New Roman" w:hAnsi="Times New Roman"/>
              </w:rPr>
              <w:t>p＜70%</w:t>
            </w:r>
            <w:bookmarkEnd w:id="202"/>
            <w:bookmarkEnd w:id="203"/>
            <w:bookmarkEnd w:id="204"/>
            <w:bookmarkEnd w:id="205"/>
            <w:bookmarkEnd w:id="206"/>
          </w:p>
        </w:tc>
        <w:tc>
          <w:tcPr>
            <w:tcW w:w="1701" w:type="dxa"/>
            <w:noWrap w:val="0"/>
            <w:vAlign w:val="center"/>
          </w:tcPr>
          <w:p>
            <w:pPr>
              <w:jc w:val="center"/>
              <w:rPr>
                <w:rFonts w:ascii="Times New Roman" w:hAnsi="Times New Roman"/>
              </w:rPr>
            </w:pPr>
            <w:bookmarkStart w:id="207" w:name="_Toc9944762"/>
            <w:bookmarkStart w:id="208" w:name="_Toc9945042"/>
            <w:bookmarkStart w:id="209" w:name="_Toc9945186"/>
            <w:bookmarkStart w:id="210" w:name="_Toc9945328"/>
            <w:bookmarkStart w:id="211" w:name="_Toc9945469"/>
            <w:r>
              <w:rPr>
                <w:rFonts w:ascii="Times New Roman" w:hAnsi="Times New Roman"/>
              </w:rPr>
              <w:t>7</w:t>
            </w:r>
            <w:bookmarkEnd w:id="207"/>
            <w:bookmarkEnd w:id="208"/>
            <w:bookmarkEnd w:id="209"/>
            <w:bookmarkEnd w:id="210"/>
            <w:bookmarkEnd w:id="211"/>
          </w:p>
        </w:tc>
        <w:tc>
          <w:tcPr>
            <w:tcW w:w="1316" w:type="dxa"/>
            <w:noWrap w:val="0"/>
            <w:vAlign w:val="center"/>
          </w:tcPr>
          <w:p>
            <w:pPr>
              <w:pStyle w:val="11"/>
              <w:spacing w:line="240" w:lineRule="auto"/>
              <w:jc w:val="center"/>
              <w:outlineLvl w:val="9"/>
              <w:rPr>
                <w:bCs/>
                <w:sz w:val="21"/>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5" w:hRule="atLeast"/>
          <w:jc w:val="center"/>
        </w:trPr>
        <w:tc>
          <w:tcPr>
            <w:tcW w:w="682" w:type="dxa"/>
            <w:vMerge w:val="continue"/>
            <w:noWrap w:val="0"/>
            <w:vAlign w:val="center"/>
          </w:tcPr>
          <w:p>
            <w:pPr>
              <w:pStyle w:val="11"/>
              <w:spacing w:line="240" w:lineRule="auto"/>
              <w:jc w:val="center"/>
              <w:outlineLvl w:val="9"/>
              <w:rPr>
                <w:bCs/>
                <w:i/>
                <w:sz w:val="21"/>
                <w:szCs w:val="21"/>
              </w:rPr>
            </w:pPr>
          </w:p>
        </w:tc>
        <w:tc>
          <w:tcPr>
            <w:tcW w:w="2669" w:type="dxa"/>
            <w:vMerge w:val="continue"/>
            <w:noWrap w:val="0"/>
            <w:vAlign w:val="center"/>
          </w:tcPr>
          <w:p>
            <w:pPr>
              <w:pStyle w:val="11"/>
              <w:spacing w:line="240" w:lineRule="auto"/>
              <w:jc w:val="left"/>
              <w:outlineLvl w:val="9"/>
              <w:rPr>
                <w:bCs/>
                <w:i/>
                <w:sz w:val="21"/>
                <w:szCs w:val="21"/>
              </w:rPr>
            </w:pPr>
          </w:p>
        </w:tc>
        <w:tc>
          <w:tcPr>
            <w:tcW w:w="1567" w:type="dxa"/>
            <w:noWrap w:val="0"/>
            <w:vAlign w:val="center"/>
          </w:tcPr>
          <w:p>
            <w:pPr>
              <w:jc w:val="center"/>
              <w:rPr>
                <w:rFonts w:ascii="Times New Roman" w:hAnsi="Times New Roman"/>
              </w:rPr>
            </w:pPr>
            <w:bookmarkStart w:id="212" w:name="_Toc9944763"/>
            <w:bookmarkStart w:id="213" w:name="_Toc9945043"/>
            <w:bookmarkStart w:id="214" w:name="_Toc9945187"/>
            <w:bookmarkStart w:id="215" w:name="_Toc9945329"/>
            <w:bookmarkStart w:id="216" w:name="_Toc9945470"/>
            <w:r>
              <w:rPr>
                <w:rFonts w:ascii="Times New Roman" w:hAnsi="Times New Roman"/>
                <w:i/>
              </w:rPr>
              <w:t>R</w:t>
            </w:r>
            <w:r>
              <w:rPr>
                <w:rFonts w:ascii="Times New Roman" w:hAnsi="Times New Roman"/>
              </w:rPr>
              <w:t>p</w:t>
            </w:r>
            <w:r>
              <w:rPr>
                <w:rFonts w:ascii="Times New Roman" w:hAnsi="Times New Roman"/>
                <w:vertAlign w:val="subscript"/>
              </w:rPr>
              <w:t>1</w:t>
            </w:r>
            <w:r>
              <w:rPr>
                <w:rFonts w:ascii="Times New Roman" w:hAnsi="Times New Roman"/>
              </w:rPr>
              <w:t>≥1.0且</w:t>
            </w:r>
          </w:p>
          <w:p>
            <w:pPr>
              <w:jc w:val="center"/>
              <w:rPr>
                <w:rFonts w:ascii="Times New Roman" w:hAnsi="Times New Roman"/>
                <w:i/>
              </w:rPr>
            </w:pPr>
            <w:r>
              <w:rPr>
                <w:rFonts w:ascii="Times New Roman" w:hAnsi="Times New Roman"/>
                <w:i/>
              </w:rPr>
              <w:t>R</w:t>
            </w:r>
            <w:r>
              <w:rPr>
                <w:rFonts w:ascii="Times New Roman" w:hAnsi="Times New Roman"/>
              </w:rPr>
              <w:t>p＜60%</w:t>
            </w:r>
            <w:bookmarkEnd w:id="212"/>
            <w:bookmarkEnd w:id="213"/>
            <w:bookmarkEnd w:id="214"/>
            <w:bookmarkEnd w:id="215"/>
            <w:bookmarkEnd w:id="216"/>
          </w:p>
        </w:tc>
        <w:tc>
          <w:tcPr>
            <w:tcW w:w="1701" w:type="dxa"/>
            <w:noWrap w:val="0"/>
            <w:vAlign w:val="center"/>
          </w:tcPr>
          <w:p>
            <w:pPr>
              <w:jc w:val="center"/>
              <w:rPr>
                <w:rFonts w:ascii="Times New Roman" w:hAnsi="Times New Roman"/>
              </w:rPr>
            </w:pPr>
            <w:bookmarkStart w:id="217" w:name="_Toc9944764"/>
            <w:bookmarkStart w:id="218" w:name="_Toc9945044"/>
            <w:bookmarkStart w:id="219" w:name="_Toc9945188"/>
            <w:bookmarkStart w:id="220" w:name="_Toc9945330"/>
            <w:bookmarkStart w:id="221" w:name="_Toc9945471"/>
            <w:r>
              <w:rPr>
                <w:rFonts w:ascii="Times New Roman" w:hAnsi="Times New Roman"/>
              </w:rPr>
              <w:t>12</w:t>
            </w:r>
            <w:bookmarkEnd w:id="217"/>
            <w:bookmarkEnd w:id="218"/>
            <w:bookmarkEnd w:id="219"/>
            <w:bookmarkEnd w:id="220"/>
            <w:bookmarkEnd w:id="221"/>
          </w:p>
        </w:tc>
        <w:tc>
          <w:tcPr>
            <w:tcW w:w="1316" w:type="dxa"/>
            <w:noWrap w:val="0"/>
            <w:vAlign w:val="center"/>
          </w:tcPr>
          <w:p>
            <w:pPr>
              <w:pStyle w:val="11"/>
              <w:spacing w:line="240" w:lineRule="auto"/>
              <w:jc w:val="center"/>
              <w:outlineLvl w:val="9"/>
              <w:rPr>
                <w:bCs/>
                <w:sz w:val="21"/>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5" w:hRule="atLeast"/>
          <w:jc w:val="center"/>
        </w:trPr>
        <w:tc>
          <w:tcPr>
            <w:tcW w:w="682" w:type="dxa"/>
            <w:noWrap w:val="0"/>
            <w:vAlign w:val="center"/>
          </w:tcPr>
          <w:p>
            <w:pPr>
              <w:pStyle w:val="11"/>
              <w:spacing w:line="240" w:lineRule="auto"/>
              <w:jc w:val="center"/>
              <w:outlineLvl w:val="9"/>
              <w:rPr>
                <w:bCs/>
                <w:sz w:val="21"/>
                <w:szCs w:val="21"/>
              </w:rPr>
            </w:pPr>
            <w:r>
              <w:rPr>
                <w:bCs/>
                <w:sz w:val="21"/>
                <w:szCs w:val="21"/>
              </w:rPr>
              <w:t>2</w:t>
            </w:r>
          </w:p>
        </w:tc>
        <w:tc>
          <w:tcPr>
            <w:tcW w:w="2669" w:type="dxa"/>
            <w:noWrap w:val="0"/>
            <w:vAlign w:val="center"/>
          </w:tcPr>
          <w:p>
            <w:pPr>
              <w:pStyle w:val="11"/>
              <w:spacing w:line="240" w:lineRule="auto"/>
              <w:jc w:val="left"/>
              <w:outlineLvl w:val="9"/>
              <w:rPr>
                <w:bCs/>
                <w:i/>
                <w:sz w:val="21"/>
                <w:szCs w:val="21"/>
              </w:rPr>
            </w:pPr>
            <w:r>
              <w:rPr>
                <w:bCs/>
                <w:sz w:val="21"/>
                <w:szCs w:val="21"/>
              </w:rPr>
              <w:t>不适宜开发地下空间</w:t>
            </w:r>
          </w:p>
        </w:tc>
        <w:tc>
          <w:tcPr>
            <w:tcW w:w="1567" w:type="dxa"/>
            <w:noWrap w:val="0"/>
            <w:vAlign w:val="center"/>
          </w:tcPr>
          <w:p>
            <w:pPr>
              <w:jc w:val="center"/>
              <w:rPr>
                <w:rFonts w:ascii="Times New Roman" w:hAnsi="Times New Roman"/>
                <w:i/>
              </w:rPr>
            </w:pPr>
            <w:r>
              <w:rPr>
                <w:rFonts w:ascii="Times New Roman" w:hAnsi="Times New Roman"/>
                <w:i/>
              </w:rPr>
              <w:t>---</w:t>
            </w:r>
          </w:p>
        </w:tc>
        <w:tc>
          <w:tcPr>
            <w:tcW w:w="1701" w:type="dxa"/>
            <w:noWrap w:val="0"/>
            <w:vAlign w:val="center"/>
          </w:tcPr>
          <w:p>
            <w:pPr>
              <w:jc w:val="center"/>
              <w:rPr>
                <w:rFonts w:ascii="Times New Roman" w:hAnsi="Times New Roman"/>
              </w:rPr>
            </w:pPr>
            <w:r>
              <w:rPr>
                <w:rFonts w:ascii="Times New Roman" w:hAnsi="Times New Roman"/>
              </w:rPr>
              <w:t>12</w:t>
            </w:r>
          </w:p>
        </w:tc>
        <w:tc>
          <w:tcPr>
            <w:tcW w:w="1316" w:type="dxa"/>
            <w:noWrap w:val="0"/>
            <w:vAlign w:val="center"/>
          </w:tcPr>
          <w:p>
            <w:pPr>
              <w:pStyle w:val="11"/>
              <w:spacing w:line="240" w:lineRule="auto"/>
              <w:jc w:val="center"/>
              <w:outlineLvl w:val="9"/>
              <w:rPr>
                <w:bCs/>
                <w:sz w:val="21"/>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5" w:hRule="atLeast"/>
          <w:jc w:val="center"/>
        </w:trPr>
        <w:tc>
          <w:tcPr>
            <w:tcW w:w="4918" w:type="dxa"/>
            <w:gridSpan w:val="3"/>
            <w:noWrap w:val="0"/>
            <w:vAlign w:val="center"/>
          </w:tcPr>
          <w:p>
            <w:pPr>
              <w:jc w:val="center"/>
              <w:rPr>
                <w:rFonts w:ascii="Times New Roman" w:hAnsi="Times New Roman"/>
                <w:i/>
              </w:rPr>
            </w:pPr>
            <w:r>
              <w:rPr>
                <w:rFonts w:ascii="Times New Roman" w:hAnsi="Times New Roman"/>
              </w:rPr>
              <w:t>合计</w:t>
            </w:r>
          </w:p>
        </w:tc>
        <w:tc>
          <w:tcPr>
            <w:tcW w:w="1701" w:type="dxa"/>
            <w:noWrap w:val="0"/>
            <w:vAlign w:val="center"/>
          </w:tcPr>
          <w:p>
            <w:pPr>
              <w:jc w:val="center"/>
              <w:rPr>
                <w:rFonts w:ascii="Times New Roman" w:hAnsi="Times New Roman"/>
              </w:rPr>
            </w:pPr>
            <w:r>
              <w:rPr>
                <w:rFonts w:hint="eastAsia" w:ascii="Times New Roman" w:hAnsi="Times New Roman"/>
              </w:rPr>
              <w:t>12</w:t>
            </w:r>
          </w:p>
        </w:tc>
        <w:tc>
          <w:tcPr>
            <w:tcW w:w="1316" w:type="dxa"/>
            <w:noWrap w:val="0"/>
            <w:vAlign w:val="center"/>
          </w:tcPr>
          <w:p>
            <w:pPr>
              <w:pStyle w:val="11"/>
              <w:spacing w:line="240" w:lineRule="auto"/>
              <w:jc w:val="center"/>
              <w:outlineLvl w:val="9"/>
              <w:rPr>
                <w:bCs/>
                <w:sz w:val="21"/>
                <w:szCs w:val="21"/>
              </w:rPr>
            </w:pPr>
            <w:r>
              <w:rPr>
                <w:rFonts w:hint="eastAsia"/>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u w:val="single"/>
        </w:rPr>
      </w:pPr>
      <w:r>
        <w:rPr>
          <w:rFonts w:ascii="Times New Roman" w:hAnsi="Times New Roman"/>
        </w:rPr>
        <w:t>地下空间主要功能为：</w:t>
      </w:r>
      <w:r>
        <w:rPr>
          <w:rFonts w:ascii="Times New Roman" w:hAnsi="Times New Roman"/>
          <w:u w:val="single"/>
        </w:rPr>
        <w:t xml:space="preserve">         </w:t>
      </w:r>
    </w:p>
    <w:p>
      <w:pPr>
        <w:rPr>
          <w:rFonts w:ascii="Times New Roman" w:hAnsi="Times New Roman"/>
        </w:rPr>
      </w:pPr>
      <w:r>
        <w:rPr>
          <w:rFonts w:ascii="Times New Roman" w:hAnsi="Times New Roman"/>
        </w:rPr>
        <w:t>地上建筑面积：</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，地下建筑面积：</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p>
    <w:p>
      <w:pPr>
        <w:rPr>
          <w:rFonts w:ascii="Times New Roman" w:hAnsi="Times New Roman"/>
        </w:rPr>
      </w:pPr>
      <w:r>
        <w:rPr>
          <w:rFonts w:ascii="Times New Roman" w:hAnsi="Times New Roman"/>
        </w:rPr>
        <w:t>地下一层建筑面积：</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，总用地面积：</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p>
    <w:p>
      <w:pPr>
        <w:rPr>
          <w:rFonts w:ascii="Times New Roman" w:hAnsi="Times New Roman"/>
        </w:rPr>
      </w:pPr>
      <w:r>
        <w:rPr>
          <w:rFonts w:ascii="Times New Roman" w:hAnsi="Times New Roman"/>
        </w:rPr>
        <w:t>地下建筑面积与地上建筑面积的比率</w:t>
      </w:r>
      <w:r>
        <w:rPr>
          <w:rFonts w:ascii="Times New Roman" w:hAnsi="Times New Roman"/>
          <w:i/>
        </w:rPr>
        <w:t>Rr</w:t>
      </w:r>
      <w:r>
        <w:rPr>
          <w:rFonts w:ascii="Times New Roman" w:hAnsi="Times New Roman"/>
        </w:rPr>
        <w:t>为：</w:t>
      </w:r>
      <w:r>
        <w:rPr>
          <w:rFonts w:ascii="Times New Roman" w:hAnsi="Times New Roman"/>
          <w:u w:val="single"/>
        </w:rPr>
        <w:t xml:space="preserve">     </w:t>
      </w:r>
      <w:r>
        <w:rPr>
          <w:rFonts w:ascii="Times New Roman" w:hAnsi="Times New Roman"/>
        </w:rPr>
        <w:t>%</w:t>
      </w:r>
    </w:p>
    <w:p>
      <w:pPr>
        <w:rPr>
          <w:rFonts w:ascii="Times New Roman" w:hAnsi="Times New Roman"/>
        </w:rPr>
      </w:pPr>
      <w:r>
        <w:rPr>
          <w:rFonts w:ascii="Times New Roman" w:hAnsi="Times New Roman"/>
        </w:rPr>
        <w:t>地下建筑面积与总用地面积的比率</w:t>
      </w:r>
      <w:r>
        <w:rPr>
          <w:rFonts w:ascii="Times New Roman" w:hAnsi="Times New Roman"/>
          <w:i/>
        </w:rPr>
        <w:t>Rp1</w:t>
      </w:r>
      <w:r>
        <w:rPr>
          <w:rFonts w:ascii="Times New Roman" w:hAnsi="Times New Roman"/>
        </w:rPr>
        <w:t>为：</w:t>
      </w:r>
      <w:r>
        <w:rPr>
          <w:rStyle w:val="17"/>
          <w:rFonts w:hint="eastAsia"/>
        </w:rPr>
        <w:t xml:space="preserve"> </w:t>
      </w:r>
      <w:r>
        <w:rPr>
          <w:rFonts w:ascii="Times New Roman" w:hAnsi="Times New Roman"/>
          <w:u w:val="single"/>
        </w:rPr>
        <w:t xml:space="preserve">     </w:t>
      </w:r>
      <w:r>
        <w:rPr>
          <w:rFonts w:ascii="Times New Roman" w:hAnsi="Times New Roman"/>
        </w:rPr>
        <w:t>%</w:t>
      </w:r>
    </w:p>
    <w:p>
      <w:pPr>
        <w:rPr>
          <w:rFonts w:ascii="Times New Roman" w:hAnsi="Times New Roman"/>
        </w:rPr>
      </w:pPr>
      <w:r>
        <w:rPr>
          <w:rFonts w:ascii="Times New Roman" w:hAnsi="Times New Roman"/>
        </w:rPr>
        <w:t>地下一层建筑面积与总用地面积的比率</w:t>
      </w:r>
      <w:r>
        <w:rPr>
          <w:rFonts w:ascii="Times New Roman" w:hAnsi="Times New Roman"/>
          <w:i/>
        </w:rPr>
        <w:t>Rp</w:t>
      </w:r>
      <w:r>
        <w:rPr>
          <w:rFonts w:ascii="Times New Roman" w:hAnsi="Times New Roman"/>
        </w:rPr>
        <w:t>为：</w:t>
      </w:r>
      <w:r>
        <w:rPr>
          <w:rFonts w:ascii="Times New Roman" w:hAnsi="Times New Roman"/>
          <w:u w:val="single"/>
        </w:rPr>
        <w:t xml:space="preserve">   </w:t>
      </w:r>
      <w:r>
        <w:rPr>
          <w:rFonts w:ascii="Times New Roman" w:hAnsi="Times New Roman"/>
        </w:rPr>
        <w:t xml:space="preserve">%  </w:t>
      </w:r>
    </w:p>
    <w:p>
      <w:pPr>
        <w:rPr>
          <w:rFonts w:ascii="Times New Roman" w:hAnsi="Times New Roman"/>
          <w:szCs w:val="21"/>
        </w:rPr>
      </w:pPr>
      <w:r>
        <w:rPr>
          <w:rFonts w:ascii="Times New Roman" w:hAnsi="Times New Roman"/>
        </w:rPr>
        <w:t>请简要说明地下空间开发利用情况。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主楼地下为工具间，场区内绿地地下为机动车库，方便居民出行、节约土地资源。</w:t>
            </w:r>
          </w:p>
          <w:p>
            <w:pPr>
              <w:ind w:firstLine="400" w:firstLineChars="200"/>
              <w:rPr>
                <w:rFonts w:ascii="Times New Roman" w:hAnsi="Times New Roman"/>
                <w:kern w:val="0"/>
                <w:sz w:val="20"/>
                <w:szCs w:val="21"/>
              </w:rPr>
            </w:pPr>
            <w:r>
              <w:rPr>
                <w:rFonts w:hint="eastAsia" w:ascii="Times New Roman" w:hAnsi="Times New Roman"/>
                <w:kern w:val="0"/>
                <w:sz w:val="20"/>
                <w:szCs w:val="21"/>
              </w:rPr>
              <w:t>地下室为车库和水电设备用房，风雨操场。</w:t>
            </w:r>
          </w:p>
          <w:p>
            <w:pPr>
              <w:ind w:firstLine="400" w:firstLineChars="200"/>
              <w:rPr>
                <w:rFonts w:ascii="Times New Roman" w:hAnsi="Times New Roman"/>
                <w:kern w:val="0"/>
                <w:sz w:val="20"/>
                <w:szCs w:val="21"/>
              </w:rPr>
            </w:pPr>
            <w:r>
              <w:rPr>
                <w:rFonts w:hint="eastAsia" w:ascii="Times New Roman" w:hAnsi="Times New Roman"/>
                <w:kern w:val="0"/>
                <w:sz w:val="20"/>
                <w:szCs w:val="21"/>
              </w:rPr>
              <w:t>地下设备用房、变电室、消防水池泵房、生活水泵房等设备用房。</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ascii="Times New Roman" w:hAnsi="Times New Roman"/>
        </w:rPr>
        <w:t>1</w:t>
      </w:r>
      <w:r>
        <w:rPr>
          <w:rFonts w:hint="eastAsia" w:ascii="Times New Roman" w:hAnsi="Times New Roman"/>
        </w:rPr>
        <w:t>）建筑竣工图及设计说明；</w:t>
      </w:r>
    </w:p>
    <w:p>
      <w:pPr>
        <w:rPr>
          <w:rFonts w:ascii="Times New Roman" w:hAnsi="Times New Roman"/>
        </w:rPr>
      </w:pPr>
      <w:r>
        <w:rPr>
          <w:rFonts w:hint="eastAsia" w:ascii="Times New Roman" w:hAnsi="Times New Roman"/>
        </w:rPr>
        <w:t>2）地下空间利用计算书；</w:t>
      </w:r>
    </w:p>
    <w:p>
      <w:r>
        <w:rPr>
          <w:rFonts w:hint="eastAsia" w:ascii="Times New Roman" w:hAnsi="Times New Roman"/>
        </w:rPr>
        <w:t>3）不适宜开发利用地下空间的论证报告。</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7.2.3采用机械式停车设施、地下停车库或地面停车楼等方式。（</w:t>
      </w:r>
      <w:r>
        <w:rPr>
          <w:sz w:val="24"/>
          <w:szCs w:val="40"/>
        </w:rPr>
        <w:t>8</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4394"/>
        <w:gridCol w:w="155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93" w:type="dxa"/>
            <w:noWrap w:val="0"/>
            <w:vAlign w:val="center"/>
          </w:tcPr>
          <w:p>
            <w:pPr>
              <w:pStyle w:val="10"/>
              <w:ind w:firstLine="0" w:firstLineChars="0"/>
              <w:jc w:val="center"/>
              <w:rPr>
                <w:b/>
              </w:rPr>
            </w:pPr>
            <w:r>
              <w:rPr>
                <w:szCs w:val="21"/>
              </w:rPr>
              <w:t>序号</w:t>
            </w:r>
          </w:p>
        </w:tc>
        <w:tc>
          <w:tcPr>
            <w:tcW w:w="4394" w:type="dxa"/>
            <w:noWrap w:val="0"/>
            <w:vAlign w:val="center"/>
          </w:tcPr>
          <w:p>
            <w:pPr>
              <w:pStyle w:val="10"/>
              <w:ind w:firstLine="0" w:firstLineChars="0"/>
              <w:jc w:val="center"/>
              <w:rPr>
                <w:b/>
              </w:rPr>
            </w:pPr>
            <w:r>
              <w:rPr>
                <w:szCs w:val="21"/>
              </w:rPr>
              <w:t>评价内容</w:t>
            </w:r>
          </w:p>
        </w:tc>
        <w:tc>
          <w:tcPr>
            <w:tcW w:w="1559" w:type="dxa"/>
            <w:noWrap w:val="0"/>
            <w:vAlign w:val="center"/>
          </w:tcPr>
          <w:p>
            <w:pPr>
              <w:pStyle w:val="10"/>
              <w:ind w:firstLine="0" w:firstLineChars="0"/>
              <w:jc w:val="center"/>
              <w:rPr>
                <w:b/>
              </w:rPr>
            </w:pPr>
            <w:r>
              <w:rPr>
                <w:szCs w:val="21"/>
              </w:rPr>
              <w:t>评价分值</w:t>
            </w:r>
          </w:p>
        </w:tc>
        <w:tc>
          <w:tcPr>
            <w:tcW w:w="1343" w:type="dxa"/>
            <w:noWrap w:val="0"/>
            <w:vAlign w:val="center"/>
          </w:tcPr>
          <w:p>
            <w:pPr>
              <w:pStyle w:val="10"/>
              <w:ind w:firstLine="0" w:firstLineChars="0"/>
              <w:jc w:val="center"/>
              <w:rPr>
                <w:b/>
              </w:rPr>
            </w:pPr>
            <w:r>
              <w:rPr>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93" w:type="dxa"/>
            <w:noWrap w:val="0"/>
            <w:vAlign w:val="center"/>
          </w:tcPr>
          <w:p>
            <w:pPr>
              <w:pStyle w:val="10"/>
              <w:ind w:firstLine="0" w:firstLineChars="0"/>
              <w:jc w:val="center"/>
            </w:pPr>
            <w:r>
              <w:rPr>
                <w:rFonts w:hint="eastAsia"/>
              </w:rPr>
              <w:t>1</w:t>
            </w:r>
          </w:p>
        </w:tc>
        <w:tc>
          <w:tcPr>
            <w:tcW w:w="4394" w:type="dxa"/>
            <w:noWrap w:val="0"/>
            <w:vAlign w:val="center"/>
          </w:tcPr>
          <w:p>
            <w:pPr>
              <w:pStyle w:val="10"/>
              <w:ind w:firstLine="0" w:firstLineChars="0"/>
              <w:jc w:val="left"/>
            </w:pPr>
            <w:r>
              <w:rPr>
                <w:rFonts w:hint="eastAsia"/>
              </w:rPr>
              <w:t>住宅建筑</w:t>
            </w:r>
            <w:r>
              <w:t>地面停车位数量与住宅总套数的比率小于</w:t>
            </w:r>
            <w:r>
              <w:rPr>
                <w:rFonts w:hint="eastAsia"/>
              </w:rPr>
              <w:t>10</w:t>
            </w:r>
            <w:r>
              <w:t>%</w:t>
            </w:r>
          </w:p>
        </w:tc>
        <w:tc>
          <w:tcPr>
            <w:tcW w:w="1559" w:type="dxa"/>
            <w:noWrap w:val="0"/>
            <w:vAlign w:val="center"/>
          </w:tcPr>
          <w:p>
            <w:pPr>
              <w:pStyle w:val="10"/>
              <w:ind w:firstLine="0" w:firstLineChars="0"/>
              <w:jc w:val="center"/>
            </w:pPr>
            <w:r>
              <w:t>8</w:t>
            </w:r>
          </w:p>
        </w:tc>
        <w:tc>
          <w:tcPr>
            <w:tcW w:w="1343" w:type="dxa"/>
            <w:noWrap w:val="0"/>
            <w:vAlign w:val="center"/>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93" w:type="dxa"/>
            <w:noWrap w:val="0"/>
            <w:vAlign w:val="center"/>
          </w:tcPr>
          <w:p>
            <w:pPr>
              <w:pStyle w:val="10"/>
              <w:ind w:firstLine="0" w:firstLineChars="0"/>
              <w:jc w:val="center"/>
            </w:pPr>
            <w:r>
              <w:rPr>
                <w:rFonts w:hint="eastAsia"/>
              </w:rPr>
              <w:t>2</w:t>
            </w:r>
          </w:p>
        </w:tc>
        <w:tc>
          <w:tcPr>
            <w:tcW w:w="4394" w:type="dxa"/>
            <w:noWrap w:val="0"/>
            <w:vAlign w:val="center"/>
          </w:tcPr>
          <w:p>
            <w:pPr>
              <w:pStyle w:val="10"/>
              <w:ind w:firstLine="0" w:firstLineChars="0"/>
              <w:jc w:val="left"/>
            </w:pPr>
            <w:r>
              <w:rPr>
                <w:rFonts w:hint="eastAsia"/>
              </w:rPr>
              <w:t>公共</w:t>
            </w:r>
            <w:r>
              <w:t>建筑地面停车占地面积与其总建设用地面积的比率小于</w:t>
            </w:r>
            <w:r>
              <w:rPr>
                <w:rFonts w:hint="eastAsia"/>
              </w:rPr>
              <w:t>8</w:t>
            </w:r>
            <w:r>
              <w:t>%</w:t>
            </w:r>
          </w:p>
        </w:tc>
        <w:tc>
          <w:tcPr>
            <w:tcW w:w="1559" w:type="dxa"/>
            <w:noWrap w:val="0"/>
            <w:vAlign w:val="center"/>
          </w:tcPr>
          <w:p>
            <w:pPr>
              <w:pStyle w:val="10"/>
              <w:ind w:firstLine="0" w:firstLineChars="0"/>
              <w:jc w:val="center"/>
            </w:pPr>
            <w:r>
              <w:rPr>
                <w:rFonts w:hint="eastAsia"/>
              </w:rPr>
              <w:t>8</w:t>
            </w:r>
          </w:p>
        </w:tc>
        <w:tc>
          <w:tcPr>
            <w:tcW w:w="1343" w:type="dxa"/>
            <w:noWrap w:val="0"/>
            <w:vAlign w:val="center"/>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087" w:type="dxa"/>
            <w:gridSpan w:val="2"/>
            <w:noWrap w:val="0"/>
            <w:vAlign w:val="center"/>
          </w:tcPr>
          <w:p>
            <w:pPr>
              <w:pStyle w:val="10"/>
              <w:ind w:firstLine="0" w:firstLineChars="0"/>
              <w:jc w:val="center"/>
            </w:pPr>
            <w:r>
              <w:t>合计</w:t>
            </w:r>
          </w:p>
        </w:tc>
        <w:tc>
          <w:tcPr>
            <w:tcW w:w="1559" w:type="dxa"/>
            <w:noWrap w:val="0"/>
            <w:vAlign w:val="center"/>
          </w:tcPr>
          <w:p>
            <w:pPr>
              <w:pStyle w:val="10"/>
              <w:ind w:firstLine="0" w:firstLineChars="0"/>
              <w:jc w:val="center"/>
            </w:pPr>
            <w:r>
              <w:rPr>
                <w:rFonts w:hint="eastAsia"/>
              </w:rPr>
              <w:t>8</w:t>
            </w:r>
          </w:p>
        </w:tc>
        <w:tc>
          <w:tcPr>
            <w:tcW w:w="1343" w:type="dxa"/>
            <w:noWrap w:val="0"/>
            <w:vAlign w:val="center"/>
          </w:tcPr>
          <w:p>
            <w:pPr>
              <w:pStyle w:val="10"/>
              <w:ind w:firstLine="0" w:firstLineChars="0"/>
              <w:jc w:val="center"/>
            </w:pPr>
            <w:r>
              <w:rPr>
                <w:rFonts w:hint="eastAsia"/>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rPr>
          <w:rFonts w:ascii="Times New Roman" w:hAnsi="Times New Roman"/>
        </w:rPr>
      </w:pPr>
      <w:r>
        <w:rPr>
          <w:rFonts w:ascii="Times New Roman" w:hAnsi="Times New Roman"/>
        </w:rPr>
        <w:t>停车方式：</w:t>
      </w:r>
      <w:r>
        <w:rPr>
          <w:rFonts w:hint="eastAsia"/>
          <w:sz w:val="28"/>
        </w:rPr>
        <w:sym w:font="Wingdings 2" w:char="F0A3"/>
      </w:r>
      <w:r>
        <w:rPr>
          <w:rFonts w:ascii="Times New Roman" w:hAnsi="Times New Roman"/>
          <w:kern w:val="0"/>
          <w:szCs w:val="21"/>
        </w:rPr>
        <w:t>机械式停车库、</w:t>
      </w:r>
      <w:r>
        <w:rPr>
          <w:rFonts w:hint="eastAsia"/>
          <w:sz w:val="28"/>
        </w:rPr>
        <w:sym w:font="Wingdings 2" w:char="F0A3"/>
      </w:r>
      <w:r>
        <w:rPr>
          <w:rFonts w:ascii="Times New Roman" w:hAnsi="Times New Roman"/>
          <w:kern w:val="0"/>
          <w:szCs w:val="21"/>
        </w:rPr>
        <w:t>地下停车库、</w:t>
      </w:r>
      <w:r>
        <w:rPr>
          <w:rFonts w:hint="eastAsia"/>
          <w:sz w:val="28"/>
        </w:rPr>
        <w:sym w:font="Wingdings 2" w:char="F0A3"/>
      </w:r>
      <w:r>
        <w:rPr>
          <w:rFonts w:ascii="Times New Roman" w:hAnsi="Times New Roman"/>
          <w:kern w:val="0"/>
          <w:szCs w:val="21"/>
        </w:rPr>
        <w:t>停车楼、</w:t>
      </w:r>
      <w:r>
        <w:rPr>
          <w:rFonts w:hint="eastAsia"/>
          <w:sz w:val="28"/>
        </w:rPr>
        <w:sym w:font="Wingdings 2" w:char="F0A3"/>
      </w:r>
      <w:r>
        <w:rPr>
          <w:rFonts w:ascii="Times New Roman" w:hAnsi="Times New Roman"/>
          <w:kern w:val="0"/>
          <w:szCs w:val="21"/>
        </w:rPr>
        <w:t xml:space="preserve">其他方式 </w:t>
      </w:r>
      <w:r>
        <w:rPr>
          <w:rFonts w:ascii="Times New Roman" w:hAnsi="Times New Roman"/>
          <w:kern w:val="0"/>
          <w:szCs w:val="21"/>
          <w:u w:val="single"/>
        </w:rPr>
        <w:t xml:space="preserve">                 </w:t>
      </w:r>
    </w:p>
    <w:p>
      <w:pPr>
        <w:rPr>
          <w:rFonts w:ascii="Times New Roman" w:hAnsi="Times New Roman"/>
        </w:rPr>
      </w:pPr>
      <w:bookmarkStart w:id="222" w:name="_Toc9944765"/>
      <w:bookmarkStart w:id="223" w:name="_Toc9945045"/>
      <w:bookmarkStart w:id="224" w:name="_Toc9945189"/>
      <w:bookmarkStart w:id="225" w:name="_Toc9945331"/>
      <w:bookmarkStart w:id="226" w:name="_Toc9945472"/>
      <w:r>
        <w:rPr>
          <w:rFonts w:ascii="Times New Roman" w:hAnsi="Times New Roman"/>
        </w:rPr>
        <w:t>住宅：地面停车位数量：</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，住宅总套数：</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，停车位套数比：</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w:t>
      </w:r>
    </w:p>
    <w:p>
      <w:pPr>
        <w:rPr>
          <w:rFonts w:ascii="Times New Roman" w:hAnsi="Times New Roman"/>
        </w:rPr>
      </w:pPr>
      <w:r>
        <w:rPr>
          <w:rFonts w:ascii="Times New Roman" w:hAnsi="Times New Roman"/>
        </w:rPr>
        <w:t>公建：地面停车占地面积：</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，总建设用地面积：</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，停车位占地比：</w:t>
      </w:r>
      <w:r>
        <w:rPr>
          <w:rFonts w:ascii="Times New Roman" w:hAnsi="Times New Roman"/>
          <w:u w:val="single"/>
        </w:rPr>
        <w:t xml:space="preserve">  </w:t>
      </w:r>
      <w:r>
        <w:rPr>
          <w:rFonts w:ascii="Times New Roman" w:hAnsi="Times New Roman"/>
        </w:rPr>
        <w:t xml:space="preserve"> %。</w:t>
      </w:r>
    </w:p>
    <w:p/>
    <w:p>
      <w:pPr>
        <w:rPr>
          <w:rFonts w:ascii="Times New Roman" w:hAnsi="Times New Roman"/>
          <w:szCs w:val="21"/>
        </w:rPr>
      </w:pPr>
      <w:r>
        <w:rPr>
          <w:rFonts w:hint="eastAsia"/>
        </w:rPr>
        <w:t>请</w:t>
      </w:r>
      <w:r>
        <w:t>简要说明停车方式</w:t>
      </w:r>
      <w:r>
        <w:rPr>
          <w:rFonts w:hint="eastAsia"/>
        </w:rPr>
        <w:t>及建设情况</w:t>
      </w:r>
      <w:r>
        <w:t>。</w:t>
      </w:r>
      <w:bookmarkEnd w:id="222"/>
      <w:bookmarkEnd w:id="223"/>
      <w:bookmarkEnd w:id="224"/>
      <w:bookmarkEnd w:id="225"/>
      <w:bookmarkEnd w:id="22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ind w:firstLine="400" w:firstLineChars="200"/>
              <w:rPr>
                <w:rFonts w:ascii="宋体" w:hAnsi="宋体"/>
                <w:kern w:val="0"/>
                <w:sz w:val="20"/>
                <w:szCs w:val="21"/>
              </w:rPr>
            </w:pPr>
            <w:r>
              <w:rPr>
                <w:rFonts w:hint="eastAsia" w:ascii="宋体" w:hAnsi="宋体"/>
                <w:kern w:val="0"/>
                <w:sz w:val="20"/>
                <w:szCs w:val="21"/>
              </w:rPr>
              <w:t>本项目机动车与非机动车均采用全地下的方式，地面均为绿化用地及公共活动用地，不会挤占地上步行空间活动场所。</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ascii="Times New Roman" w:hAnsi="Times New Roman"/>
        </w:rPr>
        <w:t>1）</w:t>
      </w:r>
      <w:r>
        <w:rPr>
          <w:rFonts w:hint="eastAsia" w:ascii="Times New Roman" w:hAnsi="Times New Roman"/>
        </w:rPr>
        <w:t>建筑</w:t>
      </w:r>
      <w:r>
        <w:rPr>
          <w:rFonts w:ascii="Times New Roman" w:hAnsi="Times New Roman"/>
        </w:rPr>
        <w:t>竣工总平面图及设计说明，应包括机动车停车场的位置、停车位数量等内容；</w:t>
      </w:r>
    </w:p>
    <w:p>
      <w:pPr>
        <w:rPr>
          <w:rFonts w:ascii="Times New Roman" w:hAnsi="Times New Roman"/>
        </w:rPr>
      </w:pPr>
      <w:r>
        <w:rPr>
          <w:rFonts w:ascii="Times New Roman" w:hAnsi="Times New Roman"/>
        </w:rPr>
        <w:t>2）与停车相关的建筑、设备设施竣工图及设计说明；</w:t>
      </w:r>
    </w:p>
    <w:p>
      <w:pPr>
        <w:rPr>
          <w:rFonts w:ascii="Times New Roman" w:hAnsi="Times New Roman"/>
        </w:rPr>
      </w:pPr>
      <w:r>
        <w:rPr>
          <w:rFonts w:ascii="Times New Roman" w:hAnsi="Times New Roman"/>
        </w:rPr>
        <w:t>3）地面停车率计算书。</w:t>
      </w:r>
    </w:p>
    <w:p>
      <w:pPr>
        <w:spacing w:line="288" w:lineRule="auto"/>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0"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7.2.4优化建筑围护结构的热工性能。（</w:t>
      </w:r>
      <w:r>
        <w:rPr>
          <w:sz w:val="24"/>
          <w:szCs w:val="40"/>
        </w:rPr>
        <w:t>15</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8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394"/>
        <w:gridCol w:w="155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40" w:type="dxa"/>
            <w:noWrap w:val="0"/>
            <w:vAlign w:val="center"/>
          </w:tcPr>
          <w:p>
            <w:pPr>
              <w:pStyle w:val="10"/>
              <w:ind w:firstLine="0" w:firstLineChars="0"/>
              <w:jc w:val="center"/>
              <w:rPr>
                <w:b/>
              </w:rPr>
            </w:pPr>
            <w:r>
              <w:rPr>
                <w:szCs w:val="21"/>
              </w:rPr>
              <w:t>序号</w:t>
            </w:r>
          </w:p>
        </w:tc>
        <w:tc>
          <w:tcPr>
            <w:tcW w:w="4394" w:type="dxa"/>
            <w:noWrap w:val="0"/>
            <w:vAlign w:val="center"/>
          </w:tcPr>
          <w:p>
            <w:pPr>
              <w:pStyle w:val="10"/>
              <w:ind w:firstLine="0" w:firstLineChars="0"/>
              <w:jc w:val="center"/>
              <w:rPr>
                <w:b/>
              </w:rPr>
            </w:pPr>
            <w:r>
              <w:rPr>
                <w:szCs w:val="21"/>
              </w:rPr>
              <w:t>评价内容</w:t>
            </w:r>
          </w:p>
        </w:tc>
        <w:tc>
          <w:tcPr>
            <w:tcW w:w="1559" w:type="dxa"/>
            <w:noWrap w:val="0"/>
            <w:vAlign w:val="center"/>
          </w:tcPr>
          <w:p>
            <w:pPr>
              <w:pStyle w:val="10"/>
              <w:ind w:firstLine="0" w:firstLineChars="0"/>
              <w:jc w:val="center"/>
              <w:rPr>
                <w:b/>
              </w:rPr>
            </w:pPr>
            <w:r>
              <w:rPr>
                <w:szCs w:val="21"/>
              </w:rPr>
              <w:t>评价分值</w:t>
            </w:r>
          </w:p>
        </w:tc>
        <w:tc>
          <w:tcPr>
            <w:tcW w:w="1390" w:type="dxa"/>
            <w:noWrap w:val="0"/>
            <w:vAlign w:val="center"/>
          </w:tcPr>
          <w:p>
            <w:pPr>
              <w:pStyle w:val="10"/>
              <w:ind w:firstLine="0" w:firstLineChars="0"/>
              <w:jc w:val="center"/>
              <w:rPr>
                <w:b/>
              </w:rPr>
            </w:pPr>
            <w:r>
              <w:rPr>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6" w:hRule="atLeast"/>
          <w:jc w:val="center"/>
        </w:trPr>
        <w:tc>
          <w:tcPr>
            <w:tcW w:w="740" w:type="dxa"/>
            <w:noWrap w:val="0"/>
            <w:vAlign w:val="center"/>
          </w:tcPr>
          <w:p>
            <w:pPr>
              <w:pStyle w:val="10"/>
              <w:ind w:firstLine="0" w:firstLineChars="0"/>
              <w:jc w:val="center"/>
            </w:pPr>
            <w:r>
              <w:rPr>
                <w:rFonts w:hint="eastAsia"/>
              </w:rPr>
              <w:t>1</w:t>
            </w:r>
          </w:p>
        </w:tc>
        <w:tc>
          <w:tcPr>
            <w:tcW w:w="4394" w:type="dxa"/>
            <w:noWrap w:val="0"/>
            <w:vAlign w:val="center"/>
          </w:tcPr>
          <w:p>
            <w:pPr>
              <w:pStyle w:val="10"/>
              <w:ind w:firstLine="0" w:firstLineChars="0"/>
              <w:jc w:val="left"/>
            </w:pPr>
            <w:r>
              <w:rPr>
                <w:rFonts w:hint="eastAsia"/>
              </w:rPr>
              <w:t>围护结构热工性能比国家现行</w:t>
            </w:r>
            <w:r>
              <w:t>相关</w:t>
            </w:r>
            <w:r>
              <w:rPr>
                <w:rFonts w:hint="eastAsia"/>
              </w:rPr>
              <w:t>建筑节能设计标准规定的提高</w:t>
            </w:r>
            <w:r>
              <w:t>幅度达到</w:t>
            </w:r>
            <w:r>
              <w:rPr>
                <w:rFonts w:hint="eastAsia"/>
              </w:rPr>
              <w:t>5%</w:t>
            </w:r>
          </w:p>
        </w:tc>
        <w:tc>
          <w:tcPr>
            <w:tcW w:w="1559" w:type="dxa"/>
            <w:noWrap w:val="0"/>
            <w:vAlign w:val="center"/>
          </w:tcPr>
          <w:p>
            <w:pPr>
              <w:pStyle w:val="10"/>
              <w:ind w:firstLine="0" w:firstLineChars="0"/>
              <w:jc w:val="center"/>
            </w:pPr>
            <w:r>
              <w:rPr>
                <w:rFonts w:hint="eastAsia"/>
              </w:rPr>
              <w:t>5</w:t>
            </w:r>
          </w:p>
        </w:tc>
        <w:tc>
          <w:tcPr>
            <w:tcW w:w="1390"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40" w:type="dxa"/>
            <w:noWrap w:val="0"/>
            <w:vAlign w:val="center"/>
          </w:tcPr>
          <w:p>
            <w:pPr>
              <w:pStyle w:val="10"/>
              <w:ind w:firstLine="0" w:firstLineChars="0"/>
              <w:jc w:val="center"/>
            </w:pPr>
            <w:r>
              <w:rPr>
                <w:rFonts w:hint="eastAsia"/>
              </w:rPr>
              <w:t>2</w:t>
            </w:r>
          </w:p>
        </w:tc>
        <w:tc>
          <w:tcPr>
            <w:tcW w:w="4394" w:type="dxa"/>
            <w:noWrap w:val="0"/>
            <w:vAlign w:val="center"/>
          </w:tcPr>
          <w:p>
            <w:pPr>
              <w:pStyle w:val="10"/>
              <w:ind w:firstLine="0" w:firstLineChars="0"/>
              <w:jc w:val="left"/>
            </w:pPr>
            <w:r>
              <w:rPr>
                <w:rFonts w:hint="eastAsia"/>
              </w:rPr>
              <w:t>围护结构热工性能比国家现行</w:t>
            </w:r>
            <w:r>
              <w:t>相关</w:t>
            </w:r>
            <w:r>
              <w:rPr>
                <w:rFonts w:hint="eastAsia"/>
              </w:rPr>
              <w:t>建筑节能设计标准规定的提高</w:t>
            </w:r>
            <w:r>
              <w:t>幅度达到10</w:t>
            </w:r>
            <w:r>
              <w:rPr>
                <w:rFonts w:hint="eastAsia"/>
              </w:rPr>
              <w:t>%</w:t>
            </w:r>
          </w:p>
        </w:tc>
        <w:tc>
          <w:tcPr>
            <w:tcW w:w="1559" w:type="dxa"/>
            <w:noWrap w:val="0"/>
            <w:vAlign w:val="center"/>
          </w:tcPr>
          <w:p>
            <w:pPr>
              <w:pStyle w:val="10"/>
              <w:ind w:firstLine="0" w:firstLineChars="0"/>
              <w:jc w:val="center"/>
            </w:pPr>
            <w:r>
              <w:rPr>
                <w:rFonts w:hint="eastAsia"/>
              </w:rPr>
              <w:t>10</w:t>
            </w:r>
          </w:p>
        </w:tc>
        <w:tc>
          <w:tcPr>
            <w:tcW w:w="1390"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40" w:type="dxa"/>
            <w:noWrap w:val="0"/>
            <w:vAlign w:val="center"/>
          </w:tcPr>
          <w:p>
            <w:pPr>
              <w:pStyle w:val="10"/>
              <w:ind w:firstLine="0" w:firstLineChars="0"/>
              <w:jc w:val="center"/>
            </w:pPr>
            <w:r>
              <w:rPr>
                <w:rFonts w:hint="eastAsia"/>
              </w:rPr>
              <w:t>3</w:t>
            </w:r>
          </w:p>
        </w:tc>
        <w:tc>
          <w:tcPr>
            <w:tcW w:w="4394" w:type="dxa"/>
            <w:noWrap w:val="0"/>
            <w:vAlign w:val="center"/>
          </w:tcPr>
          <w:p>
            <w:pPr>
              <w:pStyle w:val="10"/>
              <w:ind w:firstLine="0" w:firstLineChars="0"/>
              <w:jc w:val="left"/>
            </w:pPr>
            <w:r>
              <w:rPr>
                <w:rFonts w:hint="eastAsia"/>
              </w:rPr>
              <w:t>围护结构热工性能比国家现行相关建筑节能设计标准规定的提高幅度达到5%</w:t>
            </w:r>
          </w:p>
        </w:tc>
        <w:tc>
          <w:tcPr>
            <w:tcW w:w="1559" w:type="dxa"/>
            <w:noWrap w:val="0"/>
            <w:vAlign w:val="center"/>
          </w:tcPr>
          <w:p>
            <w:pPr>
              <w:pStyle w:val="10"/>
              <w:ind w:firstLine="0" w:firstLineChars="0"/>
              <w:jc w:val="center"/>
            </w:pPr>
            <w:r>
              <w:rPr>
                <w:rFonts w:hint="eastAsia"/>
              </w:rPr>
              <w:t>15</w:t>
            </w:r>
          </w:p>
        </w:tc>
        <w:tc>
          <w:tcPr>
            <w:tcW w:w="1390"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134" w:type="dxa"/>
            <w:gridSpan w:val="2"/>
            <w:noWrap w:val="0"/>
            <w:vAlign w:val="center"/>
          </w:tcPr>
          <w:p>
            <w:pPr>
              <w:pStyle w:val="10"/>
              <w:ind w:firstLine="0" w:firstLineChars="0"/>
              <w:jc w:val="center"/>
            </w:pPr>
            <w:r>
              <w:t>合计</w:t>
            </w:r>
          </w:p>
        </w:tc>
        <w:tc>
          <w:tcPr>
            <w:tcW w:w="1559" w:type="dxa"/>
            <w:noWrap w:val="0"/>
            <w:vAlign w:val="center"/>
          </w:tcPr>
          <w:p>
            <w:pPr>
              <w:pStyle w:val="10"/>
              <w:ind w:firstLine="0" w:firstLineChars="0"/>
              <w:jc w:val="center"/>
            </w:pPr>
            <w:r>
              <w:rPr>
                <w:rFonts w:hint="eastAsia"/>
              </w:rPr>
              <w:t>15</w:t>
            </w:r>
          </w:p>
        </w:tc>
        <w:tc>
          <w:tcPr>
            <w:tcW w:w="1390" w:type="dxa"/>
            <w:noWrap w:val="0"/>
            <w:vAlign w:val="center"/>
          </w:tcPr>
          <w:p>
            <w:pPr>
              <w:pStyle w:val="10"/>
              <w:ind w:firstLine="0" w:firstLineChars="0"/>
              <w:jc w:val="center"/>
            </w:pPr>
            <w:r>
              <w:rPr>
                <w:rFonts w:hint="eastAsia"/>
                <w:szCs w:val="21"/>
              </w:rPr>
              <w:t xml:space="preserve">  </w:t>
            </w:r>
          </w:p>
        </w:tc>
      </w:tr>
    </w:tbl>
    <w:p>
      <w:r>
        <w:rPr>
          <w:rFonts w:hint="eastAsia"/>
        </w:rPr>
        <w:t>或者</w:t>
      </w:r>
    </w:p>
    <w:p/>
    <w:tbl>
      <w:tblPr>
        <w:tblStyle w:val="7"/>
        <w:tblW w:w="8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394"/>
        <w:gridCol w:w="155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40" w:type="dxa"/>
            <w:noWrap w:val="0"/>
            <w:vAlign w:val="center"/>
          </w:tcPr>
          <w:p>
            <w:pPr>
              <w:pStyle w:val="10"/>
              <w:ind w:firstLine="0" w:firstLineChars="0"/>
              <w:jc w:val="center"/>
              <w:rPr>
                <w:b/>
              </w:rPr>
            </w:pPr>
            <w:r>
              <w:rPr>
                <w:szCs w:val="21"/>
              </w:rPr>
              <w:t>序号</w:t>
            </w:r>
          </w:p>
        </w:tc>
        <w:tc>
          <w:tcPr>
            <w:tcW w:w="4394" w:type="dxa"/>
            <w:noWrap w:val="0"/>
            <w:vAlign w:val="center"/>
          </w:tcPr>
          <w:p>
            <w:pPr>
              <w:pStyle w:val="10"/>
              <w:ind w:firstLine="0" w:firstLineChars="0"/>
              <w:jc w:val="center"/>
              <w:rPr>
                <w:b/>
              </w:rPr>
            </w:pPr>
            <w:r>
              <w:rPr>
                <w:szCs w:val="21"/>
              </w:rPr>
              <w:t>评价内容</w:t>
            </w:r>
          </w:p>
        </w:tc>
        <w:tc>
          <w:tcPr>
            <w:tcW w:w="1559" w:type="dxa"/>
            <w:noWrap w:val="0"/>
            <w:vAlign w:val="center"/>
          </w:tcPr>
          <w:p>
            <w:pPr>
              <w:pStyle w:val="10"/>
              <w:ind w:firstLine="0" w:firstLineChars="0"/>
              <w:jc w:val="center"/>
              <w:rPr>
                <w:b/>
              </w:rPr>
            </w:pPr>
            <w:r>
              <w:rPr>
                <w:szCs w:val="21"/>
              </w:rPr>
              <w:t>评价分值</w:t>
            </w:r>
          </w:p>
        </w:tc>
        <w:tc>
          <w:tcPr>
            <w:tcW w:w="1390" w:type="dxa"/>
            <w:noWrap w:val="0"/>
            <w:vAlign w:val="center"/>
          </w:tcPr>
          <w:p>
            <w:pPr>
              <w:pStyle w:val="10"/>
              <w:ind w:firstLine="0" w:firstLineChars="0"/>
              <w:jc w:val="center"/>
              <w:rPr>
                <w:b/>
              </w:rPr>
            </w:pPr>
            <w:r>
              <w:rPr>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40" w:type="dxa"/>
            <w:noWrap w:val="0"/>
            <w:vAlign w:val="center"/>
          </w:tcPr>
          <w:p>
            <w:pPr>
              <w:pStyle w:val="10"/>
              <w:ind w:firstLine="0" w:firstLineChars="0"/>
              <w:jc w:val="center"/>
            </w:pPr>
            <w:r>
              <w:rPr>
                <w:rFonts w:hint="eastAsia"/>
              </w:rPr>
              <w:t>1</w:t>
            </w:r>
          </w:p>
        </w:tc>
        <w:tc>
          <w:tcPr>
            <w:tcW w:w="4394" w:type="dxa"/>
            <w:noWrap w:val="0"/>
            <w:vAlign w:val="center"/>
          </w:tcPr>
          <w:p>
            <w:pPr>
              <w:pStyle w:val="10"/>
              <w:ind w:firstLine="0" w:firstLineChars="0"/>
              <w:jc w:val="left"/>
            </w:pPr>
            <w:r>
              <w:rPr>
                <w:rFonts w:hint="eastAsia"/>
              </w:rPr>
              <w:t>建筑供暖空调负荷降低5%</w:t>
            </w:r>
          </w:p>
        </w:tc>
        <w:tc>
          <w:tcPr>
            <w:tcW w:w="1559" w:type="dxa"/>
            <w:noWrap w:val="0"/>
            <w:vAlign w:val="center"/>
          </w:tcPr>
          <w:p>
            <w:pPr>
              <w:pStyle w:val="10"/>
              <w:ind w:firstLine="0" w:firstLineChars="0"/>
              <w:jc w:val="center"/>
            </w:pPr>
            <w:r>
              <w:t>5</w:t>
            </w:r>
          </w:p>
        </w:tc>
        <w:tc>
          <w:tcPr>
            <w:tcW w:w="1390"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40" w:type="dxa"/>
            <w:noWrap w:val="0"/>
            <w:vAlign w:val="center"/>
          </w:tcPr>
          <w:p>
            <w:pPr>
              <w:pStyle w:val="10"/>
              <w:ind w:firstLine="0" w:firstLineChars="0"/>
              <w:jc w:val="center"/>
            </w:pPr>
            <w:r>
              <w:rPr>
                <w:rFonts w:hint="eastAsia"/>
              </w:rPr>
              <w:t>2</w:t>
            </w:r>
          </w:p>
        </w:tc>
        <w:tc>
          <w:tcPr>
            <w:tcW w:w="4394" w:type="dxa"/>
            <w:noWrap w:val="0"/>
            <w:vAlign w:val="center"/>
          </w:tcPr>
          <w:p>
            <w:pPr>
              <w:pStyle w:val="10"/>
              <w:ind w:firstLine="0" w:firstLineChars="0"/>
              <w:jc w:val="left"/>
            </w:pPr>
            <w:r>
              <w:rPr>
                <w:rFonts w:hint="eastAsia"/>
              </w:rPr>
              <w:t>建筑供暖空调负荷降低</w:t>
            </w:r>
            <w:r>
              <w:t>10</w:t>
            </w:r>
            <w:r>
              <w:rPr>
                <w:rFonts w:hint="eastAsia"/>
              </w:rPr>
              <w:t>%</w:t>
            </w:r>
          </w:p>
        </w:tc>
        <w:tc>
          <w:tcPr>
            <w:tcW w:w="1559" w:type="dxa"/>
            <w:noWrap w:val="0"/>
            <w:vAlign w:val="center"/>
          </w:tcPr>
          <w:p>
            <w:pPr>
              <w:pStyle w:val="10"/>
              <w:ind w:firstLine="0" w:firstLineChars="0"/>
              <w:jc w:val="center"/>
            </w:pPr>
            <w:r>
              <w:rPr>
                <w:rFonts w:hint="eastAsia"/>
              </w:rPr>
              <w:t>10</w:t>
            </w:r>
          </w:p>
        </w:tc>
        <w:tc>
          <w:tcPr>
            <w:tcW w:w="1390"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40" w:type="dxa"/>
            <w:noWrap w:val="0"/>
            <w:vAlign w:val="center"/>
          </w:tcPr>
          <w:p>
            <w:pPr>
              <w:pStyle w:val="10"/>
              <w:ind w:firstLine="0" w:firstLineChars="0"/>
              <w:jc w:val="center"/>
            </w:pPr>
            <w:r>
              <w:rPr>
                <w:rFonts w:hint="eastAsia"/>
              </w:rPr>
              <w:t>3</w:t>
            </w:r>
          </w:p>
        </w:tc>
        <w:tc>
          <w:tcPr>
            <w:tcW w:w="4394" w:type="dxa"/>
            <w:noWrap w:val="0"/>
            <w:vAlign w:val="center"/>
          </w:tcPr>
          <w:p>
            <w:pPr>
              <w:pStyle w:val="10"/>
              <w:ind w:firstLine="0" w:firstLineChars="0"/>
              <w:jc w:val="left"/>
            </w:pPr>
            <w:r>
              <w:rPr>
                <w:rFonts w:hint="eastAsia"/>
              </w:rPr>
              <w:t>建筑供暖空调负荷降低15%</w:t>
            </w:r>
          </w:p>
        </w:tc>
        <w:tc>
          <w:tcPr>
            <w:tcW w:w="1559" w:type="dxa"/>
            <w:noWrap w:val="0"/>
            <w:vAlign w:val="center"/>
          </w:tcPr>
          <w:p>
            <w:pPr>
              <w:pStyle w:val="10"/>
              <w:ind w:firstLine="0" w:firstLineChars="0"/>
              <w:jc w:val="center"/>
            </w:pPr>
            <w:r>
              <w:t>15</w:t>
            </w:r>
          </w:p>
        </w:tc>
        <w:tc>
          <w:tcPr>
            <w:tcW w:w="1390"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134" w:type="dxa"/>
            <w:gridSpan w:val="2"/>
            <w:noWrap w:val="0"/>
            <w:vAlign w:val="center"/>
          </w:tcPr>
          <w:p>
            <w:pPr>
              <w:pStyle w:val="10"/>
              <w:ind w:firstLine="0" w:firstLineChars="0"/>
              <w:jc w:val="center"/>
            </w:pPr>
            <w:r>
              <w:t>合计</w:t>
            </w:r>
          </w:p>
        </w:tc>
        <w:tc>
          <w:tcPr>
            <w:tcW w:w="1559" w:type="dxa"/>
            <w:noWrap w:val="0"/>
            <w:vAlign w:val="center"/>
          </w:tcPr>
          <w:p>
            <w:pPr>
              <w:pStyle w:val="10"/>
              <w:ind w:firstLine="0" w:firstLineChars="0"/>
              <w:jc w:val="center"/>
            </w:pPr>
            <w:r>
              <w:rPr>
                <w:rFonts w:hint="eastAsia"/>
              </w:rPr>
              <w:t>15</w:t>
            </w:r>
          </w:p>
        </w:tc>
        <w:tc>
          <w:tcPr>
            <w:tcW w:w="1390" w:type="dxa"/>
            <w:noWrap w:val="0"/>
            <w:vAlign w:val="center"/>
          </w:tcPr>
          <w:p>
            <w:pPr>
              <w:pStyle w:val="10"/>
              <w:ind w:firstLine="0" w:firstLineChars="0"/>
              <w:jc w:val="center"/>
            </w:pPr>
            <w:r>
              <w:rPr>
                <w:rFonts w:hint="eastAsia"/>
                <w:szCs w:val="21"/>
              </w:rPr>
              <w:t xml:space="preserve">  </w:t>
            </w:r>
          </w:p>
        </w:tc>
      </w:tr>
    </w:tbl>
    <w:p>
      <w:pPr>
        <w:spacing w:before="156" w:beforeLines="50" w:after="156" w:afterLines="50"/>
        <w:rPr>
          <w:rFonts w:ascii="Times New Roman" w:hAnsi="Times New Roman"/>
          <w:b/>
          <w:szCs w:val="21"/>
        </w:rPr>
      </w:pPr>
      <w:bookmarkStart w:id="227" w:name="_Toc9944766"/>
      <w:bookmarkStart w:id="228" w:name="_Toc9945046"/>
      <w:bookmarkStart w:id="229" w:name="_Toc9945190"/>
      <w:bookmarkStart w:id="230" w:name="_Toc9945332"/>
      <w:bookmarkStart w:id="231" w:name="_Toc9945473"/>
      <w:r>
        <w:rPr>
          <w:rFonts w:ascii="Times New Roman" w:hAnsi="Times New Roman"/>
          <w:b/>
          <w:szCs w:val="21"/>
        </w:rPr>
        <w:t>2 评价要点</w:t>
      </w:r>
    </w:p>
    <w:p>
      <w:pPr>
        <w:rPr>
          <w:u w:val="single"/>
        </w:rPr>
      </w:pPr>
      <w:r>
        <w:rPr>
          <w:rFonts w:hint="eastAsia"/>
        </w:rPr>
        <w:t>执行的建筑节能标准：</w:t>
      </w:r>
      <w:r>
        <w:rPr>
          <w:rFonts w:hint="eastAsia"/>
          <w:u w:val="single"/>
        </w:rPr>
        <w:t xml:space="preserve">   </w:t>
      </w:r>
    </w:p>
    <w:p>
      <w:r>
        <w:rPr>
          <w:rFonts w:hint="eastAsia"/>
        </w:rPr>
        <w:t>围护结构热工性能指标比较：</w:t>
      </w:r>
      <w:bookmarkEnd w:id="227"/>
      <w:bookmarkEnd w:id="228"/>
      <w:bookmarkEnd w:id="229"/>
      <w:bookmarkEnd w:id="230"/>
      <w:bookmarkEnd w:id="231"/>
    </w:p>
    <w:tbl>
      <w:tblPr>
        <w:tblStyle w:val="7"/>
        <w:tblW w:w="84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2"/>
        <w:gridCol w:w="660"/>
        <w:gridCol w:w="1097"/>
        <w:gridCol w:w="1155"/>
        <w:gridCol w:w="777"/>
        <w:gridCol w:w="812"/>
        <w:gridCol w:w="741"/>
        <w:gridCol w:w="9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4019"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热工参数</w:t>
            </w:r>
          </w:p>
        </w:tc>
        <w:tc>
          <w:tcPr>
            <w:tcW w:w="115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单位</w:t>
            </w:r>
          </w:p>
        </w:tc>
        <w:tc>
          <w:tcPr>
            <w:tcW w:w="1589"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参评建筑</w:t>
            </w:r>
          </w:p>
        </w:tc>
        <w:tc>
          <w:tcPr>
            <w:tcW w:w="74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参照建筑</w:t>
            </w:r>
          </w:p>
        </w:tc>
        <w:tc>
          <w:tcPr>
            <w:tcW w:w="90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提高</w:t>
            </w:r>
          </w:p>
          <w:p>
            <w:pPr>
              <w:widowControl/>
              <w:jc w:val="center"/>
              <w:rPr>
                <w:rFonts w:ascii="Times New Roman" w:hAnsi="Times New Roman"/>
                <w:kern w:val="0"/>
                <w:szCs w:val="21"/>
              </w:rPr>
            </w:pPr>
            <w:r>
              <w:rPr>
                <w:rFonts w:ascii="Times New Roman" w:hAnsi="Times New Roman"/>
                <w:kern w:val="0"/>
                <w:szCs w:val="21"/>
              </w:rPr>
              <w:t>比例</w:t>
            </w:r>
          </w:p>
          <w:p>
            <w:pPr>
              <w:widowControl/>
              <w:jc w:val="center"/>
              <w:rPr>
                <w:rFonts w:ascii="Times New Roman" w:hAnsi="Times New Roman"/>
                <w:kern w:val="0"/>
                <w:szCs w:val="21"/>
              </w:rPr>
            </w:pPr>
            <w:r>
              <w:rPr>
                <w:rFonts w:ascii="Times New Roman" w:hAnsi="Times New Roman"/>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4019"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15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类型I</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类型II</w:t>
            </w:r>
          </w:p>
        </w:tc>
        <w:tc>
          <w:tcPr>
            <w:tcW w:w="74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9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体形系数</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92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窗墙比</w:t>
            </w: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东向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南向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西向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北向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屋顶透明部分面积比例</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屋面传热系数K</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外墙（包括非透明幕墙）传热系数K</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401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底面接触室外空气的架空或外挑楼板传热系数K</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26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外窗（包括透明幕墙）</w:t>
            </w:r>
          </w:p>
        </w:tc>
        <w:tc>
          <w:tcPr>
            <w:tcW w:w="66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传热系数K</w:t>
            </w: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东向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南向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西向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北向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6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遮阳系数SC</w:t>
            </w: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东向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南向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西向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6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09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北向</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300" w:hRule="atLeast"/>
          <w:jc w:val="center"/>
        </w:trPr>
        <w:tc>
          <w:tcPr>
            <w:tcW w:w="226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屋顶透明部分</w:t>
            </w:r>
          </w:p>
        </w:tc>
        <w:tc>
          <w:tcPr>
            <w:tcW w:w="175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传热系数K</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300" w:hRule="atLeast"/>
          <w:jc w:val="center"/>
        </w:trPr>
        <w:tc>
          <w:tcPr>
            <w:tcW w:w="226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p>
        </w:tc>
        <w:tc>
          <w:tcPr>
            <w:tcW w:w="175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遮阳系数SC</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300" w:hRule="atLeast"/>
          <w:jc w:val="center"/>
        </w:trPr>
        <w:tc>
          <w:tcPr>
            <w:tcW w:w="226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地面</w:t>
            </w:r>
          </w:p>
        </w:tc>
        <w:tc>
          <w:tcPr>
            <w:tcW w:w="175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热阻R</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·K)/W</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300" w:hRule="atLeast"/>
          <w:jc w:val="center"/>
        </w:trPr>
        <w:tc>
          <w:tcPr>
            <w:tcW w:w="226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地下室外墙</w:t>
            </w:r>
          </w:p>
        </w:tc>
        <w:tc>
          <w:tcPr>
            <w:tcW w:w="175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热阻R</w:t>
            </w:r>
          </w:p>
        </w:tc>
        <w:tc>
          <w:tcPr>
            <w:tcW w:w="1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·K)/W</w:t>
            </w:r>
          </w:p>
        </w:tc>
        <w:tc>
          <w:tcPr>
            <w:tcW w:w="77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812"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74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901"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bl>
    <w:p>
      <w:r>
        <w:rPr>
          <w:rFonts w:hint="eastAsia" w:cs="宋体"/>
          <w:szCs w:val="21"/>
        </w:rPr>
        <w:t>注：参评建筑下的列分类“类型I、类型II”指一栋建筑中存在多种围护结构或一个项目存在多个参评建筑时的区别表示方式。</w:t>
      </w:r>
    </w:p>
    <w:p>
      <w:pPr>
        <w:jc w:val="left"/>
      </w:pPr>
      <w:r>
        <w:rPr>
          <w:rFonts w:hint="eastAsia"/>
        </w:rPr>
        <w:t>或者</w:t>
      </w:r>
    </w:p>
    <w:p>
      <w:pPr>
        <w:jc w:val="left"/>
        <w:rPr>
          <w:color w:val="FF0000"/>
        </w:rPr>
      </w:pPr>
      <w:r>
        <w:rPr>
          <w:rFonts w:hint="eastAsia"/>
        </w:rPr>
        <w:t>供暖空调全年计算负荷比较：</w:t>
      </w:r>
    </w:p>
    <w:tbl>
      <w:tblPr>
        <w:tblStyle w:val="7"/>
        <w:tblW w:w="8312" w:type="dxa"/>
        <w:jc w:val="center"/>
        <w:tblLayout w:type="fixed"/>
        <w:tblCellMar>
          <w:top w:w="0" w:type="dxa"/>
          <w:left w:w="108" w:type="dxa"/>
          <w:bottom w:w="0" w:type="dxa"/>
          <w:right w:w="108" w:type="dxa"/>
        </w:tblCellMar>
      </w:tblPr>
      <w:tblGrid>
        <w:gridCol w:w="2467"/>
        <w:gridCol w:w="1168"/>
        <w:gridCol w:w="2322"/>
        <w:gridCol w:w="2355"/>
      </w:tblGrid>
      <w:tr>
        <w:tblPrEx>
          <w:tblCellMar>
            <w:top w:w="0" w:type="dxa"/>
            <w:left w:w="108" w:type="dxa"/>
            <w:bottom w:w="0" w:type="dxa"/>
            <w:right w:w="108" w:type="dxa"/>
          </w:tblCellMar>
        </w:tblPrEx>
        <w:trPr>
          <w:wBefore w:w="0" w:type="dxa"/>
          <w:cantSplit/>
          <w:trHeight w:val="285" w:hRule="atLeast"/>
          <w:jc w:val="center"/>
        </w:trPr>
        <w:tc>
          <w:tcPr>
            <w:tcW w:w="2467"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bookmarkStart w:id="232" w:name="_Hlk410304191"/>
          </w:p>
        </w:tc>
        <w:tc>
          <w:tcPr>
            <w:tcW w:w="1168" w:type="dxa"/>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单位</w:t>
            </w:r>
          </w:p>
        </w:tc>
        <w:tc>
          <w:tcPr>
            <w:tcW w:w="2322" w:type="dxa"/>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参照建筑（限值）</w:t>
            </w:r>
          </w:p>
        </w:tc>
        <w:tc>
          <w:tcPr>
            <w:tcW w:w="2355" w:type="dxa"/>
            <w:tcBorders>
              <w:top w:val="single" w:color="auto" w:sz="8" w:space="0"/>
              <w:left w:val="nil"/>
              <w:bottom w:val="single" w:color="auto" w:sz="4"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实际建筑</w:t>
            </w:r>
          </w:p>
        </w:tc>
      </w:tr>
      <w:tr>
        <w:tblPrEx>
          <w:tblCellMar>
            <w:top w:w="0" w:type="dxa"/>
            <w:left w:w="108" w:type="dxa"/>
            <w:bottom w:w="0" w:type="dxa"/>
            <w:right w:w="108" w:type="dxa"/>
          </w:tblCellMar>
        </w:tblPrEx>
        <w:trPr>
          <w:wBefore w:w="0" w:type="dxa"/>
          <w:cantSplit/>
          <w:trHeight w:val="285" w:hRule="atLeast"/>
          <w:jc w:val="center"/>
        </w:trPr>
        <w:tc>
          <w:tcPr>
            <w:tcW w:w="2467"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全年采暖负荷</w:t>
            </w:r>
          </w:p>
        </w:tc>
        <w:tc>
          <w:tcPr>
            <w:tcW w:w="11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kW</w:t>
            </w:r>
          </w:p>
        </w:tc>
        <w:tc>
          <w:tcPr>
            <w:tcW w:w="2322" w:type="dxa"/>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2355" w:type="dxa"/>
            <w:tcBorders>
              <w:top w:val="nil"/>
              <w:left w:val="nil"/>
              <w:bottom w:val="single" w:color="auto" w:sz="4" w:space="0"/>
              <w:right w:val="single" w:color="auto" w:sz="8"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2467"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全年空调负荷</w:t>
            </w:r>
          </w:p>
        </w:tc>
        <w:tc>
          <w:tcPr>
            <w:tcW w:w="11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kW</w:t>
            </w:r>
          </w:p>
        </w:tc>
        <w:tc>
          <w:tcPr>
            <w:tcW w:w="2322" w:type="dxa"/>
            <w:tcBorders>
              <w:top w:val="nil"/>
              <w:left w:val="nil"/>
              <w:bottom w:val="single" w:color="auto" w:sz="4" w:space="0"/>
              <w:right w:val="single" w:color="auto" w:sz="4"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2355" w:type="dxa"/>
            <w:tcBorders>
              <w:top w:val="nil"/>
              <w:left w:val="nil"/>
              <w:bottom w:val="single" w:color="auto" w:sz="4" w:space="0"/>
              <w:right w:val="single" w:color="auto" w:sz="8"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2467"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全年总负荷</w:t>
            </w:r>
          </w:p>
        </w:tc>
        <w:tc>
          <w:tcPr>
            <w:tcW w:w="11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kW</w:t>
            </w:r>
          </w:p>
        </w:tc>
        <w:tc>
          <w:tcPr>
            <w:tcW w:w="2322" w:type="dxa"/>
            <w:tcBorders>
              <w:top w:val="nil"/>
              <w:left w:val="nil"/>
              <w:bottom w:val="single" w:color="auto" w:sz="4" w:space="0"/>
              <w:right w:val="single" w:color="auto" w:sz="4"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2355" w:type="dxa"/>
            <w:tcBorders>
              <w:top w:val="nil"/>
              <w:left w:val="nil"/>
              <w:bottom w:val="single" w:color="auto" w:sz="4" w:space="0"/>
              <w:right w:val="single" w:color="auto" w:sz="8"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r>
      <w:bookmarkEnd w:id="232"/>
      <w:tr>
        <w:tblPrEx>
          <w:tblCellMar>
            <w:top w:w="0" w:type="dxa"/>
            <w:left w:w="108" w:type="dxa"/>
            <w:bottom w:w="0" w:type="dxa"/>
            <w:right w:w="108" w:type="dxa"/>
          </w:tblCellMar>
        </w:tblPrEx>
        <w:trPr>
          <w:wBefore w:w="0" w:type="dxa"/>
          <w:cantSplit/>
          <w:trHeight w:val="300" w:hRule="atLeast"/>
          <w:jc w:val="center"/>
        </w:trPr>
        <w:tc>
          <w:tcPr>
            <w:tcW w:w="2467" w:type="dxa"/>
            <w:tcBorders>
              <w:top w:val="nil"/>
              <w:left w:val="single" w:color="auto" w:sz="8" w:space="0"/>
              <w:bottom w:val="single" w:color="auto" w:sz="8"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负荷降低幅度</w:t>
            </w:r>
          </w:p>
        </w:tc>
        <w:tc>
          <w:tcPr>
            <w:tcW w:w="1168" w:type="dxa"/>
            <w:tcBorders>
              <w:top w:val="nil"/>
              <w:left w:val="nil"/>
              <w:bottom w:val="single" w:color="auto" w:sz="8" w:space="0"/>
              <w:right w:val="single" w:color="auto" w:sz="4" w:space="0"/>
            </w:tcBorders>
            <w:noWrap w:val="0"/>
            <w:vAlign w:val="center"/>
          </w:tcPr>
          <w:p>
            <w:pPr>
              <w:widowControl/>
              <w:jc w:val="center"/>
              <w:rPr>
                <w:rFonts w:ascii="Times New Roman" w:hAnsi="Times New Roman"/>
                <w:kern w:val="0"/>
                <w:szCs w:val="21"/>
              </w:rPr>
            </w:pPr>
            <w:r>
              <w:rPr>
                <w:rFonts w:hint="eastAsia" w:ascii="Times New Roman" w:hAnsi="Times New Roman"/>
                <w:kern w:val="0"/>
                <w:szCs w:val="21"/>
              </w:rPr>
              <w:t>%</w:t>
            </w:r>
          </w:p>
        </w:tc>
        <w:tc>
          <w:tcPr>
            <w:tcW w:w="4677" w:type="dxa"/>
            <w:gridSpan w:val="2"/>
            <w:tcBorders>
              <w:top w:val="nil"/>
              <w:left w:val="nil"/>
              <w:bottom w:val="single" w:color="auto" w:sz="8" w:space="0"/>
              <w:right w:val="single" w:color="auto" w:sz="8" w:space="0"/>
            </w:tcBorders>
            <w:noWrap w:val="0"/>
            <w:vAlign w:val="center"/>
          </w:tcPr>
          <w:p>
            <w:pPr>
              <w:pStyle w:val="11"/>
              <w:spacing w:line="288" w:lineRule="auto"/>
              <w:ind w:firstLine="360"/>
              <w:jc w:val="center"/>
              <w:outlineLvl w:val="9"/>
              <w:rPr>
                <w:sz w:val="21"/>
                <w:szCs w:val="21"/>
              </w:rPr>
            </w:pPr>
            <w:r>
              <w:rPr>
                <w:rFonts w:hint="eastAsia"/>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1）建筑竣工图及设计说明，应包含围护结构竣工详图；</w:t>
      </w:r>
    </w:p>
    <w:p>
      <w:pPr>
        <w:rPr>
          <w:rFonts w:ascii="Times New Roman" w:hAnsi="Times New Roman"/>
        </w:rPr>
      </w:pPr>
      <w:r>
        <w:rPr>
          <w:rFonts w:hint="eastAsia" w:ascii="Times New Roman" w:hAnsi="Times New Roman"/>
        </w:rPr>
        <w:t>2）围护结构热工性能参数表、当地建筑节能审查相关文件、节能工程竣工验收记录；</w:t>
      </w:r>
    </w:p>
    <w:p>
      <w:pPr>
        <w:rPr>
          <w:rFonts w:ascii="Times New Roman" w:hAnsi="Times New Roman"/>
        </w:rPr>
      </w:pPr>
      <w:r>
        <w:rPr>
          <w:rFonts w:hint="eastAsia" w:ascii="Times New Roman" w:hAnsi="Times New Roman"/>
        </w:rPr>
        <w:t>3）供暖空调全年计算负荷分析报告。</w:t>
      </w:r>
    </w:p>
    <w:p>
      <w:pPr>
        <w:pStyle w:val="10"/>
        <w:ind w:firstLine="0" w:firstLineChars="0"/>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7.2.5 供暖空调系统的冷、热源机组能效均优于现行国家标准《公共建筑节能设计标准》GB 50189的规定以及现行有关国家标准能效限定值的要求。（</w:t>
      </w:r>
      <w:r>
        <w:rPr>
          <w:sz w:val="24"/>
          <w:szCs w:val="40"/>
        </w:rPr>
        <w:t>10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r>
        <w:rPr>
          <w:rFonts w:hint="eastAsia" w:ascii="Times New Roman" w:hAnsi="Times New Roman"/>
          <w:b/>
          <w:szCs w:val="21"/>
        </w:rPr>
        <w:t>（城市市政</w:t>
      </w:r>
      <w:r>
        <w:rPr>
          <w:rFonts w:ascii="Times New Roman" w:hAnsi="Times New Roman"/>
          <w:b/>
          <w:szCs w:val="21"/>
        </w:rPr>
        <w:t>热源</w:t>
      </w:r>
      <w:r>
        <w:rPr>
          <w:rFonts w:hint="eastAsia" w:ascii="Times New Roman" w:hAnsi="Times New Roman"/>
          <w:b/>
          <w:szCs w:val="21"/>
        </w:rPr>
        <w:t>项目</w:t>
      </w:r>
      <w:r>
        <w:rPr>
          <w:rFonts w:ascii="Times New Roman" w:hAnsi="Times New Roman"/>
          <w:b/>
          <w:szCs w:val="21"/>
        </w:rPr>
        <w:t>，热源机组能效</w:t>
      </w:r>
      <w:r>
        <w:rPr>
          <w:rFonts w:hint="eastAsia" w:ascii="Times New Roman" w:hAnsi="Times New Roman"/>
          <w:b/>
          <w:szCs w:val="21"/>
        </w:rPr>
        <w:t>不参评）</w:t>
      </w:r>
    </w:p>
    <w:tbl>
      <w:tblPr>
        <w:tblStyle w:val="7"/>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567"/>
        <w:gridCol w:w="992"/>
        <w:gridCol w:w="1418"/>
        <w:gridCol w:w="1417"/>
        <w:gridCol w:w="1559"/>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6" w:type="dxa"/>
            <w:vMerge w:val="restart"/>
            <w:noWrap w:val="0"/>
            <w:vAlign w:val="center"/>
          </w:tcPr>
          <w:p>
            <w:pPr>
              <w:spacing w:line="288" w:lineRule="auto"/>
              <w:jc w:val="center"/>
              <w:rPr>
                <w:rFonts w:ascii="Times New Roman" w:hAnsi="Times New Roman"/>
                <w:kern w:val="0"/>
                <w:szCs w:val="21"/>
              </w:rPr>
            </w:pPr>
            <w:r>
              <w:rPr>
                <w:rFonts w:ascii="Times New Roman" w:hAnsi="Times New Roman"/>
                <w:szCs w:val="21"/>
              </w:rPr>
              <w:t>序号</w:t>
            </w:r>
          </w:p>
        </w:tc>
        <w:tc>
          <w:tcPr>
            <w:tcW w:w="4394" w:type="dxa"/>
            <w:gridSpan w:val="4"/>
            <w:noWrap w:val="0"/>
            <w:vAlign w:val="center"/>
          </w:tcPr>
          <w:p>
            <w:pPr>
              <w:spacing w:line="288" w:lineRule="auto"/>
              <w:jc w:val="center"/>
              <w:rPr>
                <w:rFonts w:ascii="Times New Roman" w:hAnsi="Times New Roman"/>
                <w:kern w:val="0"/>
                <w:szCs w:val="21"/>
              </w:rPr>
            </w:pPr>
            <w:r>
              <w:rPr>
                <w:rFonts w:ascii="Times New Roman" w:hAnsi="Times New Roman"/>
                <w:szCs w:val="21"/>
              </w:rPr>
              <w:t>评价内容</w:t>
            </w:r>
          </w:p>
        </w:tc>
        <w:tc>
          <w:tcPr>
            <w:tcW w:w="1559" w:type="dxa"/>
            <w:vMerge w:val="restart"/>
            <w:noWrap w:val="0"/>
            <w:vAlign w:val="center"/>
          </w:tcPr>
          <w:p>
            <w:pPr>
              <w:spacing w:line="288" w:lineRule="auto"/>
              <w:jc w:val="center"/>
              <w:rPr>
                <w:rFonts w:ascii="Times New Roman" w:hAnsi="Times New Roman"/>
                <w:kern w:val="0"/>
                <w:szCs w:val="21"/>
              </w:rPr>
            </w:pPr>
            <w:r>
              <w:rPr>
                <w:rFonts w:ascii="Times New Roman" w:hAnsi="Times New Roman"/>
                <w:szCs w:val="21"/>
              </w:rPr>
              <w:t>评价分值</w:t>
            </w:r>
          </w:p>
        </w:tc>
        <w:tc>
          <w:tcPr>
            <w:tcW w:w="1407" w:type="dxa"/>
            <w:vMerge w:val="restart"/>
            <w:noWrap w:val="0"/>
            <w:vAlign w:val="center"/>
          </w:tcPr>
          <w:p>
            <w:pPr>
              <w:spacing w:line="288" w:lineRule="auto"/>
              <w:jc w:val="center"/>
              <w:rPr>
                <w:rFonts w:ascii="Times New Roman" w:hAnsi="Times New Roman"/>
                <w:kern w:val="0"/>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1559" w:type="dxa"/>
            <w:gridSpan w:val="2"/>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机组类型</w:t>
            </w:r>
          </w:p>
        </w:tc>
        <w:tc>
          <w:tcPr>
            <w:tcW w:w="1418"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能效指标</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提升幅度</w:t>
            </w:r>
          </w:p>
        </w:tc>
        <w:tc>
          <w:tcPr>
            <w:tcW w:w="1559" w:type="dxa"/>
            <w:vMerge w:val="continue"/>
            <w:noWrap w:val="0"/>
            <w:vAlign w:val="center"/>
          </w:tcPr>
          <w:p>
            <w:pPr>
              <w:spacing w:line="288" w:lineRule="auto"/>
              <w:jc w:val="center"/>
              <w:rPr>
                <w:rFonts w:ascii="Times New Roman" w:hAnsi="Times New Roman"/>
                <w:kern w:val="0"/>
                <w:szCs w:val="21"/>
              </w:rPr>
            </w:pP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756"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1</w:t>
            </w:r>
          </w:p>
        </w:tc>
        <w:tc>
          <w:tcPr>
            <w:tcW w:w="1559" w:type="dxa"/>
            <w:gridSpan w:val="2"/>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电机驱动的蒸汽压缩循环冷水（热泵）机组</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制冷性能系数（COP）</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提高6%</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1559" w:type="dxa"/>
            <w:gridSpan w:val="2"/>
            <w:vMerge w:val="continue"/>
            <w:noWrap w:val="0"/>
            <w:vAlign w:val="center"/>
          </w:tcPr>
          <w:p>
            <w:pPr>
              <w:spacing w:line="288" w:lineRule="auto"/>
              <w:jc w:val="left"/>
              <w:rPr>
                <w:rFonts w:ascii="Times New Roman" w:hAnsi="Times New Roman"/>
                <w:kern w:val="0"/>
                <w:szCs w:val="21"/>
              </w:rPr>
            </w:pPr>
          </w:p>
        </w:tc>
        <w:tc>
          <w:tcPr>
            <w:tcW w:w="1418" w:type="dxa"/>
            <w:vMerge w:val="continue"/>
            <w:noWrap w:val="0"/>
            <w:vAlign w:val="center"/>
          </w:tcPr>
          <w:p>
            <w:pPr>
              <w:spacing w:line="288" w:lineRule="auto"/>
              <w:jc w:val="center"/>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提高12%</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6"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2</w:t>
            </w:r>
          </w:p>
        </w:tc>
        <w:tc>
          <w:tcPr>
            <w:tcW w:w="1559" w:type="dxa"/>
            <w:gridSpan w:val="2"/>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直燃型溴化锂吸收式冷（温）水机组</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制冷、供热性能系数（COP）</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提高6%</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1559" w:type="dxa"/>
            <w:gridSpan w:val="2"/>
            <w:vMerge w:val="continue"/>
            <w:noWrap w:val="0"/>
            <w:vAlign w:val="center"/>
          </w:tcPr>
          <w:p>
            <w:pPr>
              <w:spacing w:line="288" w:lineRule="auto"/>
              <w:jc w:val="left"/>
              <w:rPr>
                <w:rFonts w:ascii="Times New Roman" w:hAnsi="Times New Roman"/>
                <w:kern w:val="0"/>
                <w:szCs w:val="21"/>
              </w:rPr>
            </w:pPr>
          </w:p>
        </w:tc>
        <w:tc>
          <w:tcPr>
            <w:tcW w:w="1418" w:type="dxa"/>
            <w:vMerge w:val="continue"/>
            <w:noWrap w:val="0"/>
            <w:vAlign w:val="center"/>
          </w:tcPr>
          <w:p>
            <w:pPr>
              <w:spacing w:line="288" w:lineRule="auto"/>
              <w:jc w:val="center"/>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提高12%</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756"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3</w:t>
            </w:r>
          </w:p>
        </w:tc>
        <w:tc>
          <w:tcPr>
            <w:tcW w:w="1559" w:type="dxa"/>
            <w:gridSpan w:val="2"/>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单元式空气调节机、风管送风式和屋顶式空调机组</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能效比（EER）</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提高6%</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1559" w:type="dxa"/>
            <w:gridSpan w:val="2"/>
            <w:vMerge w:val="continue"/>
            <w:noWrap w:val="0"/>
            <w:vAlign w:val="center"/>
          </w:tcPr>
          <w:p>
            <w:pPr>
              <w:spacing w:line="288" w:lineRule="auto"/>
              <w:jc w:val="left"/>
              <w:rPr>
                <w:rFonts w:ascii="Times New Roman" w:hAnsi="Times New Roman"/>
                <w:kern w:val="0"/>
                <w:szCs w:val="21"/>
              </w:rPr>
            </w:pPr>
          </w:p>
        </w:tc>
        <w:tc>
          <w:tcPr>
            <w:tcW w:w="1418" w:type="dxa"/>
            <w:vMerge w:val="continue"/>
            <w:noWrap w:val="0"/>
            <w:vAlign w:val="center"/>
          </w:tcPr>
          <w:p>
            <w:pPr>
              <w:spacing w:line="288" w:lineRule="auto"/>
              <w:jc w:val="center"/>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提高12%</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8" w:hRule="atLeast"/>
          <w:jc w:val="center"/>
        </w:trPr>
        <w:tc>
          <w:tcPr>
            <w:tcW w:w="756"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4</w:t>
            </w:r>
          </w:p>
        </w:tc>
        <w:tc>
          <w:tcPr>
            <w:tcW w:w="1559" w:type="dxa"/>
            <w:gridSpan w:val="2"/>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多联式空调（热泵）机组</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制冷综合性能系数（IPLV）</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提高8%</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7"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1559" w:type="dxa"/>
            <w:gridSpan w:val="2"/>
            <w:vMerge w:val="continue"/>
            <w:noWrap w:val="0"/>
            <w:vAlign w:val="center"/>
          </w:tcPr>
          <w:p>
            <w:pPr>
              <w:spacing w:line="288" w:lineRule="auto"/>
              <w:jc w:val="center"/>
              <w:rPr>
                <w:rFonts w:ascii="Times New Roman" w:hAnsi="Times New Roman"/>
                <w:kern w:val="0"/>
                <w:szCs w:val="21"/>
              </w:rPr>
            </w:pPr>
          </w:p>
        </w:tc>
        <w:tc>
          <w:tcPr>
            <w:tcW w:w="1418" w:type="dxa"/>
            <w:vMerge w:val="continue"/>
            <w:noWrap w:val="0"/>
            <w:vAlign w:val="center"/>
          </w:tcPr>
          <w:p>
            <w:pPr>
              <w:spacing w:line="288" w:lineRule="auto"/>
              <w:jc w:val="center"/>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提高16%</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8" w:hRule="atLeast"/>
          <w:jc w:val="center"/>
        </w:trPr>
        <w:tc>
          <w:tcPr>
            <w:tcW w:w="756"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5</w:t>
            </w:r>
          </w:p>
        </w:tc>
        <w:tc>
          <w:tcPr>
            <w:tcW w:w="567" w:type="dxa"/>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锅炉</w:t>
            </w:r>
          </w:p>
        </w:tc>
        <w:tc>
          <w:tcPr>
            <w:tcW w:w="992" w:type="dxa"/>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燃煤</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热效率</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提高3%</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7"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567" w:type="dxa"/>
            <w:vMerge w:val="continue"/>
            <w:noWrap w:val="0"/>
            <w:vAlign w:val="center"/>
          </w:tcPr>
          <w:p>
            <w:pPr>
              <w:spacing w:line="288" w:lineRule="auto"/>
              <w:jc w:val="left"/>
              <w:rPr>
                <w:rFonts w:ascii="Times New Roman" w:hAnsi="Times New Roman"/>
                <w:kern w:val="0"/>
                <w:szCs w:val="21"/>
              </w:rPr>
            </w:pPr>
          </w:p>
        </w:tc>
        <w:tc>
          <w:tcPr>
            <w:tcW w:w="992" w:type="dxa"/>
            <w:vMerge w:val="continue"/>
            <w:noWrap w:val="0"/>
            <w:vAlign w:val="center"/>
          </w:tcPr>
          <w:p>
            <w:pPr>
              <w:spacing w:line="288" w:lineRule="auto"/>
              <w:jc w:val="left"/>
              <w:rPr>
                <w:rFonts w:ascii="Times New Roman" w:hAnsi="Times New Roman"/>
                <w:kern w:val="0"/>
                <w:szCs w:val="21"/>
              </w:rPr>
            </w:pPr>
          </w:p>
        </w:tc>
        <w:tc>
          <w:tcPr>
            <w:tcW w:w="1418" w:type="dxa"/>
            <w:vMerge w:val="continue"/>
            <w:noWrap w:val="0"/>
            <w:vAlign w:val="center"/>
          </w:tcPr>
          <w:p>
            <w:pPr>
              <w:spacing w:line="288" w:lineRule="auto"/>
              <w:jc w:val="center"/>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提高6%</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8"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567" w:type="dxa"/>
            <w:vMerge w:val="continue"/>
            <w:noWrap w:val="0"/>
            <w:vAlign w:val="center"/>
          </w:tcPr>
          <w:p>
            <w:pPr>
              <w:spacing w:line="288" w:lineRule="auto"/>
              <w:jc w:val="left"/>
              <w:rPr>
                <w:rFonts w:ascii="Times New Roman" w:hAnsi="Times New Roman"/>
                <w:kern w:val="0"/>
                <w:szCs w:val="21"/>
              </w:rPr>
            </w:pPr>
          </w:p>
        </w:tc>
        <w:tc>
          <w:tcPr>
            <w:tcW w:w="992" w:type="dxa"/>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燃油</w:t>
            </w:r>
          </w:p>
          <w:p>
            <w:pPr>
              <w:spacing w:line="288" w:lineRule="auto"/>
              <w:jc w:val="left"/>
              <w:rPr>
                <w:rFonts w:ascii="Times New Roman" w:hAnsi="Times New Roman"/>
                <w:kern w:val="0"/>
                <w:szCs w:val="21"/>
              </w:rPr>
            </w:pPr>
            <w:r>
              <w:rPr>
                <w:rFonts w:ascii="Times New Roman" w:hAnsi="Times New Roman"/>
                <w:kern w:val="0"/>
                <w:szCs w:val="21"/>
              </w:rPr>
              <w:t>燃气</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热效率</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提高2%</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7"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567" w:type="dxa"/>
            <w:vMerge w:val="continue"/>
            <w:noWrap w:val="0"/>
            <w:vAlign w:val="center"/>
          </w:tcPr>
          <w:p>
            <w:pPr>
              <w:spacing w:line="288" w:lineRule="auto"/>
              <w:jc w:val="left"/>
              <w:rPr>
                <w:rFonts w:ascii="Times New Roman" w:hAnsi="Times New Roman"/>
                <w:kern w:val="0"/>
                <w:szCs w:val="21"/>
              </w:rPr>
            </w:pPr>
          </w:p>
        </w:tc>
        <w:tc>
          <w:tcPr>
            <w:tcW w:w="992" w:type="dxa"/>
            <w:vMerge w:val="continue"/>
            <w:noWrap w:val="0"/>
            <w:vAlign w:val="center"/>
          </w:tcPr>
          <w:p>
            <w:pPr>
              <w:spacing w:line="288" w:lineRule="auto"/>
              <w:jc w:val="left"/>
              <w:rPr>
                <w:rFonts w:ascii="Times New Roman" w:hAnsi="Times New Roman"/>
                <w:kern w:val="0"/>
                <w:szCs w:val="21"/>
              </w:rPr>
            </w:pPr>
          </w:p>
        </w:tc>
        <w:tc>
          <w:tcPr>
            <w:tcW w:w="1418" w:type="dxa"/>
            <w:vMerge w:val="continue"/>
            <w:noWrap w:val="0"/>
            <w:vAlign w:val="center"/>
          </w:tcPr>
          <w:p>
            <w:pPr>
              <w:spacing w:line="288" w:lineRule="auto"/>
              <w:jc w:val="left"/>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提高4%</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756"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6</w:t>
            </w:r>
          </w:p>
        </w:tc>
        <w:tc>
          <w:tcPr>
            <w:tcW w:w="1559" w:type="dxa"/>
            <w:gridSpan w:val="2"/>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房间空气调节器</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能效比（EER）、能源消耗效率</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节能评价值</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1559" w:type="dxa"/>
            <w:gridSpan w:val="2"/>
            <w:vMerge w:val="continue"/>
            <w:noWrap w:val="0"/>
            <w:vAlign w:val="center"/>
          </w:tcPr>
          <w:p>
            <w:pPr>
              <w:spacing w:line="288" w:lineRule="auto"/>
              <w:jc w:val="left"/>
              <w:rPr>
                <w:rFonts w:ascii="Times New Roman" w:hAnsi="Times New Roman"/>
                <w:kern w:val="0"/>
                <w:szCs w:val="21"/>
              </w:rPr>
            </w:pPr>
          </w:p>
        </w:tc>
        <w:tc>
          <w:tcPr>
            <w:tcW w:w="1418" w:type="dxa"/>
            <w:vMerge w:val="continue"/>
            <w:noWrap w:val="0"/>
            <w:vAlign w:val="center"/>
          </w:tcPr>
          <w:p>
            <w:pPr>
              <w:spacing w:line="288" w:lineRule="auto"/>
              <w:jc w:val="center"/>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hint="eastAsia" w:ascii="宋体" w:hAnsi="宋体" w:cs="宋体"/>
                <w:szCs w:val="21"/>
              </w:rPr>
              <w:t>Ⅰ</w:t>
            </w:r>
            <w:r>
              <w:rPr>
                <w:rFonts w:ascii="Times New Roman" w:hAnsi="Times New Roman"/>
                <w:kern w:val="0"/>
                <w:szCs w:val="21"/>
              </w:rPr>
              <w:t>级能效限值</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8" w:hRule="atLeast"/>
          <w:jc w:val="center"/>
        </w:trPr>
        <w:tc>
          <w:tcPr>
            <w:tcW w:w="756"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7</w:t>
            </w:r>
          </w:p>
        </w:tc>
        <w:tc>
          <w:tcPr>
            <w:tcW w:w="1559" w:type="dxa"/>
            <w:gridSpan w:val="2"/>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家用燃气热水炉</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热效率值（η）</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节能评价值</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7"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1559" w:type="dxa"/>
            <w:gridSpan w:val="2"/>
            <w:vMerge w:val="continue"/>
            <w:noWrap w:val="0"/>
            <w:vAlign w:val="center"/>
          </w:tcPr>
          <w:p>
            <w:pPr>
              <w:spacing w:line="288" w:lineRule="auto"/>
              <w:jc w:val="left"/>
              <w:rPr>
                <w:rFonts w:ascii="Times New Roman" w:hAnsi="Times New Roman"/>
                <w:kern w:val="0"/>
                <w:szCs w:val="21"/>
              </w:rPr>
            </w:pPr>
          </w:p>
        </w:tc>
        <w:tc>
          <w:tcPr>
            <w:tcW w:w="1418" w:type="dxa"/>
            <w:vMerge w:val="continue"/>
            <w:noWrap w:val="0"/>
            <w:vAlign w:val="center"/>
          </w:tcPr>
          <w:p>
            <w:pPr>
              <w:spacing w:line="288" w:lineRule="auto"/>
              <w:jc w:val="center"/>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hint="eastAsia" w:ascii="宋体" w:hAnsi="宋体" w:cs="宋体"/>
                <w:szCs w:val="21"/>
              </w:rPr>
              <w:t>Ⅰ</w:t>
            </w:r>
            <w:r>
              <w:rPr>
                <w:rFonts w:ascii="Times New Roman" w:hAnsi="Times New Roman"/>
                <w:kern w:val="0"/>
                <w:szCs w:val="21"/>
              </w:rPr>
              <w:t>级能效限值</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756"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8</w:t>
            </w:r>
          </w:p>
        </w:tc>
        <w:tc>
          <w:tcPr>
            <w:tcW w:w="1559" w:type="dxa"/>
            <w:gridSpan w:val="2"/>
            <w:vMerge w:val="restart"/>
            <w:noWrap w:val="0"/>
            <w:vAlign w:val="center"/>
          </w:tcPr>
          <w:p>
            <w:pPr>
              <w:spacing w:line="288" w:lineRule="auto"/>
              <w:jc w:val="left"/>
              <w:rPr>
                <w:rFonts w:ascii="Times New Roman" w:hAnsi="Times New Roman"/>
                <w:kern w:val="0"/>
                <w:szCs w:val="21"/>
              </w:rPr>
            </w:pPr>
            <w:r>
              <w:rPr>
                <w:rFonts w:ascii="Times New Roman" w:hAnsi="Times New Roman"/>
                <w:kern w:val="0"/>
                <w:szCs w:val="21"/>
              </w:rPr>
              <w:t>蒸汽型溴化锂吸收式冷水机组</w:t>
            </w:r>
          </w:p>
        </w:tc>
        <w:tc>
          <w:tcPr>
            <w:tcW w:w="1418"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制冷、供热性能系数（COP）</w:t>
            </w:r>
          </w:p>
        </w:tc>
        <w:tc>
          <w:tcPr>
            <w:tcW w:w="1417"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节能评价值</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756" w:type="dxa"/>
            <w:vMerge w:val="continue"/>
            <w:noWrap w:val="0"/>
            <w:vAlign w:val="center"/>
          </w:tcPr>
          <w:p>
            <w:pPr>
              <w:spacing w:line="288" w:lineRule="auto"/>
              <w:jc w:val="center"/>
              <w:rPr>
                <w:rFonts w:ascii="Times New Roman" w:hAnsi="Times New Roman"/>
                <w:kern w:val="0"/>
                <w:szCs w:val="21"/>
              </w:rPr>
            </w:pPr>
          </w:p>
        </w:tc>
        <w:tc>
          <w:tcPr>
            <w:tcW w:w="1559" w:type="dxa"/>
            <w:gridSpan w:val="2"/>
            <w:vMerge w:val="continue"/>
            <w:noWrap w:val="0"/>
            <w:vAlign w:val="center"/>
          </w:tcPr>
          <w:p>
            <w:pPr>
              <w:spacing w:line="288" w:lineRule="auto"/>
              <w:jc w:val="center"/>
              <w:rPr>
                <w:rFonts w:ascii="Times New Roman" w:hAnsi="Times New Roman"/>
                <w:kern w:val="0"/>
                <w:szCs w:val="21"/>
              </w:rPr>
            </w:pPr>
          </w:p>
        </w:tc>
        <w:tc>
          <w:tcPr>
            <w:tcW w:w="1418" w:type="dxa"/>
            <w:vMerge w:val="continue"/>
            <w:noWrap w:val="0"/>
            <w:vAlign w:val="center"/>
          </w:tcPr>
          <w:p>
            <w:pPr>
              <w:spacing w:line="288" w:lineRule="auto"/>
              <w:jc w:val="center"/>
              <w:rPr>
                <w:rFonts w:ascii="Times New Roman" w:hAnsi="Times New Roman"/>
                <w:kern w:val="0"/>
                <w:szCs w:val="21"/>
              </w:rPr>
            </w:pPr>
          </w:p>
        </w:tc>
        <w:tc>
          <w:tcPr>
            <w:tcW w:w="1417" w:type="dxa"/>
            <w:noWrap w:val="0"/>
            <w:vAlign w:val="center"/>
          </w:tcPr>
          <w:p>
            <w:pPr>
              <w:spacing w:line="288" w:lineRule="auto"/>
              <w:jc w:val="center"/>
              <w:rPr>
                <w:rFonts w:ascii="Times New Roman" w:hAnsi="Times New Roman"/>
                <w:kern w:val="0"/>
                <w:szCs w:val="21"/>
              </w:rPr>
            </w:pPr>
            <w:r>
              <w:rPr>
                <w:rFonts w:hint="eastAsia" w:ascii="宋体" w:hAnsi="宋体" w:cs="宋体"/>
                <w:szCs w:val="21"/>
              </w:rPr>
              <w:t>Ⅰ</w:t>
            </w:r>
            <w:r>
              <w:rPr>
                <w:rFonts w:ascii="Times New Roman" w:hAnsi="Times New Roman"/>
                <w:kern w:val="0"/>
                <w:szCs w:val="21"/>
              </w:rPr>
              <w:t>级能效限值</w:t>
            </w:r>
          </w:p>
        </w:tc>
        <w:tc>
          <w:tcPr>
            <w:tcW w:w="1559" w:type="dxa"/>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continue"/>
            <w:noWrap w:val="0"/>
            <w:vAlign w:val="center"/>
          </w:tcPr>
          <w:p>
            <w:pPr>
              <w:spacing w:line="288"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5150" w:type="dxa"/>
            <w:gridSpan w:val="5"/>
            <w:noWrap w:val="0"/>
            <w:vAlign w:val="center"/>
          </w:tcPr>
          <w:p>
            <w:pPr>
              <w:spacing w:line="288" w:lineRule="auto"/>
              <w:jc w:val="center"/>
              <w:rPr>
                <w:rFonts w:ascii="宋体" w:hAnsi="宋体" w:cs="宋体"/>
                <w:szCs w:val="21"/>
              </w:rPr>
            </w:pPr>
            <w:r>
              <w:t>合计</w:t>
            </w:r>
          </w:p>
        </w:tc>
        <w:tc>
          <w:tcPr>
            <w:tcW w:w="1559" w:type="dxa"/>
            <w:noWrap w:val="0"/>
            <w:vAlign w:val="center"/>
          </w:tcPr>
          <w:p>
            <w:pPr>
              <w:spacing w:line="288" w:lineRule="auto"/>
              <w:jc w:val="center"/>
              <w:rPr>
                <w:rFonts w:ascii="Times New Roman" w:hAnsi="Times New Roman"/>
                <w:kern w:val="0"/>
                <w:szCs w:val="21"/>
              </w:rPr>
            </w:pPr>
            <w:r>
              <w:rPr>
                <w:rFonts w:hint="eastAsia" w:ascii="Times New Roman" w:hAnsi="Times New Roman"/>
                <w:kern w:val="0"/>
                <w:szCs w:val="21"/>
              </w:rPr>
              <w:t>10</w:t>
            </w:r>
          </w:p>
        </w:tc>
        <w:tc>
          <w:tcPr>
            <w:tcW w:w="1407" w:type="dxa"/>
            <w:noWrap w:val="0"/>
            <w:vAlign w:val="center"/>
          </w:tcPr>
          <w:p>
            <w:pPr>
              <w:spacing w:line="288" w:lineRule="auto"/>
              <w:jc w:val="center"/>
              <w:rPr>
                <w:rFonts w:ascii="Times New Roman" w:hAnsi="Times New Roman"/>
                <w:kern w:val="0"/>
                <w:szCs w:val="21"/>
              </w:rPr>
            </w:pPr>
            <w:r>
              <w:rPr>
                <w:rFonts w:hint="eastAsia" w:ascii="Times New Roman" w:hAnsi="Times New Roman"/>
                <w:szCs w:val="21"/>
              </w:rPr>
              <w:t xml:space="preserve">  </w:t>
            </w:r>
          </w:p>
        </w:tc>
      </w:tr>
    </w:tbl>
    <w:p>
      <w:pPr>
        <w:widowControl/>
        <w:jc w:val="left"/>
        <w:rPr>
          <w:rFonts w:ascii="Times New Roman" w:hAnsi="Times New Roman"/>
          <w:b/>
          <w:szCs w:val="21"/>
        </w:rPr>
      </w:pPr>
    </w:p>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ascii="宋体" w:hAnsi="宋体" w:cs="宋体"/>
          <w:kern w:val="0"/>
          <w:szCs w:val="21"/>
        </w:rPr>
        <w:t>请简要说明供暖空调</w:t>
      </w:r>
      <w:r>
        <w:rPr>
          <w:rFonts w:ascii="宋体" w:hAnsi="宋体" w:cs="宋体"/>
          <w:kern w:val="0"/>
          <w:szCs w:val="21"/>
        </w:rPr>
        <w:t>系统的冷、热源机组类型</w:t>
      </w:r>
      <w:r>
        <w:rPr>
          <w:rFonts w:hint="eastAsia" w:ascii="宋体" w:hAnsi="宋体" w:cs="宋体"/>
          <w:kern w:val="0"/>
          <w:szCs w:val="21"/>
        </w:rPr>
        <w:t>、</w:t>
      </w:r>
      <w:r>
        <w:rPr>
          <w:rFonts w:ascii="宋体" w:hAnsi="宋体" w:cs="宋体"/>
          <w:kern w:val="0"/>
          <w:szCs w:val="21"/>
        </w:rPr>
        <w:t>能效等级</w:t>
      </w:r>
      <w:r>
        <w:rPr>
          <w:rFonts w:hint="eastAsia" w:ascii="宋体" w:hAnsi="宋体" w:cs="宋体"/>
          <w:kern w:val="0"/>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本项目冷热、源由热泵机组提供，无电直接加热设备作为空调系统的供暖热源。</w:t>
            </w:r>
          </w:p>
          <w:p>
            <w:pPr>
              <w:ind w:firstLine="400" w:firstLineChars="200"/>
              <w:rPr>
                <w:rFonts w:ascii="Times New Roman" w:hAnsi="Times New Roman"/>
                <w:kern w:val="0"/>
                <w:sz w:val="20"/>
                <w:szCs w:val="21"/>
              </w:rPr>
            </w:pPr>
            <w:r>
              <w:rPr>
                <w:rFonts w:hint="eastAsia" w:ascii="Times New Roman" w:hAnsi="Times New Roman"/>
                <w:kern w:val="0"/>
                <w:sz w:val="20"/>
                <w:szCs w:val="21"/>
              </w:rPr>
              <w:t>宿舍：空调系统采用多联机空调系统，室外机组制冷量为377KW,功率为107.3KW；制热量为420KW,功率为106.02KW。食堂：空调系统采用多联机空调系统，室外机组制冷量为370.5KW,功率为104.85KW；制热量为412.5KW,功率为103.98KW。教学综合楼：空调系统采用多联机空调系统，室外机组制冷量为1239KW,功率为373.9KW；制热量为1386KW,功率为357.06KW。报告厅：合班教室和休息室采用单体空调+新风换气机组；报告厅采用商用直膨式空调机组。制冷量为279KW,功率为97.52KW；制热量为308.7KW,功率为95.12KW。</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1）暖通专业竣工图及设计说明，</w:t>
      </w:r>
      <w:r>
        <w:rPr>
          <w:rFonts w:ascii="Times New Roman" w:hAnsi="Times New Roman"/>
        </w:rPr>
        <w:t>应包含设备表等设计文件</w:t>
      </w:r>
      <w:r>
        <w:rPr>
          <w:rFonts w:hint="eastAsia" w:ascii="Times New Roman" w:hAnsi="Times New Roman"/>
        </w:rPr>
        <w:t>；</w:t>
      </w:r>
    </w:p>
    <w:p>
      <w:pPr>
        <w:rPr>
          <w:rFonts w:ascii="Times New Roman" w:hAnsi="Times New Roman"/>
        </w:rPr>
      </w:pPr>
      <w:r>
        <w:rPr>
          <w:rFonts w:hint="eastAsia" w:ascii="Times New Roman" w:hAnsi="Times New Roman"/>
        </w:rPr>
        <w:t>2）冷热源机组采购清单、产品</w:t>
      </w:r>
      <w:r>
        <w:rPr>
          <w:rFonts w:ascii="Times New Roman" w:hAnsi="Times New Roman"/>
        </w:rPr>
        <w:t>说明书、</w:t>
      </w:r>
      <w:r>
        <w:rPr>
          <w:rFonts w:hint="eastAsia" w:ascii="Times New Roman" w:hAnsi="Times New Roman"/>
        </w:rPr>
        <w:t>产品型式性能检测</w:t>
      </w:r>
      <w:r>
        <w:rPr>
          <w:rFonts w:ascii="Times New Roman" w:hAnsi="Times New Roman"/>
        </w:rPr>
        <w:t>报告</w:t>
      </w:r>
      <w:r>
        <w:rPr>
          <w:rFonts w:hint="eastAsia" w:ascii="Times New Roman" w:hAnsi="Times New Roman"/>
        </w:rPr>
        <w:t>。</w:t>
      </w:r>
    </w:p>
    <w:p>
      <w:pPr>
        <w:adjustRightInd w:val="0"/>
        <w:snapToGrid w:val="0"/>
        <w:spacing w:line="288" w:lineRule="auto"/>
        <w:ind w:left="-55" w:leftChars="-52" w:hanging="54" w:hangingChars="26"/>
        <w:rPr>
          <w:rFonts w:ascii="宋体" w:hAnsi="宋体" w:cs="宋体"/>
          <w:bCs/>
          <w:kern w:val="0"/>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7.2.6 采取有效措施降低供暖空调系统的末端系统及输配系统的能耗。（</w:t>
      </w:r>
      <w:r>
        <w:rPr>
          <w:sz w:val="24"/>
          <w:szCs w:val="40"/>
        </w:rPr>
        <w:t>5</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7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94"/>
        <w:gridCol w:w="155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1" w:hRule="atLeast"/>
          <w:jc w:val="center"/>
        </w:trPr>
        <w:tc>
          <w:tcPr>
            <w:tcW w:w="733" w:type="dxa"/>
            <w:noWrap w:val="0"/>
            <w:vAlign w:val="center"/>
          </w:tcPr>
          <w:p>
            <w:pPr>
              <w:pStyle w:val="10"/>
              <w:ind w:firstLine="0" w:firstLineChars="0"/>
              <w:jc w:val="center"/>
            </w:pPr>
            <w:r>
              <w:rPr>
                <w:szCs w:val="21"/>
              </w:rPr>
              <w:t>序号</w:t>
            </w:r>
          </w:p>
        </w:tc>
        <w:tc>
          <w:tcPr>
            <w:tcW w:w="4394" w:type="dxa"/>
            <w:noWrap w:val="0"/>
            <w:vAlign w:val="center"/>
          </w:tcPr>
          <w:p>
            <w:pPr>
              <w:pStyle w:val="10"/>
              <w:ind w:firstLine="0" w:firstLineChars="0"/>
              <w:jc w:val="center"/>
            </w:pPr>
            <w:r>
              <w:rPr>
                <w:szCs w:val="21"/>
              </w:rPr>
              <w:t>评价内容</w:t>
            </w:r>
          </w:p>
        </w:tc>
        <w:tc>
          <w:tcPr>
            <w:tcW w:w="1559" w:type="dxa"/>
            <w:noWrap w:val="0"/>
            <w:vAlign w:val="center"/>
          </w:tcPr>
          <w:p>
            <w:pPr>
              <w:pStyle w:val="10"/>
              <w:ind w:firstLine="0" w:firstLineChars="0"/>
              <w:jc w:val="center"/>
            </w:pPr>
            <w:r>
              <w:rPr>
                <w:szCs w:val="21"/>
              </w:rPr>
              <w:t>评价分值</w:t>
            </w:r>
          </w:p>
        </w:tc>
        <w:tc>
          <w:tcPr>
            <w:tcW w:w="1300" w:type="dxa"/>
            <w:noWrap w:val="0"/>
            <w:vAlign w:val="center"/>
          </w:tcPr>
          <w:p>
            <w:pPr>
              <w:pStyle w:val="10"/>
              <w:ind w:firstLine="0" w:firstLineChars="0"/>
              <w:jc w:val="center"/>
            </w:pPr>
            <w:r>
              <w:rPr>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733" w:type="dxa"/>
            <w:vMerge w:val="restart"/>
            <w:noWrap w:val="0"/>
            <w:vAlign w:val="center"/>
          </w:tcPr>
          <w:p>
            <w:pPr>
              <w:pStyle w:val="10"/>
              <w:ind w:firstLine="0" w:firstLineChars="0"/>
              <w:jc w:val="center"/>
            </w:pPr>
            <w:r>
              <w:rPr>
                <w:rFonts w:hint="eastAsia"/>
              </w:rPr>
              <w:t>1</w:t>
            </w:r>
          </w:p>
        </w:tc>
        <w:tc>
          <w:tcPr>
            <w:tcW w:w="4394" w:type="dxa"/>
            <w:noWrap w:val="0"/>
            <w:vAlign w:val="center"/>
          </w:tcPr>
          <w:p>
            <w:pPr>
              <w:pStyle w:val="10"/>
              <w:ind w:firstLine="0" w:firstLineChars="0"/>
              <w:jc w:val="left"/>
            </w:pPr>
            <w:r>
              <w:rPr>
                <w:rFonts w:hint="eastAsia"/>
              </w:rPr>
              <w:t>通风空调系统</w:t>
            </w:r>
            <w:r>
              <w:t>风机的单位风量耗功率比现行国家标准《</w:t>
            </w:r>
            <w:r>
              <w:rPr>
                <w:rFonts w:hint="eastAsia"/>
              </w:rPr>
              <w:t>公共</w:t>
            </w:r>
            <w:r>
              <w:t>建筑节能设计标准》</w:t>
            </w:r>
            <w:r>
              <w:rPr>
                <w:rFonts w:hint="eastAsia"/>
              </w:rPr>
              <w:t>GB50189的</w:t>
            </w:r>
            <w:r>
              <w:t>规定低</w:t>
            </w:r>
            <w:r>
              <w:rPr>
                <w:rFonts w:hint="eastAsia"/>
              </w:rPr>
              <w:t>20</w:t>
            </w:r>
            <w:r>
              <w:t>%</w:t>
            </w:r>
          </w:p>
        </w:tc>
        <w:tc>
          <w:tcPr>
            <w:tcW w:w="1559" w:type="dxa"/>
            <w:vMerge w:val="restart"/>
            <w:noWrap w:val="0"/>
            <w:vAlign w:val="center"/>
          </w:tcPr>
          <w:p>
            <w:pPr>
              <w:pStyle w:val="10"/>
              <w:ind w:firstLine="0" w:firstLineChars="0"/>
              <w:jc w:val="center"/>
            </w:pPr>
            <w:r>
              <w:rPr>
                <w:rFonts w:hint="eastAsia"/>
              </w:rPr>
              <w:t>2</w:t>
            </w:r>
          </w:p>
        </w:tc>
        <w:tc>
          <w:tcPr>
            <w:tcW w:w="1300" w:type="dxa"/>
            <w:noWrap w:val="0"/>
            <w:vAlign w:val="center"/>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5" w:hRule="atLeast"/>
          <w:jc w:val="center"/>
        </w:trPr>
        <w:tc>
          <w:tcPr>
            <w:tcW w:w="733" w:type="dxa"/>
            <w:vMerge w:val="continue"/>
            <w:noWrap w:val="0"/>
            <w:vAlign w:val="center"/>
          </w:tcPr>
          <w:p>
            <w:pPr>
              <w:pStyle w:val="10"/>
              <w:ind w:firstLine="0" w:firstLineChars="0"/>
              <w:jc w:val="center"/>
            </w:pPr>
          </w:p>
        </w:tc>
        <w:tc>
          <w:tcPr>
            <w:tcW w:w="4394" w:type="dxa"/>
            <w:noWrap w:val="0"/>
            <w:vAlign w:val="center"/>
          </w:tcPr>
          <w:p>
            <w:pPr>
              <w:pStyle w:val="10"/>
              <w:ind w:firstLine="0" w:firstLineChars="0"/>
              <w:jc w:val="left"/>
            </w:pPr>
            <w:r>
              <w:rPr>
                <w:rFonts w:hint="eastAsia"/>
              </w:rPr>
              <w:t>采用分体空调和多联机空调（热泵）机组</w:t>
            </w:r>
          </w:p>
        </w:tc>
        <w:tc>
          <w:tcPr>
            <w:tcW w:w="1559" w:type="dxa"/>
            <w:vMerge w:val="continue"/>
            <w:noWrap w:val="0"/>
            <w:vAlign w:val="center"/>
          </w:tcPr>
          <w:p>
            <w:pPr>
              <w:pStyle w:val="10"/>
              <w:ind w:firstLine="0" w:firstLineChars="0"/>
              <w:jc w:val="center"/>
            </w:pPr>
          </w:p>
        </w:tc>
        <w:tc>
          <w:tcPr>
            <w:tcW w:w="1300" w:type="dxa"/>
            <w:noWrap w:val="0"/>
            <w:vAlign w:val="center"/>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733" w:type="dxa"/>
            <w:vMerge w:val="restart"/>
            <w:noWrap w:val="0"/>
            <w:vAlign w:val="center"/>
          </w:tcPr>
          <w:p>
            <w:pPr>
              <w:pStyle w:val="10"/>
              <w:ind w:firstLine="0" w:firstLineChars="0"/>
              <w:jc w:val="center"/>
            </w:pPr>
            <w:r>
              <w:rPr>
                <w:rFonts w:hint="eastAsia"/>
              </w:rPr>
              <w:t>2</w:t>
            </w:r>
          </w:p>
        </w:tc>
        <w:tc>
          <w:tcPr>
            <w:tcW w:w="4394" w:type="dxa"/>
            <w:noWrap w:val="0"/>
            <w:vAlign w:val="center"/>
          </w:tcPr>
          <w:p>
            <w:pPr>
              <w:pStyle w:val="10"/>
              <w:ind w:firstLine="0" w:firstLineChars="0"/>
              <w:jc w:val="left"/>
            </w:pPr>
            <w:r>
              <w:rPr>
                <w:rFonts w:hint="eastAsia"/>
              </w:rPr>
              <w:t>集中供暖</w:t>
            </w:r>
            <w:r>
              <w:t>系统热水循环泵的耗电输热比、空调冷热水系统循环水泵的耗电输</w:t>
            </w:r>
            <w:r>
              <w:rPr>
                <w:rFonts w:hint="eastAsia"/>
              </w:rPr>
              <w:t>冷</w:t>
            </w:r>
            <w:r>
              <w:t>（</w:t>
            </w:r>
            <w:r>
              <w:rPr>
                <w:rFonts w:hint="eastAsia"/>
              </w:rPr>
              <w:t>热</w:t>
            </w:r>
            <w:r>
              <w:t>）</w:t>
            </w:r>
            <w:r>
              <w:rPr>
                <w:rFonts w:hint="eastAsia"/>
              </w:rPr>
              <w:t>比比</w:t>
            </w:r>
            <w:r>
              <w:t>现行国家标准《</w:t>
            </w:r>
            <w:r>
              <w:rPr>
                <w:rFonts w:hint="eastAsia"/>
              </w:rPr>
              <w:t>民用</w:t>
            </w:r>
            <w:r>
              <w:t>建筑</w:t>
            </w:r>
            <w:r>
              <w:rPr>
                <w:rFonts w:hint="eastAsia"/>
              </w:rPr>
              <w:t>供暖</w:t>
            </w:r>
            <w:r>
              <w:t>通风与空气调节设计规范》</w:t>
            </w:r>
            <w:r>
              <w:rPr>
                <w:rFonts w:hint="eastAsia"/>
              </w:rPr>
              <w:t>GB</w:t>
            </w:r>
            <w:r>
              <w:t>50736规定</w:t>
            </w:r>
            <w:r>
              <w:rPr>
                <w:rFonts w:hint="eastAsia"/>
              </w:rPr>
              <w:t>值</w:t>
            </w:r>
            <w:r>
              <w:t>低</w:t>
            </w:r>
            <w:r>
              <w:rPr>
                <w:rFonts w:hint="eastAsia"/>
              </w:rPr>
              <w:t>20</w:t>
            </w:r>
            <w:r>
              <w:t>%</w:t>
            </w:r>
          </w:p>
        </w:tc>
        <w:tc>
          <w:tcPr>
            <w:tcW w:w="1559" w:type="dxa"/>
            <w:vMerge w:val="restart"/>
            <w:noWrap w:val="0"/>
            <w:vAlign w:val="center"/>
          </w:tcPr>
          <w:p>
            <w:pPr>
              <w:pStyle w:val="10"/>
              <w:ind w:firstLine="0" w:firstLineChars="0"/>
              <w:jc w:val="center"/>
            </w:pPr>
            <w:r>
              <w:t>3</w:t>
            </w:r>
          </w:p>
        </w:tc>
        <w:tc>
          <w:tcPr>
            <w:tcW w:w="1300" w:type="dxa"/>
            <w:noWrap w:val="0"/>
            <w:vAlign w:val="center"/>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5" w:hRule="atLeast"/>
          <w:jc w:val="center"/>
        </w:trPr>
        <w:tc>
          <w:tcPr>
            <w:tcW w:w="733" w:type="dxa"/>
            <w:vMerge w:val="continue"/>
            <w:noWrap w:val="0"/>
            <w:vAlign w:val="center"/>
          </w:tcPr>
          <w:p>
            <w:pPr>
              <w:pStyle w:val="10"/>
              <w:ind w:firstLine="0" w:firstLineChars="0"/>
              <w:jc w:val="center"/>
            </w:pPr>
          </w:p>
        </w:tc>
        <w:tc>
          <w:tcPr>
            <w:tcW w:w="4394" w:type="dxa"/>
            <w:noWrap w:val="0"/>
            <w:vAlign w:val="center"/>
          </w:tcPr>
          <w:p>
            <w:pPr>
              <w:pStyle w:val="10"/>
              <w:ind w:firstLine="0" w:firstLineChars="0"/>
              <w:jc w:val="left"/>
            </w:pPr>
            <w:r>
              <w:rPr>
                <w:rFonts w:hint="eastAsia"/>
              </w:rPr>
              <w:t>非集中采暖空调系统项目</w:t>
            </w:r>
          </w:p>
        </w:tc>
        <w:tc>
          <w:tcPr>
            <w:tcW w:w="1559" w:type="dxa"/>
            <w:vMerge w:val="continue"/>
            <w:noWrap w:val="0"/>
            <w:vAlign w:val="center"/>
          </w:tcPr>
          <w:p>
            <w:pPr>
              <w:pStyle w:val="10"/>
              <w:ind w:firstLine="0" w:firstLineChars="0"/>
              <w:jc w:val="center"/>
            </w:pPr>
          </w:p>
        </w:tc>
        <w:tc>
          <w:tcPr>
            <w:tcW w:w="1300" w:type="dxa"/>
            <w:noWrap w:val="0"/>
            <w:vAlign w:val="center"/>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3" w:hRule="atLeast"/>
          <w:jc w:val="center"/>
        </w:trPr>
        <w:tc>
          <w:tcPr>
            <w:tcW w:w="5127" w:type="dxa"/>
            <w:gridSpan w:val="2"/>
            <w:noWrap w:val="0"/>
            <w:vAlign w:val="center"/>
          </w:tcPr>
          <w:p>
            <w:pPr>
              <w:pStyle w:val="10"/>
              <w:ind w:firstLine="0" w:firstLineChars="0"/>
              <w:jc w:val="center"/>
            </w:pPr>
            <w:r>
              <w:rPr>
                <w:rFonts w:hint="eastAsia"/>
              </w:rPr>
              <w:t>合计</w:t>
            </w:r>
          </w:p>
        </w:tc>
        <w:tc>
          <w:tcPr>
            <w:tcW w:w="1559" w:type="dxa"/>
            <w:noWrap w:val="0"/>
            <w:vAlign w:val="center"/>
          </w:tcPr>
          <w:p>
            <w:pPr>
              <w:pStyle w:val="10"/>
              <w:ind w:firstLine="0" w:firstLineChars="0"/>
              <w:jc w:val="center"/>
            </w:pPr>
            <w:r>
              <w:rPr>
                <w:rFonts w:hint="eastAsia"/>
              </w:rPr>
              <w:t>5</w:t>
            </w:r>
          </w:p>
        </w:tc>
        <w:tc>
          <w:tcPr>
            <w:tcW w:w="1300" w:type="dxa"/>
            <w:noWrap w:val="0"/>
            <w:vAlign w:val="center"/>
          </w:tcPr>
          <w:p>
            <w:pPr>
              <w:pStyle w:val="10"/>
              <w:ind w:firstLine="0" w:firstLineChars="0"/>
              <w:jc w:val="center"/>
            </w:pPr>
            <w:r>
              <w:rPr>
                <w:rFonts w:hint="eastAsia"/>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pPr>
      <w:r>
        <w:rPr>
          <w:rFonts w:hint="eastAsia"/>
        </w:rPr>
        <w:t>通风空调系统风机的单位风量耗功率：</w:t>
      </w:r>
    </w:p>
    <w:tbl>
      <w:tblPr>
        <w:tblStyle w:val="7"/>
        <w:tblW w:w="8045" w:type="dxa"/>
        <w:jc w:val="center"/>
        <w:tblLayout w:type="fixed"/>
        <w:tblCellMar>
          <w:top w:w="0" w:type="dxa"/>
          <w:left w:w="108" w:type="dxa"/>
          <w:bottom w:w="0" w:type="dxa"/>
          <w:right w:w="108" w:type="dxa"/>
        </w:tblCellMar>
      </w:tblPr>
      <w:tblGrid>
        <w:gridCol w:w="2339"/>
        <w:gridCol w:w="2835"/>
        <w:gridCol w:w="2871"/>
      </w:tblGrid>
      <w:tr>
        <w:tblPrEx>
          <w:tblCellMar>
            <w:top w:w="0" w:type="dxa"/>
            <w:left w:w="108" w:type="dxa"/>
            <w:bottom w:w="0" w:type="dxa"/>
            <w:right w:w="108" w:type="dxa"/>
          </w:tblCellMar>
        </w:tblPrEx>
        <w:trPr>
          <w:wBefore w:w="0" w:type="dxa"/>
          <w:cantSpli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kern w:val="0"/>
                <w:szCs w:val="18"/>
              </w:rPr>
            </w:pPr>
            <w:r>
              <w:rPr>
                <w:rFonts w:hint="eastAsia" w:cs="宋体"/>
                <w:kern w:val="0"/>
                <w:szCs w:val="18"/>
              </w:rPr>
              <w:t>设备类型</w:t>
            </w:r>
          </w:p>
        </w:tc>
        <w:tc>
          <w:tcPr>
            <w:tcW w:w="2835" w:type="dxa"/>
            <w:tcBorders>
              <w:top w:val="single" w:color="auto" w:sz="4" w:space="0"/>
              <w:left w:val="nil"/>
              <w:bottom w:val="single" w:color="auto" w:sz="4" w:space="0"/>
              <w:right w:val="single" w:color="auto" w:sz="4" w:space="0"/>
            </w:tcBorders>
            <w:noWrap w:val="0"/>
            <w:vAlign w:val="center"/>
          </w:tcPr>
          <w:p>
            <w:pPr>
              <w:widowControl/>
              <w:jc w:val="center"/>
              <w:rPr>
                <w:rFonts w:cs="宋体"/>
                <w:kern w:val="0"/>
                <w:szCs w:val="18"/>
              </w:rPr>
            </w:pPr>
            <w:r>
              <w:rPr>
                <w:rFonts w:hint="eastAsia" w:cs="宋体"/>
                <w:kern w:val="0"/>
                <w:szCs w:val="18"/>
              </w:rPr>
              <w:t>设备编号</w:t>
            </w:r>
          </w:p>
        </w:tc>
        <w:tc>
          <w:tcPr>
            <w:tcW w:w="2871" w:type="dxa"/>
            <w:tcBorders>
              <w:top w:val="single" w:color="auto" w:sz="4" w:space="0"/>
              <w:left w:val="nil"/>
              <w:bottom w:val="single" w:color="auto" w:sz="4" w:space="0"/>
              <w:right w:val="single" w:color="auto" w:sz="4" w:space="0"/>
            </w:tcBorders>
            <w:noWrap w:val="0"/>
            <w:vAlign w:val="center"/>
          </w:tcPr>
          <w:p>
            <w:pPr>
              <w:widowControl/>
              <w:jc w:val="center"/>
              <w:rPr>
                <w:rFonts w:cs="宋体"/>
                <w:kern w:val="0"/>
                <w:szCs w:val="18"/>
              </w:rPr>
            </w:pPr>
            <w:r>
              <w:rPr>
                <w:rFonts w:hint="eastAsia" w:cs="宋体"/>
                <w:kern w:val="0"/>
                <w:szCs w:val="18"/>
              </w:rPr>
              <w:t>单位风量耗功率</w:t>
            </w:r>
          </w:p>
        </w:tc>
      </w:tr>
      <w:tr>
        <w:tblPrEx>
          <w:tblCellMar>
            <w:top w:w="0" w:type="dxa"/>
            <w:left w:w="108" w:type="dxa"/>
            <w:bottom w:w="0" w:type="dxa"/>
            <w:right w:w="108" w:type="dxa"/>
          </w:tblCellMar>
        </w:tblPrEx>
        <w:trPr>
          <w:wBefore w:w="0" w:type="dxa"/>
          <w:cantSplit/>
          <w:jc w:val="center"/>
        </w:trPr>
        <w:tc>
          <w:tcPr>
            <w:tcW w:w="2339" w:type="dxa"/>
            <w:tcBorders>
              <w:top w:val="nil"/>
              <w:left w:val="single" w:color="auto" w:sz="4" w:space="0"/>
              <w:bottom w:val="single" w:color="auto" w:sz="4" w:space="0"/>
              <w:right w:val="single" w:color="auto" w:sz="4" w:space="0"/>
            </w:tcBorders>
            <w:noWrap w:val="0"/>
            <w:vAlign w:val="top"/>
          </w:tcPr>
          <w:p>
            <w:pPr>
              <w:widowControl/>
              <w:jc w:val="center"/>
              <w:rPr>
                <w:kern w:val="0"/>
                <w:sz w:val="18"/>
                <w:szCs w:val="18"/>
              </w:rPr>
            </w:pPr>
          </w:p>
        </w:tc>
        <w:tc>
          <w:tcPr>
            <w:tcW w:w="2835" w:type="dxa"/>
            <w:tcBorders>
              <w:top w:val="nil"/>
              <w:left w:val="nil"/>
              <w:bottom w:val="single" w:color="auto" w:sz="4" w:space="0"/>
              <w:right w:val="single" w:color="auto" w:sz="4" w:space="0"/>
            </w:tcBorders>
            <w:noWrap w:val="0"/>
            <w:vAlign w:val="top"/>
          </w:tcPr>
          <w:p>
            <w:pPr>
              <w:widowControl/>
              <w:jc w:val="center"/>
              <w:rPr>
                <w:color w:val="000000"/>
                <w:kern w:val="0"/>
                <w:sz w:val="18"/>
                <w:szCs w:val="18"/>
              </w:rPr>
            </w:pPr>
          </w:p>
        </w:tc>
        <w:tc>
          <w:tcPr>
            <w:tcW w:w="2871" w:type="dxa"/>
            <w:tcBorders>
              <w:top w:val="nil"/>
              <w:left w:val="nil"/>
              <w:bottom w:val="single" w:color="auto" w:sz="4" w:space="0"/>
              <w:right w:val="single" w:color="auto" w:sz="4" w:space="0"/>
            </w:tcBorders>
            <w:noWrap w:val="0"/>
            <w:vAlign w:val="top"/>
          </w:tcPr>
          <w:p>
            <w:pPr>
              <w:widowControl/>
              <w:jc w:val="center"/>
              <w:rPr>
                <w:color w:val="000000"/>
                <w:kern w:val="0"/>
                <w:sz w:val="18"/>
                <w:szCs w:val="18"/>
              </w:rPr>
            </w:pPr>
          </w:p>
        </w:tc>
      </w:tr>
      <w:tr>
        <w:tblPrEx>
          <w:tblCellMar>
            <w:top w:w="0" w:type="dxa"/>
            <w:left w:w="108" w:type="dxa"/>
            <w:bottom w:w="0" w:type="dxa"/>
            <w:right w:w="108" w:type="dxa"/>
          </w:tblCellMar>
        </w:tblPrEx>
        <w:trPr>
          <w:wBefore w:w="0" w:type="dxa"/>
          <w:cantSplit/>
          <w:jc w:val="center"/>
        </w:trPr>
        <w:tc>
          <w:tcPr>
            <w:tcW w:w="2339" w:type="dxa"/>
            <w:tcBorders>
              <w:top w:val="nil"/>
              <w:left w:val="single" w:color="auto" w:sz="4" w:space="0"/>
              <w:bottom w:val="single" w:color="auto" w:sz="4" w:space="0"/>
              <w:right w:val="single" w:color="auto" w:sz="4" w:space="0"/>
            </w:tcBorders>
            <w:noWrap w:val="0"/>
            <w:vAlign w:val="top"/>
          </w:tcPr>
          <w:p>
            <w:pPr>
              <w:jc w:val="center"/>
            </w:pPr>
          </w:p>
        </w:tc>
        <w:tc>
          <w:tcPr>
            <w:tcW w:w="2835" w:type="dxa"/>
            <w:tcBorders>
              <w:top w:val="nil"/>
              <w:left w:val="nil"/>
              <w:bottom w:val="single" w:color="auto" w:sz="4" w:space="0"/>
              <w:right w:val="single" w:color="auto" w:sz="4" w:space="0"/>
            </w:tcBorders>
            <w:noWrap w:val="0"/>
            <w:vAlign w:val="top"/>
          </w:tcPr>
          <w:p>
            <w:pPr>
              <w:widowControl/>
              <w:jc w:val="center"/>
              <w:rPr>
                <w:color w:val="000000"/>
                <w:kern w:val="0"/>
                <w:sz w:val="18"/>
                <w:szCs w:val="18"/>
              </w:rPr>
            </w:pPr>
          </w:p>
        </w:tc>
        <w:tc>
          <w:tcPr>
            <w:tcW w:w="2871" w:type="dxa"/>
            <w:tcBorders>
              <w:top w:val="nil"/>
              <w:left w:val="nil"/>
              <w:bottom w:val="single" w:color="auto" w:sz="4" w:space="0"/>
              <w:right w:val="single" w:color="auto" w:sz="4" w:space="0"/>
            </w:tcBorders>
            <w:noWrap w:val="0"/>
            <w:vAlign w:val="top"/>
          </w:tcPr>
          <w:p>
            <w:pPr>
              <w:widowControl/>
              <w:jc w:val="center"/>
              <w:rPr>
                <w:color w:val="000000"/>
                <w:kern w:val="0"/>
                <w:sz w:val="18"/>
                <w:szCs w:val="18"/>
              </w:rPr>
            </w:pPr>
          </w:p>
        </w:tc>
      </w:tr>
      <w:tr>
        <w:tblPrEx>
          <w:tblCellMar>
            <w:top w:w="0" w:type="dxa"/>
            <w:left w:w="108" w:type="dxa"/>
            <w:bottom w:w="0" w:type="dxa"/>
            <w:right w:w="108" w:type="dxa"/>
          </w:tblCellMar>
        </w:tblPrEx>
        <w:trPr>
          <w:wBefore w:w="0" w:type="dxa"/>
          <w:cantSplit/>
          <w:jc w:val="center"/>
        </w:trPr>
        <w:tc>
          <w:tcPr>
            <w:tcW w:w="2339" w:type="dxa"/>
            <w:tcBorders>
              <w:top w:val="nil"/>
              <w:left w:val="single" w:color="auto" w:sz="4" w:space="0"/>
              <w:bottom w:val="single" w:color="auto" w:sz="4" w:space="0"/>
              <w:right w:val="single" w:color="auto" w:sz="4" w:space="0"/>
            </w:tcBorders>
            <w:noWrap w:val="0"/>
            <w:vAlign w:val="top"/>
          </w:tcPr>
          <w:p>
            <w:pPr>
              <w:jc w:val="center"/>
            </w:pPr>
          </w:p>
        </w:tc>
        <w:tc>
          <w:tcPr>
            <w:tcW w:w="2835" w:type="dxa"/>
            <w:tcBorders>
              <w:top w:val="nil"/>
              <w:left w:val="nil"/>
              <w:bottom w:val="single" w:color="auto" w:sz="4" w:space="0"/>
              <w:right w:val="single" w:color="auto" w:sz="4" w:space="0"/>
            </w:tcBorders>
            <w:noWrap w:val="0"/>
            <w:vAlign w:val="top"/>
          </w:tcPr>
          <w:p>
            <w:pPr>
              <w:widowControl/>
              <w:jc w:val="center"/>
              <w:rPr>
                <w:color w:val="000000"/>
                <w:kern w:val="0"/>
                <w:sz w:val="18"/>
                <w:szCs w:val="18"/>
              </w:rPr>
            </w:pPr>
          </w:p>
        </w:tc>
        <w:tc>
          <w:tcPr>
            <w:tcW w:w="2871" w:type="dxa"/>
            <w:tcBorders>
              <w:top w:val="nil"/>
              <w:left w:val="nil"/>
              <w:bottom w:val="single" w:color="auto" w:sz="4" w:space="0"/>
              <w:right w:val="single" w:color="auto" w:sz="4" w:space="0"/>
            </w:tcBorders>
            <w:noWrap w:val="0"/>
            <w:vAlign w:val="top"/>
          </w:tcPr>
          <w:p>
            <w:pPr>
              <w:widowControl/>
              <w:jc w:val="center"/>
              <w:rPr>
                <w:color w:val="000000"/>
                <w:kern w:val="0"/>
                <w:sz w:val="18"/>
                <w:szCs w:val="18"/>
              </w:rPr>
            </w:pPr>
          </w:p>
        </w:tc>
      </w:tr>
      <w:tr>
        <w:tblPrEx>
          <w:tblCellMar>
            <w:top w:w="0" w:type="dxa"/>
            <w:left w:w="108" w:type="dxa"/>
            <w:bottom w:w="0" w:type="dxa"/>
            <w:right w:w="108" w:type="dxa"/>
          </w:tblCellMar>
        </w:tblPrEx>
        <w:trPr>
          <w:wBefore w:w="0" w:type="dxa"/>
          <w:cantSplit/>
          <w:jc w:val="center"/>
        </w:trPr>
        <w:tc>
          <w:tcPr>
            <w:tcW w:w="2339" w:type="dxa"/>
            <w:tcBorders>
              <w:top w:val="nil"/>
              <w:left w:val="single" w:color="auto" w:sz="4" w:space="0"/>
              <w:bottom w:val="single" w:color="auto" w:sz="4" w:space="0"/>
              <w:right w:val="single" w:color="auto" w:sz="4" w:space="0"/>
            </w:tcBorders>
            <w:noWrap w:val="0"/>
            <w:vAlign w:val="top"/>
          </w:tcPr>
          <w:p>
            <w:pPr>
              <w:jc w:val="center"/>
            </w:pPr>
          </w:p>
        </w:tc>
        <w:tc>
          <w:tcPr>
            <w:tcW w:w="2835" w:type="dxa"/>
            <w:tcBorders>
              <w:top w:val="nil"/>
              <w:left w:val="nil"/>
              <w:bottom w:val="single" w:color="auto" w:sz="4" w:space="0"/>
              <w:right w:val="single" w:color="auto" w:sz="4" w:space="0"/>
            </w:tcBorders>
            <w:noWrap w:val="0"/>
            <w:vAlign w:val="top"/>
          </w:tcPr>
          <w:p>
            <w:pPr>
              <w:widowControl/>
              <w:jc w:val="center"/>
              <w:rPr>
                <w:color w:val="000000"/>
                <w:kern w:val="0"/>
                <w:sz w:val="18"/>
                <w:szCs w:val="18"/>
              </w:rPr>
            </w:pPr>
          </w:p>
        </w:tc>
        <w:tc>
          <w:tcPr>
            <w:tcW w:w="2871" w:type="dxa"/>
            <w:tcBorders>
              <w:top w:val="nil"/>
              <w:left w:val="nil"/>
              <w:bottom w:val="single" w:color="auto" w:sz="4" w:space="0"/>
              <w:right w:val="single" w:color="auto" w:sz="4" w:space="0"/>
            </w:tcBorders>
            <w:noWrap w:val="0"/>
            <w:vAlign w:val="top"/>
          </w:tcPr>
          <w:p>
            <w:pPr>
              <w:widowControl/>
              <w:jc w:val="center"/>
              <w:rPr>
                <w:color w:val="000000"/>
                <w:kern w:val="0"/>
                <w:sz w:val="18"/>
                <w:szCs w:val="18"/>
              </w:rPr>
            </w:pPr>
          </w:p>
        </w:tc>
      </w:tr>
    </w:tbl>
    <w:p>
      <w:pPr>
        <w:spacing w:line="288" w:lineRule="auto"/>
      </w:pPr>
      <w:r>
        <w:rPr>
          <w:rFonts w:hint="eastAsia"/>
        </w:rPr>
        <w:t>集中供暖系统热水循环泵的耗电输热比：</w:t>
      </w:r>
      <w:r>
        <w:rPr>
          <w:rFonts w:hint="eastAsia"/>
          <w:u w:val="single"/>
        </w:rPr>
        <w:t xml:space="preserve">     </w:t>
      </w:r>
      <w:r>
        <w:rPr>
          <w:u w:val="single"/>
        </w:rPr>
        <w:t xml:space="preserve"> </w:t>
      </w:r>
      <w:r>
        <w:t xml:space="preserve">  </w:t>
      </w:r>
      <w:r>
        <w:rPr>
          <w:rFonts w:hint="eastAsia"/>
        </w:rPr>
        <w:t>，标准规定值：</w:t>
      </w:r>
      <w:r>
        <w:rPr>
          <w:rFonts w:hint="eastAsia"/>
          <w:u w:val="single"/>
        </w:rPr>
        <w:t xml:space="preserve">     </w:t>
      </w:r>
      <w:r>
        <w:rPr>
          <w:rFonts w:hint="eastAsia"/>
        </w:rPr>
        <w:t>。</w:t>
      </w:r>
    </w:p>
    <w:p>
      <w:pPr>
        <w:spacing w:line="288" w:lineRule="auto"/>
      </w:pPr>
      <w:r>
        <w:rPr>
          <w:rFonts w:hint="eastAsia"/>
        </w:rPr>
        <w:t>空调冷热水系统循环水泵的耗电输冷（热）比：</w:t>
      </w:r>
      <w:r>
        <w:rPr>
          <w:rFonts w:hint="eastAsia"/>
          <w:u w:val="single"/>
        </w:rPr>
        <w:t xml:space="preserve">     </w:t>
      </w:r>
      <w:r>
        <w:rPr>
          <w:rFonts w:hint="eastAsia"/>
        </w:rPr>
        <w:t xml:space="preserve"> ，标准规定值：_</w:t>
      </w:r>
      <w:r>
        <w:rPr>
          <w:rFonts w:hint="eastAsia"/>
          <w:u w:val="single"/>
        </w:rPr>
        <w:t xml:space="preserve">      </w:t>
      </w:r>
      <w:r>
        <w:rPr>
          <w:rFonts w:hint="eastAsia"/>
        </w:rPr>
        <w:t>。</w:t>
      </w:r>
    </w:p>
    <w:p>
      <w:pPr>
        <w:spacing w:before="156" w:beforeLines="50" w:after="156" w:afterLines="50"/>
        <w:rPr>
          <w:rFonts w:ascii="Times New Roman" w:hAnsi="Times New Roman"/>
          <w:b/>
          <w:szCs w:val="21"/>
        </w:rPr>
      </w:pPr>
      <w:bookmarkStart w:id="233" w:name="_Toc9944768"/>
      <w:bookmarkStart w:id="234" w:name="_Toc9945048"/>
      <w:bookmarkStart w:id="235" w:name="_Toc9945192"/>
      <w:bookmarkStart w:id="236" w:name="_Toc9945334"/>
      <w:bookmarkStart w:id="237" w:name="_Toc9945475"/>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ascii="Times New Roman" w:hAnsi="Times New Roman"/>
        </w:rPr>
        <w:t>1</w:t>
      </w:r>
      <w:r>
        <w:rPr>
          <w:rFonts w:hint="eastAsia" w:ascii="Times New Roman" w:hAnsi="Times New Roman"/>
        </w:rPr>
        <w:t>）暖通专业竣工图及设计说明，</w:t>
      </w:r>
      <w:r>
        <w:rPr>
          <w:rFonts w:ascii="Times New Roman" w:hAnsi="Times New Roman"/>
        </w:rPr>
        <w:t>应包含设备表、风系统图及</w:t>
      </w:r>
      <w:r>
        <w:rPr>
          <w:rFonts w:hint="eastAsia" w:ascii="Times New Roman" w:hAnsi="Times New Roman"/>
        </w:rPr>
        <w:t>水</w:t>
      </w:r>
      <w:r>
        <w:rPr>
          <w:rFonts w:ascii="Times New Roman" w:hAnsi="Times New Roman"/>
        </w:rPr>
        <w:t>系统等设计文件</w:t>
      </w:r>
      <w:r>
        <w:rPr>
          <w:rFonts w:hint="eastAsia" w:ascii="Times New Roman" w:hAnsi="Times New Roman"/>
        </w:rPr>
        <w:t>；</w:t>
      </w:r>
      <w:bookmarkEnd w:id="233"/>
      <w:bookmarkEnd w:id="234"/>
      <w:bookmarkEnd w:id="235"/>
      <w:bookmarkEnd w:id="236"/>
      <w:bookmarkEnd w:id="237"/>
    </w:p>
    <w:p>
      <w:pPr>
        <w:rPr>
          <w:rFonts w:ascii="Times New Roman" w:hAnsi="Times New Roman"/>
        </w:rPr>
      </w:pPr>
      <w:bookmarkStart w:id="238" w:name="_Toc9944769"/>
      <w:bookmarkStart w:id="239" w:name="_Toc9945049"/>
      <w:bookmarkStart w:id="240" w:name="_Toc9945193"/>
      <w:bookmarkStart w:id="241" w:name="_Toc9945335"/>
      <w:bookmarkStart w:id="242" w:name="_Toc9945476"/>
      <w:r>
        <w:rPr>
          <w:rFonts w:ascii="Times New Roman" w:hAnsi="Times New Roman"/>
        </w:rPr>
        <w:t>2</w:t>
      </w:r>
      <w:r>
        <w:rPr>
          <w:rFonts w:hint="eastAsia" w:ascii="Times New Roman" w:hAnsi="Times New Roman"/>
        </w:rPr>
        <w:t>）风机及水泵的产品性能检测报告；</w:t>
      </w:r>
      <w:bookmarkEnd w:id="238"/>
      <w:bookmarkEnd w:id="239"/>
      <w:bookmarkEnd w:id="240"/>
      <w:bookmarkEnd w:id="241"/>
      <w:bookmarkEnd w:id="242"/>
    </w:p>
    <w:p>
      <w:pPr>
        <w:rPr>
          <w:rFonts w:ascii="Times New Roman" w:hAnsi="Times New Roman"/>
        </w:rPr>
      </w:pPr>
      <w:bookmarkStart w:id="243" w:name="_Toc9944770"/>
      <w:bookmarkStart w:id="244" w:name="_Toc9945050"/>
      <w:bookmarkStart w:id="245" w:name="_Toc9945194"/>
      <w:bookmarkStart w:id="246" w:name="_Toc9945336"/>
      <w:bookmarkStart w:id="247" w:name="_Toc9945477"/>
      <w:r>
        <w:rPr>
          <w:rFonts w:hint="eastAsia" w:ascii="Times New Roman" w:hAnsi="Times New Roman"/>
        </w:rPr>
        <w:t>3）风机的单位风量耗功率、空调冷热水系统的耗电输冷（热）比、集中供暖系统热水循环泵的耗电输热比计算书。</w:t>
      </w:r>
      <w:bookmarkEnd w:id="243"/>
      <w:bookmarkEnd w:id="244"/>
      <w:bookmarkEnd w:id="245"/>
      <w:bookmarkEnd w:id="246"/>
      <w:bookmarkEnd w:id="247"/>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7.2.7 采用节能</w:t>
      </w:r>
      <w:r>
        <w:rPr>
          <w:sz w:val="24"/>
          <w:szCs w:val="40"/>
        </w:rPr>
        <w:t>型电气设备及节能控制措施</w:t>
      </w:r>
      <w:r>
        <w:rPr>
          <w:rFonts w:hint="eastAsia"/>
          <w:sz w:val="24"/>
          <w:szCs w:val="40"/>
        </w:rPr>
        <w:t>。（</w:t>
      </w:r>
      <w:r>
        <w:rPr>
          <w:sz w:val="24"/>
          <w:szCs w:val="40"/>
        </w:rPr>
        <w:t>10</w:t>
      </w:r>
      <w:r>
        <w:rPr>
          <w:rFonts w:hint="eastAsia"/>
          <w:sz w:val="24"/>
          <w:szCs w:val="40"/>
        </w:rPr>
        <w:t>分）</w:t>
      </w:r>
    </w:p>
    <w:p>
      <w:pPr>
        <w:rPr>
          <w:rFonts w:ascii="Times New Roman" w:hAnsi="Times New Roman"/>
          <w:b/>
          <w:szCs w:val="21"/>
        </w:rPr>
      </w:pPr>
      <w:r>
        <w:rPr>
          <w:rFonts w:ascii="Times New Roman" w:hAnsi="Times New Roman"/>
          <w:b/>
          <w:szCs w:val="21"/>
        </w:rPr>
        <w:t>1 得分自评</w:t>
      </w:r>
    </w:p>
    <w:tbl>
      <w:tblPr>
        <w:tblStyle w:val="7"/>
        <w:tblW w:w="7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777"/>
        <w:gridCol w:w="12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7" w:hRule="atLeast"/>
          <w:jc w:val="center"/>
        </w:trPr>
        <w:tc>
          <w:tcPr>
            <w:tcW w:w="721" w:type="dxa"/>
            <w:noWrap w:val="0"/>
            <w:vAlign w:val="center"/>
          </w:tcPr>
          <w:p>
            <w:pPr>
              <w:pStyle w:val="10"/>
              <w:ind w:firstLine="0" w:firstLineChars="0"/>
              <w:jc w:val="center"/>
            </w:pPr>
            <w:r>
              <w:rPr>
                <w:szCs w:val="21"/>
              </w:rPr>
              <w:t>序号</w:t>
            </w:r>
          </w:p>
        </w:tc>
        <w:tc>
          <w:tcPr>
            <w:tcW w:w="4777" w:type="dxa"/>
            <w:noWrap w:val="0"/>
            <w:vAlign w:val="center"/>
          </w:tcPr>
          <w:p>
            <w:pPr>
              <w:pStyle w:val="10"/>
              <w:ind w:firstLine="0" w:firstLineChars="0"/>
              <w:jc w:val="center"/>
            </w:pPr>
            <w:r>
              <w:rPr>
                <w:szCs w:val="21"/>
              </w:rPr>
              <w:t>评价内容</w:t>
            </w:r>
          </w:p>
        </w:tc>
        <w:tc>
          <w:tcPr>
            <w:tcW w:w="1276" w:type="dxa"/>
            <w:noWrap w:val="0"/>
            <w:vAlign w:val="center"/>
          </w:tcPr>
          <w:p>
            <w:pPr>
              <w:pStyle w:val="10"/>
              <w:ind w:firstLine="0" w:firstLineChars="0"/>
              <w:jc w:val="center"/>
            </w:pPr>
            <w:r>
              <w:rPr>
                <w:szCs w:val="21"/>
              </w:rPr>
              <w:t>评价分值</w:t>
            </w:r>
          </w:p>
        </w:tc>
        <w:tc>
          <w:tcPr>
            <w:tcW w:w="1188" w:type="dxa"/>
            <w:noWrap w:val="0"/>
            <w:vAlign w:val="center"/>
          </w:tcPr>
          <w:p>
            <w:pPr>
              <w:pStyle w:val="10"/>
              <w:ind w:firstLine="0" w:firstLineChars="0"/>
              <w:jc w:val="center"/>
            </w:pPr>
            <w:r>
              <w:rPr>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721" w:type="dxa"/>
            <w:noWrap w:val="0"/>
            <w:vAlign w:val="center"/>
          </w:tcPr>
          <w:p>
            <w:pPr>
              <w:pStyle w:val="10"/>
              <w:ind w:firstLine="0" w:firstLineChars="0"/>
              <w:jc w:val="center"/>
            </w:pPr>
            <w:r>
              <w:t>1</w:t>
            </w:r>
          </w:p>
        </w:tc>
        <w:tc>
          <w:tcPr>
            <w:tcW w:w="4777" w:type="dxa"/>
            <w:noWrap w:val="0"/>
            <w:vAlign w:val="center"/>
          </w:tcPr>
          <w:p>
            <w:pPr>
              <w:pStyle w:val="10"/>
              <w:ind w:firstLine="0" w:firstLineChars="0"/>
              <w:jc w:val="left"/>
            </w:pPr>
            <w:r>
              <w:t>主要功能房间的照明功率密度值达到现行国家标准《建筑照明设计标准》GB50034规定的目标值</w:t>
            </w:r>
          </w:p>
        </w:tc>
        <w:tc>
          <w:tcPr>
            <w:tcW w:w="1276" w:type="dxa"/>
            <w:noWrap w:val="0"/>
            <w:vAlign w:val="center"/>
          </w:tcPr>
          <w:p>
            <w:pPr>
              <w:pStyle w:val="10"/>
              <w:ind w:firstLine="0" w:firstLineChars="0"/>
              <w:jc w:val="center"/>
            </w:pPr>
            <w:r>
              <w:t>5</w:t>
            </w:r>
          </w:p>
        </w:tc>
        <w:tc>
          <w:tcPr>
            <w:tcW w:w="1188"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721" w:type="dxa"/>
            <w:noWrap w:val="0"/>
            <w:vAlign w:val="center"/>
          </w:tcPr>
          <w:p>
            <w:pPr>
              <w:pStyle w:val="10"/>
              <w:ind w:firstLine="0" w:firstLineChars="0"/>
              <w:jc w:val="center"/>
            </w:pPr>
            <w:r>
              <w:t>2</w:t>
            </w:r>
          </w:p>
        </w:tc>
        <w:tc>
          <w:tcPr>
            <w:tcW w:w="4777" w:type="dxa"/>
            <w:noWrap w:val="0"/>
            <w:vAlign w:val="center"/>
          </w:tcPr>
          <w:p>
            <w:pPr>
              <w:pStyle w:val="10"/>
              <w:ind w:firstLine="0" w:firstLineChars="0"/>
              <w:jc w:val="left"/>
            </w:pPr>
            <w:r>
              <w:t>采光区域的人工照明随天然光照度变化自动调节</w:t>
            </w:r>
          </w:p>
        </w:tc>
        <w:tc>
          <w:tcPr>
            <w:tcW w:w="1276" w:type="dxa"/>
            <w:noWrap w:val="0"/>
            <w:vAlign w:val="center"/>
          </w:tcPr>
          <w:p>
            <w:pPr>
              <w:pStyle w:val="10"/>
              <w:ind w:firstLine="0" w:firstLineChars="0"/>
              <w:jc w:val="center"/>
            </w:pPr>
            <w:r>
              <w:t>2</w:t>
            </w:r>
          </w:p>
        </w:tc>
        <w:tc>
          <w:tcPr>
            <w:tcW w:w="1188"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721" w:type="dxa"/>
            <w:noWrap w:val="0"/>
            <w:vAlign w:val="center"/>
          </w:tcPr>
          <w:p>
            <w:pPr>
              <w:pStyle w:val="10"/>
              <w:ind w:firstLine="0" w:firstLineChars="0"/>
              <w:jc w:val="center"/>
            </w:pPr>
            <w:r>
              <w:t>3</w:t>
            </w:r>
          </w:p>
        </w:tc>
        <w:tc>
          <w:tcPr>
            <w:tcW w:w="4777" w:type="dxa"/>
            <w:noWrap w:val="0"/>
            <w:vAlign w:val="center"/>
          </w:tcPr>
          <w:p>
            <w:pPr>
              <w:pStyle w:val="10"/>
              <w:ind w:firstLine="0" w:firstLineChars="0"/>
              <w:jc w:val="left"/>
            </w:pPr>
            <w:r>
              <w:t>照明产品、</w:t>
            </w:r>
            <w:r>
              <w:rPr>
                <w:bCs/>
              </w:rPr>
              <w:t>三相配电变压器、水泵、风机等设备满足国家现行有关标准的节能评价值的要求</w:t>
            </w:r>
          </w:p>
        </w:tc>
        <w:tc>
          <w:tcPr>
            <w:tcW w:w="1276" w:type="dxa"/>
            <w:noWrap w:val="0"/>
            <w:vAlign w:val="center"/>
          </w:tcPr>
          <w:p>
            <w:pPr>
              <w:pStyle w:val="10"/>
              <w:ind w:firstLine="0" w:firstLineChars="0"/>
              <w:jc w:val="center"/>
            </w:pPr>
            <w:r>
              <w:t>3</w:t>
            </w:r>
          </w:p>
        </w:tc>
        <w:tc>
          <w:tcPr>
            <w:tcW w:w="1188" w:type="dxa"/>
            <w:noWrap w:val="0"/>
            <w:vAlign w:val="top"/>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5498" w:type="dxa"/>
            <w:gridSpan w:val="2"/>
            <w:noWrap w:val="0"/>
            <w:vAlign w:val="center"/>
          </w:tcPr>
          <w:p>
            <w:pPr>
              <w:pStyle w:val="10"/>
              <w:ind w:firstLine="0" w:firstLineChars="0"/>
              <w:jc w:val="center"/>
            </w:pPr>
            <w:r>
              <w:t>合计</w:t>
            </w:r>
          </w:p>
        </w:tc>
        <w:tc>
          <w:tcPr>
            <w:tcW w:w="1276" w:type="dxa"/>
            <w:noWrap w:val="0"/>
            <w:vAlign w:val="center"/>
          </w:tcPr>
          <w:p>
            <w:pPr>
              <w:pStyle w:val="10"/>
              <w:ind w:firstLine="0" w:firstLineChars="0"/>
              <w:jc w:val="center"/>
            </w:pPr>
            <w:r>
              <w:t>10</w:t>
            </w:r>
          </w:p>
        </w:tc>
        <w:tc>
          <w:tcPr>
            <w:tcW w:w="1188" w:type="dxa"/>
            <w:noWrap w:val="0"/>
            <w:vAlign w:val="center"/>
          </w:tcPr>
          <w:p>
            <w:pPr>
              <w:pStyle w:val="10"/>
              <w:ind w:firstLine="0" w:firstLineChars="0"/>
              <w:jc w:val="center"/>
            </w:pPr>
            <w:r>
              <w:rPr>
                <w:rFonts w:hint="eastAsia"/>
                <w:szCs w:val="21"/>
              </w:rPr>
              <w:t xml:space="preserve">  </w:t>
            </w:r>
          </w:p>
        </w:tc>
      </w:tr>
    </w:tbl>
    <w:p>
      <w:pPr>
        <w:rPr>
          <w:rFonts w:ascii="Times New Roman" w:hAnsi="Times New Roman"/>
          <w:b/>
          <w:szCs w:val="21"/>
        </w:rPr>
      </w:pPr>
      <w:r>
        <w:rPr>
          <w:rFonts w:ascii="Times New Roman" w:hAnsi="Times New Roman"/>
          <w:b/>
          <w:szCs w:val="21"/>
        </w:rPr>
        <w:t>2 评价要点</w:t>
      </w:r>
    </w:p>
    <w:p>
      <w:pPr>
        <w:spacing w:line="288" w:lineRule="auto"/>
        <w:ind w:left="-53"/>
        <w:rPr>
          <w:b/>
          <w:szCs w:val="21"/>
          <w:lang w:val="zh-CN"/>
        </w:rPr>
      </w:pPr>
      <w:r>
        <w:rPr>
          <w:rFonts w:hint="eastAsia" w:cs="宋体"/>
          <w:szCs w:val="21"/>
        </w:rPr>
        <w:t>照明功率密度：</w:t>
      </w:r>
    </w:p>
    <w:tbl>
      <w:tblPr>
        <w:tblStyle w:val="7"/>
        <w:tblW w:w="4759" w:type="pct"/>
        <w:jc w:val="center"/>
        <w:tblLayout w:type="autofit"/>
        <w:tblCellMar>
          <w:top w:w="0" w:type="dxa"/>
          <w:left w:w="108" w:type="dxa"/>
          <w:bottom w:w="0" w:type="dxa"/>
          <w:right w:w="108" w:type="dxa"/>
        </w:tblCellMar>
      </w:tblPr>
      <w:tblGrid>
        <w:gridCol w:w="2050"/>
        <w:gridCol w:w="1577"/>
        <w:gridCol w:w="1431"/>
        <w:gridCol w:w="1575"/>
        <w:gridCol w:w="1478"/>
      </w:tblGrid>
      <w:tr>
        <w:tblPrEx>
          <w:tblCellMar>
            <w:top w:w="0" w:type="dxa"/>
            <w:left w:w="108" w:type="dxa"/>
            <w:bottom w:w="0" w:type="dxa"/>
            <w:right w:w="108" w:type="dxa"/>
          </w:tblCellMar>
        </w:tblPrEx>
        <w:trPr>
          <w:wBefore w:w="0" w:type="dxa"/>
          <w:cantSplit/>
          <w:trHeight w:val="285" w:hRule="atLeast"/>
          <w:jc w:val="center"/>
        </w:trPr>
        <w:tc>
          <w:tcPr>
            <w:tcW w:w="126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cs="宋体"/>
                <w:kern w:val="0"/>
                <w:szCs w:val="21"/>
              </w:rPr>
              <w:t>房间类型</w:t>
            </w:r>
          </w:p>
        </w:tc>
        <w:tc>
          <w:tcPr>
            <w:tcW w:w="185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设计照度值（</w:t>
            </w:r>
            <w:r>
              <w:rPr>
                <w:rFonts w:ascii="宋体" w:hAnsi="宋体"/>
                <w:kern w:val="0"/>
                <w:szCs w:val="21"/>
              </w:rPr>
              <w:t>Lx</w:t>
            </w:r>
            <w:r>
              <w:rPr>
                <w:rFonts w:hint="eastAsia" w:ascii="宋体" w:hAnsi="宋体" w:cs="宋体"/>
                <w:kern w:val="0"/>
                <w:szCs w:val="21"/>
              </w:rPr>
              <w:t>）</w:t>
            </w:r>
          </w:p>
        </w:tc>
        <w:tc>
          <w:tcPr>
            <w:tcW w:w="188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cs="宋体"/>
                <w:kern w:val="0"/>
                <w:szCs w:val="21"/>
              </w:rPr>
              <w:t>照明功率密度（</w:t>
            </w:r>
            <w:r>
              <w:rPr>
                <w:rFonts w:ascii="宋体" w:hAnsi="宋体"/>
                <w:kern w:val="0"/>
                <w:szCs w:val="21"/>
              </w:rPr>
              <w:t>W/m</w:t>
            </w:r>
            <w:r>
              <w:rPr>
                <w:rFonts w:ascii="宋体" w:hAnsi="宋体"/>
                <w:kern w:val="0"/>
                <w:szCs w:val="21"/>
                <w:vertAlign w:val="superscript"/>
              </w:rPr>
              <w:t>2</w:t>
            </w:r>
            <w:r>
              <w:rPr>
                <w:rFonts w:ascii="宋体" w:hAnsi="宋体"/>
                <w:kern w:val="0"/>
                <w:szCs w:val="21"/>
              </w:rPr>
              <w:t>)</w:t>
            </w:r>
          </w:p>
        </w:tc>
      </w:tr>
      <w:tr>
        <w:tblPrEx>
          <w:tblCellMar>
            <w:top w:w="0" w:type="dxa"/>
            <w:left w:w="108" w:type="dxa"/>
            <w:bottom w:w="0" w:type="dxa"/>
            <w:right w:w="108" w:type="dxa"/>
          </w:tblCellMar>
        </w:tblPrEx>
        <w:trPr>
          <w:wBefore w:w="0" w:type="dxa"/>
          <w:cantSplit/>
          <w:trHeight w:val="285" w:hRule="atLeast"/>
          <w:jc w:val="center"/>
        </w:trPr>
        <w:tc>
          <w:tcPr>
            <w:tcW w:w="126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cs="宋体"/>
                <w:kern w:val="0"/>
                <w:szCs w:val="21"/>
              </w:rPr>
              <w:t>实际值</w:t>
            </w:r>
          </w:p>
        </w:tc>
        <w:tc>
          <w:tcPr>
            <w:tcW w:w="88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cs="宋体"/>
                <w:kern w:val="0"/>
                <w:szCs w:val="21"/>
              </w:rPr>
              <w:t>标准值</w:t>
            </w:r>
          </w:p>
        </w:tc>
        <w:tc>
          <w:tcPr>
            <w:tcW w:w="971"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cs="宋体"/>
                <w:kern w:val="0"/>
                <w:szCs w:val="21"/>
              </w:rPr>
              <w:t>实际值</w:t>
            </w:r>
          </w:p>
        </w:tc>
        <w:tc>
          <w:tcPr>
            <w:tcW w:w="911" w:type="pct"/>
            <w:tcBorders>
              <w:top w:val="nil"/>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cs="宋体"/>
                <w:kern w:val="0"/>
                <w:szCs w:val="21"/>
              </w:rPr>
              <w:t>现行值</w:t>
            </w:r>
          </w:p>
        </w:tc>
      </w:tr>
      <w:tr>
        <w:tblPrEx>
          <w:tblCellMar>
            <w:top w:w="0" w:type="dxa"/>
            <w:left w:w="108" w:type="dxa"/>
            <w:bottom w:w="0" w:type="dxa"/>
            <w:right w:w="108" w:type="dxa"/>
          </w:tblCellMar>
        </w:tblPrEx>
        <w:trPr>
          <w:wBefore w:w="0" w:type="dxa"/>
          <w:cantSplit/>
          <w:trHeight w:val="285" w:hRule="atLeast"/>
          <w:jc w:val="center"/>
        </w:trPr>
        <w:tc>
          <w:tcPr>
            <w:tcW w:w="1264"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2" w:type="pct"/>
            <w:tcBorders>
              <w:top w:val="nil"/>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882"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1"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11" w:type="pct"/>
            <w:tcBorders>
              <w:top w:val="nil"/>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264"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2" w:type="pct"/>
            <w:tcBorders>
              <w:top w:val="nil"/>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882"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1"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11" w:type="pct"/>
            <w:tcBorders>
              <w:top w:val="nil"/>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264"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2" w:type="pct"/>
            <w:tcBorders>
              <w:top w:val="nil"/>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882"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1"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11" w:type="pct"/>
            <w:tcBorders>
              <w:top w:val="nil"/>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264"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2" w:type="pct"/>
            <w:tcBorders>
              <w:top w:val="nil"/>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882"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1"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11" w:type="pct"/>
            <w:tcBorders>
              <w:top w:val="nil"/>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126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2"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882"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71"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c>
          <w:tcPr>
            <w:tcW w:w="911"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r>
              <w:rPr>
                <w:rFonts w:hint="eastAsia" w:ascii="Times New Roman" w:hAnsi="Times New Roman"/>
                <w:szCs w:val="21"/>
              </w:rPr>
              <w:t xml:space="preserve">  </w:t>
            </w:r>
          </w:p>
        </w:tc>
      </w:tr>
    </w:tbl>
    <w:p>
      <w:pPr>
        <w:spacing w:line="288" w:lineRule="auto"/>
        <w:rPr>
          <w:bCs/>
          <w:lang w:val="zh-CN"/>
        </w:rPr>
      </w:pPr>
      <w:r>
        <w:rPr>
          <w:rFonts w:hint="eastAsia"/>
        </w:rPr>
        <w:t>采光</w:t>
      </w:r>
      <w:r>
        <w:t>区域的人工照明</w:t>
      </w:r>
      <w:r>
        <w:rPr>
          <w:rFonts w:hint="eastAsia"/>
        </w:rPr>
        <w:t>是否</w:t>
      </w:r>
      <w:r>
        <w:t>可随天然</w:t>
      </w:r>
      <w:r>
        <w:rPr>
          <w:rFonts w:hint="eastAsia"/>
        </w:rPr>
        <w:t>光</w:t>
      </w:r>
      <w:r>
        <w:t>照度变化自动调节</w:t>
      </w:r>
      <w:r>
        <w:rPr>
          <w:rFonts w:hint="eastAsia"/>
        </w:rPr>
        <w:t xml:space="preserve">： </w:t>
      </w:r>
      <w:r>
        <w:rPr>
          <w:rFonts w:hint="eastAsia" w:ascii="宋体" w:hAnsi="宋体"/>
          <w:szCs w:val="21"/>
        </w:rPr>
        <w:t>□</w:t>
      </w:r>
      <w:r>
        <w:rPr>
          <w:rFonts w:hint="eastAsia" w:cs="宋体"/>
          <w:szCs w:val="21"/>
        </w:rPr>
        <w:t xml:space="preserve">是   </w:t>
      </w:r>
      <w:r>
        <w:rPr>
          <w:rFonts w:hint="eastAsia" w:ascii="宋体" w:hAnsi="宋体"/>
          <w:szCs w:val="21"/>
        </w:rPr>
        <w:t>□</w:t>
      </w:r>
      <w:r>
        <w:rPr>
          <w:rFonts w:hint="eastAsia" w:cs="宋体"/>
          <w:szCs w:val="21"/>
        </w:rPr>
        <w:t>否</w:t>
      </w:r>
    </w:p>
    <w:p>
      <w:pPr>
        <w:spacing w:line="288" w:lineRule="auto"/>
        <w:rPr>
          <w:bCs/>
          <w:lang w:val="zh-CN"/>
        </w:rPr>
      </w:pPr>
      <w:r>
        <w:rPr>
          <w:rFonts w:hint="eastAsia"/>
        </w:rPr>
        <w:t>照明</w:t>
      </w:r>
      <w:r>
        <w:t>产品、</w:t>
      </w:r>
      <w:r>
        <w:rPr>
          <w:rFonts w:hint="eastAsia" w:cs="宋体"/>
          <w:bCs/>
        </w:rPr>
        <w:t>三相配电变压器、</w:t>
      </w:r>
      <w:r>
        <w:rPr>
          <w:rFonts w:hint="eastAsia"/>
          <w:bCs/>
          <w:lang w:val="zh-CN"/>
        </w:rPr>
        <w:t>水泵、风机（及其电机）的能效等级</w:t>
      </w:r>
    </w:p>
    <w:tbl>
      <w:tblPr>
        <w:tblStyle w:val="7"/>
        <w:tblW w:w="8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772"/>
        <w:gridCol w:w="1701"/>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64" w:type="dxa"/>
            <w:vMerge w:val="restart"/>
            <w:noWrap w:val="0"/>
            <w:vAlign w:val="center"/>
          </w:tcPr>
          <w:p>
            <w:pPr>
              <w:spacing w:line="288" w:lineRule="auto"/>
              <w:jc w:val="center"/>
              <w:rPr>
                <w:bCs/>
                <w:lang w:val="zh-CN"/>
              </w:rPr>
            </w:pPr>
            <w:r>
              <w:rPr>
                <w:rFonts w:hint="eastAsia"/>
                <w:bCs/>
                <w:lang w:val="zh-CN"/>
              </w:rPr>
              <w:t>设备名称</w:t>
            </w:r>
          </w:p>
        </w:tc>
        <w:tc>
          <w:tcPr>
            <w:tcW w:w="2772" w:type="dxa"/>
            <w:vMerge w:val="restart"/>
            <w:noWrap w:val="0"/>
            <w:vAlign w:val="center"/>
          </w:tcPr>
          <w:p>
            <w:pPr>
              <w:spacing w:line="288" w:lineRule="auto"/>
              <w:jc w:val="center"/>
              <w:rPr>
                <w:bCs/>
                <w:lang w:val="zh-CN"/>
              </w:rPr>
            </w:pPr>
            <w:r>
              <w:rPr>
                <w:rFonts w:hint="eastAsia"/>
                <w:bCs/>
                <w:lang w:val="zh-CN"/>
              </w:rPr>
              <w:t>设备型号</w:t>
            </w:r>
          </w:p>
        </w:tc>
        <w:tc>
          <w:tcPr>
            <w:tcW w:w="3527" w:type="dxa"/>
            <w:gridSpan w:val="2"/>
            <w:noWrap w:val="0"/>
            <w:vAlign w:val="center"/>
          </w:tcPr>
          <w:p>
            <w:pPr>
              <w:spacing w:line="288" w:lineRule="auto"/>
              <w:jc w:val="center"/>
              <w:rPr>
                <w:bCs/>
                <w:lang w:val="zh-CN"/>
              </w:rPr>
            </w:pPr>
            <w:r>
              <w:rPr>
                <w:rFonts w:hint="eastAsia"/>
                <w:bCs/>
                <w:lang w:val="zh-CN"/>
              </w:rPr>
              <w:t>能效水平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64" w:type="dxa"/>
            <w:vMerge w:val="continue"/>
            <w:noWrap w:val="0"/>
            <w:vAlign w:val="center"/>
          </w:tcPr>
          <w:p>
            <w:pPr>
              <w:spacing w:line="288" w:lineRule="auto"/>
              <w:jc w:val="center"/>
              <w:rPr>
                <w:bCs/>
                <w:lang w:val="zh-CN"/>
              </w:rPr>
            </w:pPr>
          </w:p>
        </w:tc>
        <w:tc>
          <w:tcPr>
            <w:tcW w:w="2772" w:type="dxa"/>
            <w:vMerge w:val="continue"/>
            <w:noWrap w:val="0"/>
            <w:vAlign w:val="top"/>
          </w:tcPr>
          <w:p>
            <w:pPr>
              <w:spacing w:line="288" w:lineRule="auto"/>
              <w:jc w:val="center"/>
              <w:rPr>
                <w:bCs/>
                <w:lang w:val="zh-CN"/>
              </w:rPr>
            </w:pPr>
          </w:p>
        </w:tc>
        <w:tc>
          <w:tcPr>
            <w:tcW w:w="1701" w:type="dxa"/>
            <w:noWrap w:val="0"/>
            <w:vAlign w:val="center"/>
          </w:tcPr>
          <w:p>
            <w:pPr>
              <w:spacing w:line="288" w:lineRule="auto"/>
              <w:jc w:val="center"/>
              <w:rPr>
                <w:bCs/>
                <w:lang w:val="zh-CN"/>
              </w:rPr>
            </w:pPr>
            <w:r>
              <w:rPr>
                <w:rFonts w:hint="eastAsia"/>
                <w:bCs/>
                <w:lang w:val="zh-CN"/>
              </w:rPr>
              <w:t>设备参数</w:t>
            </w:r>
          </w:p>
        </w:tc>
        <w:tc>
          <w:tcPr>
            <w:tcW w:w="1826" w:type="dxa"/>
            <w:noWrap w:val="0"/>
            <w:vAlign w:val="center"/>
          </w:tcPr>
          <w:p>
            <w:pPr>
              <w:spacing w:line="288" w:lineRule="auto"/>
              <w:jc w:val="center"/>
              <w:rPr>
                <w:bCs/>
                <w:lang w:val="zh-CN"/>
              </w:rPr>
            </w:pPr>
            <w:r>
              <w:rPr>
                <w:rFonts w:hint="eastAsia"/>
                <w:bCs/>
                <w:lang w:val="zh-CN"/>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64" w:type="dxa"/>
            <w:noWrap w:val="0"/>
            <w:vAlign w:val="top"/>
          </w:tcPr>
          <w:p>
            <w:pPr>
              <w:spacing w:line="288" w:lineRule="auto"/>
              <w:jc w:val="center"/>
              <w:rPr>
                <w:bCs/>
                <w:lang w:val="zh-CN"/>
              </w:rPr>
            </w:pPr>
            <w:r>
              <w:rPr>
                <w:rFonts w:hint="eastAsia" w:ascii="Times New Roman" w:hAnsi="Times New Roman"/>
                <w:szCs w:val="21"/>
              </w:rPr>
              <w:t xml:space="preserve">  </w:t>
            </w:r>
          </w:p>
        </w:tc>
        <w:tc>
          <w:tcPr>
            <w:tcW w:w="2772" w:type="dxa"/>
            <w:noWrap w:val="0"/>
            <w:vAlign w:val="top"/>
          </w:tcPr>
          <w:p>
            <w:pPr>
              <w:spacing w:line="288" w:lineRule="auto"/>
              <w:jc w:val="center"/>
              <w:rPr>
                <w:bCs/>
                <w:lang w:val="zh-CN"/>
              </w:rPr>
            </w:pPr>
            <w:r>
              <w:rPr>
                <w:rFonts w:hint="eastAsia" w:ascii="Times New Roman" w:hAnsi="Times New Roman"/>
                <w:szCs w:val="21"/>
              </w:rPr>
              <w:t xml:space="preserve">  </w:t>
            </w:r>
          </w:p>
        </w:tc>
        <w:tc>
          <w:tcPr>
            <w:tcW w:w="1701" w:type="dxa"/>
            <w:noWrap w:val="0"/>
            <w:vAlign w:val="top"/>
          </w:tcPr>
          <w:p>
            <w:pPr>
              <w:spacing w:line="288" w:lineRule="auto"/>
              <w:jc w:val="center"/>
              <w:rPr>
                <w:bCs/>
                <w:lang w:val="zh-CN"/>
              </w:rPr>
            </w:pPr>
            <w:r>
              <w:rPr>
                <w:rFonts w:hint="eastAsia" w:ascii="Times New Roman" w:hAnsi="Times New Roman"/>
                <w:szCs w:val="21"/>
              </w:rPr>
              <w:t xml:space="preserve">  </w:t>
            </w:r>
          </w:p>
        </w:tc>
        <w:tc>
          <w:tcPr>
            <w:tcW w:w="1826" w:type="dxa"/>
            <w:noWrap w:val="0"/>
            <w:vAlign w:val="top"/>
          </w:tcPr>
          <w:p>
            <w:pPr>
              <w:spacing w:line="288" w:lineRule="auto"/>
              <w:jc w:val="center"/>
              <w:rPr>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64" w:type="dxa"/>
            <w:noWrap w:val="0"/>
            <w:vAlign w:val="top"/>
          </w:tcPr>
          <w:p>
            <w:pPr>
              <w:spacing w:line="288" w:lineRule="auto"/>
              <w:jc w:val="center"/>
              <w:rPr>
                <w:bCs/>
                <w:lang w:val="zh-CN"/>
              </w:rPr>
            </w:pPr>
            <w:r>
              <w:rPr>
                <w:rFonts w:hint="eastAsia" w:ascii="Times New Roman" w:hAnsi="Times New Roman"/>
                <w:szCs w:val="21"/>
              </w:rPr>
              <w:t xml:space="preserve">  </w:t>
            </w:r>
          </w:p>
        </w:tc>
        <w:tc>
          <w:tcPr>
            <w:tcW w:w="2772" w:type="dxa"/>
            <w:noWrap w:val="0"/>
            <w:vAlign w:val="top"/>
          </w:tcPr>
          <w:p>
            <w:pPr>
              <w:spacing w:line="288" w:lineRule="auto"/>
              <w:jc w:val="center"/>
              <w:rPr>
                <w:bCs/>
                <w:lang w:val="zh-CN"/>
              </w:rPr>
            </w:pPr>
            <w:r>
              <w:rPr>
                <w:rFonts w:hint="eastAsia" w:ascii="Times New Roman" w:hAnsi="Times New Roman"/>
                <w:szCs w:val="21"/>
              </w:rPr>
              <w:t xml:space="preserve">  </w:t>
            </w:r>
          </w:p>
        </w:tc>
        <w:tc>
          <w:tcPr>
            <w:tcW w:w="1701" w:type="dxa"/>
            <w:noWrap w:val="0"/>
            <w:vAlign w:val="top"/>
          </w:tcPr>
          <w:p>
            <w:pPr>
              <w:spacing w:line="288" w:lineRule="auto"/>
              <w:jc w:val="center"/>
              <w:rPr>
                <w:bCs/>
                <w:lang w:val="zh-CN"/>
              </w:rPr>
            </w:pPr>
            <w:r>
              <w:rPr>
                <w:rFonts w:hint="eastAsia" w:ascii="Times New Roman" w:hAnsi="Times New Roman"/>
                <w:szCs w:val="21"/>
              </w:rPr>
              <w:t xml:space="preserve">  </w:t>
            </w:r>
          </w:p>
        </w:tc>
        <w:tc>
          <w:tcPr>
            <w:tcW w:w="1826" w:type="dxa"/>
            <w:noWrap w:val="0"/>
            <w:vAlign w:val="top"/>
          </w:tcPr>
          <w:p>
            <w:pPr>
              <w:spacing w:line="288" w:lineRule="auto"/>
              <w:jc w:val="center"/>
              <w:rPr>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64" w:type="dxa"/>
            <w:noWrap w:val="0"/>
            <w:vAlign w:val="top"/>
          </w:tcPr>
          <w:p>
            <w:pPr>
              <w:spacing w:line="288" w:lineRule="auto"/>
              <w:jc w:val="center"/>
              <w:rPr>
                <w:bCs/>
                <w:lang w:val="zh-CN"/>
              </w:rPr>
            </w:pPr>
            <w:r>
              <w:rPr>
                <w:rFonts w:hint="eastAsia" w:ascii="Times New Roman" w:hAnsi="Times New Roman"/>
                <w:szCs w:val="21"/>
              </w:rPr>
              <w:t xml:space="preserve">  </w:t>
            </w:r>
          </w:p>
        </w:tc>
        <w:tc>
          <w:tcPr>
            <w:tcW w:w="2772" w:type="dxa"/>
            <w:noWrap w:val="0"/>
            <w:vAlign w:val="top"/>
          </w:tcPr>
          <w:p>
            <w:pPr>
              <w:spacing w:line="288" w:lineRule="auto"/>
              <w:jc w:val="center"/>
              <w:rPr>
                <w:bCs/>
                <w:lang w:val="zh-CN"/>
              </w:rPr>
            </w:pPr>
            <w:r>
              <w:rPr>
                <w:rFonts w:hint="eastAsia" w:ascii="Times New Roman" w:hAnsi="Times New Roman"/>
                <w:szCs w:val="21"/>
              </w:rPr>
              <w:t xml:space="preserve">  </w:t>
            </w:r>
          </w:p>
        </w:tc>
        <w:tc>
          <w:tcPr>
            <w:tcW w:w="1701" w:type="dxa"/>
            <w:noWrap w:val="0"/>
            <w:vAlign w:val="top"/>
          </w:tcPr>
          <w:p>
            <w:pPr>
              <w:spacing w:line="288" w:lineRule="auto"/>
              <w:jc w:val="center"/>
              <w:rPr>
                <w:bCs/>
                <w:lang w:val="zh-CN"/>
              </w:rPr>
            </w:pPr>
            <w:r>
              <w:rPr>
                <w:rFonts w:hint="eastAsia" w:ascii="Times New Roman" w:hAnsi="Times New Roman"/>
                <w:szCs w:val="21"/>
              </w:rPr>
              <w:t xml:space="preserve">  </w:t>
            </w:r>
          </w:p>
        </w:tc>
        <w:tc>
          <w:tcPr>
            <w:tcW w:w="1826" w:type="dxa"/>
            <w:noWrap w:val="0"/>
            <w:vAlign w:val="top"/>
          </w:tcPr>
          <w:p>
            <w:pPr>
              <w:spacing w:line="288" w:lineRule="auto"/>
              <w:jc w:val="center"/>
              <w:rPr>
                <w:bCs/>
                <w:lang w:val="zh-CN"/>
              </w:rPr>
            </w:pPr>
            <w:r>
              <w:rPr>
                <w:rFonts w:hint="eastAsia" w:ascii="Times New Roman" w:hAnsi="Times New Roman"/>
                <w:szCs w:val="21"/>
              </w:rPr>
              <w:t xml:space="preserve">  </w:t>
            </w:r>
          </w:p>
        </w:tc>
      </w:tr>
    </w:tbl>
    <w:p>
      <w:pPr>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bookmarkStart w:id="248" w:name="_Toc9944772"/>
      <w:bookmarkStart w:id="249" w:name="_Toc9945052"/>
      <w:bookmarkStart w:id="250" w:name="_Toc9945196"/>
      <w:bookmarkStart w:id="251" w:name="_Toc9945338"/>
      <w:bookmarkStart w:id="252" w:name="_Toc9945479"/>
      <w:r>
        <w:rPr>
          <w:rFonts w:hint="eastAsia" w:ascii="Times New Roman" w:hAnsi="Times New Roman"/>
        </w:rPr>
        <w:t>1）电气专业竣工图及设计说明，</w:t>
      </w:r>
      <w:r>
        <w:rPr>
          <w:rFonts w:ascii="Times New Roman" w:hAnsi="Times New Roman"/>
        </w:rPr>
        <w:t>应包含照明设计</w:t>
      </w:r>
      <w:r>
        <w:rPr>
          <w:rFonts w:hint="eastAsia" w:ascii="Times New Roman" w:hAnsi="Times New Roman"/>
        </w:rPr>
        <w:t>要求</w:t>
      </w:r>
      <w:r>
        <w:rPr>
          <w:rFonts w:ascii="Times New Roman" w:hAnsi="Times New Roman"/>
        </w:rPr>
        <w:t>、照明设计标准、照明控制措施等；</w:t>
      </w:r>
    </w:p>
    <w:p>
      <w:pPr>
        <w:rPr>
          <w:rFonts w:ascii="Times New Roman" w:hAnsi="Times New Roman"/>
        </w:rPr>
      </w:pPr>
      <w:r>
        <w:rPr>
          <w:rFonts w:hint="eastAsia" w:ascii="Times New Roman" w:hAnsi="Times New Roman"/>
        </w:rPr>
        <w:t>2）照明装修竣工图及设计说明，应包含</w:t>
      </w:r>
      <w:r>
        <w:rPr>
          <w:rFonts w:ascii="Times New Roman" w:hAnsi="Times New Roman"/>
        </w:rPr>
        <w:t>照明系统图、平面施工图、设备表等；</w:t>
      </w:r>
    </w:p>
    <w:p>
      <w:pPr>
        <w:rPr>
          <w:rFonts w:ascii="Times New Roman" w:hAnsi="Times New Roman"/>
        </w:rPr>
      </w:pPr>
      <w:r>
        <w:rPr>
          <w:rFonts w:ascii="Times New Roman" w:hAnsi="Times New Roman"/>
        </w:rPr>
        <w:t>3</w:t>
      </w:r>
      <w:r>
        <w:rPr>
          <w:rFonts w:hint="eastAsia" w:ascii="Times New Roman" w:hAnsi="Times New Roman"/>
        </w:rPr>
        <w:t>）照明产品采购清单、照明功率密度计算书及现场检测报告；</w:t>
      </w:r>
    </w:p>
    <w:p>
      <w:pPr>
        <w:widowControl/>
        <w:jc w:val="left"/>
        <w:rPr>
          <w:rFonts w:ascii="Times New Roman" w:hAnsi="Times New Roman"/>
          <w:szCs w:val="21"/>
        </w:rPr>
      </w:pPr>
      <w:r>
        <w:rPr>
          <w:rFonts w:ascii="Times New Roman" w:hAnsi="Times New Roman"/>
        </w:rPr>
        <w:t>4</w:t>
      </w:r>
      <w:r>
        <w:rPr>
          <w:rFonts w:hint="eastAsia" w:ascii="Times New Roman" w:hAnsi="Times New Roman"/>
        </w:rPr>
        <w:t>）电气设备能效等级分析报告、电气设备的产品说明书或检测报告。</w:t>
      </w:r>
      <w:bookmarkEnd w:id="248"/>
      <w:bookmarkEnd w:id="249"/>
      <w:bookmarkEnd w:id="250"/>
      <w:bookmarkEnd w:id="251"/>
      <w:bookmarkEnd w:id="252"/>
    </w:p>
    <w:p>
      <w:pPr>
        <w:widowControl/>
        <w:jc w:val="lef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32"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rPr>
      </w:pPr>
      <w:r>
        <w:rPr>
          <w:rFonts w:hint="eastAsia"/>
          <w:sz w:val="24"/>
          <w:szCs w:val="40"/>
        </w:rPr>
        <w:t>7.2.8 采取措施降低建筑能耗。（</w:t>
      </w:r>
      <w:r>
        <w:rPr>
          <w:sz w:val="24"/>
          <w:szCs w:val="40"/>
        </w:rPr>
        <w:t>10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94"/>
        <w:gridCol w:w="155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5" w:hRule="atLeast"/>
          <w:jc w:val="center"/>
        </w:trPr>
        <w:tc>
          <w:tcPr>
            <w:tcW w:w="733" w:type="dxa"/>
            <w:noWrap w:val="0"/>
            <w:vAlign w:val="top"/>
          </w:tcPr>
          <w:p>
            <w:pPr>
              <w:pStyle w:val="10"/>
              <w:ind w:firstLine="0" w:firstLineChars="0"/>
              <w:jc w:val="center"/>
            </w:pPr>
            <w:bookmarkStart w:id="253" w:name="_Toc425233131"/>
            <w:r>
              <w:rPr>
                <w:szCs w:val="21"/>
              </w:rPr>
              <w:t>序号</w:t>
            </w:r>
          </w:p>
        </w:tc>
        <w:tc>
          <w:tcPr>
            <w:tcW w:w="4394" w:type="dxa"/>
            <w:noWrap w:val="0"/>
            <w:vAlign w:val="top"/>
          </w:tcPr>
          <w:p>
            <w:pPr>
              <w:pStyle w:val="10"/>
              <w:ind w:firstLine="0" w:firstLineChars="0"/>
              <w:jc w:val="center"/>
            </w:pPr>
            <w:r>
              <w:rPr>
                <w:szCs w:val="21"/>
              </w:rPr>
              <w:t>评价内容</w:t>
            </w:r>
          </w:p>
        </w:tc>
        <w:tc>
          <w:tcPr>
            <w:tcW w:w="1559" w:type="dxa"/>
            <w:noWrap w:val="0"/>
            <w:vAlign w:val="top"/>
          </w:tcPr>
          <w:p>
            <w:pPr>
              <w:pStyle w:val="10"/>
              <w:ind w:firstLine="0" w:firstLineChars="0"/>
              <w:jc w:val="center"/>
            </w:pPr>
            <w:r>
              <w:rPr>
                <w:szCs w:val="21"/>
              </w:rPr>
              <w:t>评价分值</w:t>
            </w:r>
          </w:p>
        </w:tc>
        <w:tc>
          <w:tcPr>
            <w:tcW w:w="1299" w:type="dxa"/>
            <w:noWrap w:val="0"/>
            <w:vAlign w:val="top"/>
          </w:tcPr>
          <w:p>
            <w:pPr>
              <w:pStyle w:val="10"/>
              <w:ind w:firstLine="0" w:firstLineChars="0"/>
              <w:jc w:val="center"/>
            </w:pPr>
            <w:r>
              <w:rPr>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733" w:type="dxa"/>
            <w:noWrap w:val="0"/>
            <w:vAlign w:val="top"/>
          </w:tcPr>
          <w:p>
            <w:pPr>
              <w:pStyle w:val="10"/>
              <w:ind w:firstLine="0" w:firstLineChars="0"/>
              <w:jc w:val="center"/>
            </w:pPr>
            <w:r>
              <w:t>1</w:t>
            </w:r>
          </w:p>
        </w:tc>
        <w:tc>
          <w:tcPr>
            <w:tcW w:w="4394" w:type="dxa"/>
            <w:noWrap w:val="0"/>
            <w:vAlign w:val="center"/>
          </w:tcPr>
          <w:p>
            <w:pPr>
              <w:pStyle w:val="10"/>
              <w:ind w:firstLine="0" w:firstLineChars="0"/>
              <w:jc w:val="left"/>
            </w:pPr>
            <w:r>
              <w:t>建筑能耗相比国家现行有关建筑节能标准降低10%</w:t>
            </w:r>
          </w:p>
        </w:tc>
        <w:tc>
          <w:tcPr>
            <w:tcW w:w="1559" w:type="dxa"/>
            <w:noWrap w:val="0"/>
            <w:vAlign w:val="center"/>
          </w:tcPr>
          <w:p>
            <w:pPr>
              <w:pStyle w:val="10"/>
              <w:ind w:firstLine="0" w:firstLineChars="0"/>
              <w:jc w:val="center"/>
            </w:pPr>
            <w:r>
              <w:t>5</w:t>
            </w:r>
          </w:p>
        </w:tc>
        <w:tc>
          <w:tcPr>
            <w:tcW w:w="1299" w:type="dxa"/>
            <w:noWrap w:val="0"/>
            <w:vAlign w:val="center"/>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733" w:type="dxa"/>
            <w:noWrap w:val="0"/>
            <w:vAlign w:val="top"/>
          </w:tcPr>
          <w:p>
            <w:pPr>
              <w:pStyle w:val="10"/>
              <w:ind w:firstLine="0" w:firstLineChars="0"/>
              <w:jc w:val="center"/>
            </w:pPr>
            <w:r>
              <w:t>2</w:t>
            </w:r>
          </w:p>
        </w:tc>
        <w:tc>
          <w:tcPr>
            <w:tcW w:w="4394" w:type="dxa"/>
            <w:noWrap w:val="0"/>
            <w:vAlign w:val="center"/>
          </w:tcPr>
          <w:p>
            <w:pPr>
              <w:pStyle w:val="10"/>
              <w:ind w:firstLine="0" w:firstLineChars="0"/>
              <w:jc w:val="left"/>
            </w:pPr>
            <w:r>
              <w:t>建筑能耗相比国家现行有关建筑节能标准降低20%</w:t>
            </w:r>
          </w:p>
        </w:tc>
        <w:tc>
          <w:tcPr>
            <w:tcW w:w="1559" w:type="dxa"/>
            <w:noWrap w:val="0"/>
            <w:vAlign w:val="center"/>
          </w:tcPr>
          <w:p>
            <w:pPr>
              <w:pStyle w:val="10"/>
              <w:ind w:firstLine="0" w:firstLineChars="0"/>
              <w:jc w:val="center"/>
            </w:pPr>
            <w:r>
              <w:t>10</w:t>
            </w:r>
          </w:p>
        </w:tc>
        <w:tc>
          <w:tcPr>
            <w:tcW w:w="1299" w:type="dxa"/>
            <w:noWrap w:val="0"/>
            <w:vAlign w:val="center"/>
          </w:tcPr>
          <w:p>
            <w:pPr>
              <w:pStyle w:val="10"/>
              <w:ind w:firstLine="0" w:firstLineChars="0"/>
              <w:jc w:val="cente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4" w:hRule="atLeast"/>
          <w:jc w:val="center"/>
        </w:trPr>
        <w:tc>
          <w:tcPr>
            <w:tcW w:w="5127" w:type="dxa"/>
            <w:gridSpan w:val="2"/>
            <w:noWrap w:val="0"/>
            <w:vAlign w:val="top"/>
          </w:tcPr>
          <w:p>
            <w:pPr>
              <w:pStyle w:val="10"/>
              <w:ind w:firstLine="0" w:firstLineChars="0"/>
              <w:jc w:val="center"/>
            </w:pPr>
            <w:r>
              <w:t>合计</w:t>
            </w:r>
          </w:p>
        </w:tc>
        <w:tc>
          <w:tcPr>
            <w:tcW w:w="1559" w:type="dxa"/>
            <w:noWrap w:val="0"/>
            <w:vAlign w:val="center"/>
          </w:tcPr>
          <w:p>
            <w:pPr>
              <w:pStyle w:val="10"/>
              <w:ind w:firstLine="0" w:firstLineChars="0"/>
              <w:jc w:val="center"/>
            </w:pPr>
            <w:r>
              <w:t>10</w:t>
            </w:r>
          </w:p>
        </w:tc>
        <w:tc>
          <w:tcPr>
            <w:tcW w:w="1299" w:type="dxa"/>
            <w:noWrap w:val="0"/>
            <w:vAlign w:val="center"/>
          </w:tcPr>
          <w:p>
            <w:pPr>
              <w:pStyle w:val="10"/>
              <w:ind w:firstLine="0" w:firstLineChars="0"/>
              <w:jc w:val="center"/>
            </w:pPr>
            <w:r>
              <w:rPr>
                <w:rFonts w:hint="eastAsia"/>
                <w:szCs w:val="21"/>
              </w:rPr>
              <w:t xml:space="preserve">  </w:t>
            </w:r>
          </w:p>
        </w:tc>
      </w:tr>
    </w:tbl>
    <w:p>
      <w:pPr>
        <w:spacing w:before="156" w:beforeLines="50" w:after="156" w:afterLines="50"/>
        <w:rPr>
          <w:rFonts w:ascii="Times New Roman" w:hAnsi="Times New Roman"/>
          <w:b/>
          <w:szCs w:val="21"/>
        </w:rPr>
      </w:pPr>
      <w:bookmarkStart w:id="254" w:name="_Toc9944780"/>
      <w:bookmarkStart w:id="255" w:name="_Toc9945060"/>
      <w:bookmarkStart w:id="256" w:name="_Toc9945204"/>
      <w:bookmarkStart w:id="257" w:name="_Toc9945346"/>
      <w:bookmarkStart w:id="258" w:name="_Toc9945487"/>
      <w:r>
        <w:rPr>
          <w:rFonts w:ascii="Times New Roman" w:hAnsi="Times New Roman"/>
          <w:b/>
          <w:szCs w:val="21"/>
        </w:rPr>
        <w:t>2 评价要点</w:t>
      </w:r>
    </w:p>
    <w:p>
      <w:r>
        <w:rPr>
          <w:rFonts w:hint="eastAsia"/>
        </w:rPr>
        <w:t>能耗计算结果：</w:t>
      </w:r>
      <w:bookmarkEnd w:id="254"/>
      <w:bookmarkEnd w:id="255"/>
      <w:bookmarkEnd w:id="256"/>
      <w:bookmarkEnd w:id="257"/>
      <w:bookmarkEnd w:id="258"/>
    </w:p>
    <w:tbl>
      <w:tblPr>
        <w:tblStyle w:val="7"/>
        <w:tblW w:w="7938" w:type="dxa"/>
        <w:jc w:val="center"/>
        <w:tblLayout w:type="fixed"/>
        <w:tblCellMar>
          <w:top w:w="0" w:type="dxa"/>
          <w:left w:w="108" w:type="dxa"/>
          <w:bottom w:w="0" w:type="dxa"/>
          <w:right w:w="108" w:type="dxa"/>
        </w:tblCellMar>
      </w:tblPr>
      <w:tblGrid>
        <w:gridCol w:w="2835"/>
        <w:gridCol w:w="1559"/>
        <w:gridCol w:w="1985"/>
        <w:gridCol w:w="1559"/>
      </w:tblGrid>
      <w:tr>
        <w:tblPrEx>
          <w:tblCellMar>
            <w:top w:w="0" w:type="dxa"/>
            <w:left w:w="108" w:type="dxa"/>
            <w:bottom w:w="0" w:type="dxa"/>
            <w:right w:w="108" w:type="dxa"/>
          </w:tblCellMar>
        </w:tblPrEx>
        <w:trPr>
          <w:wBefore w:w="0" w:type="dxa"/>
          <w:cantSplit/>
          <w:trHeight w:val="285" w:hRule="atLeast"/>
          <w:jc w:val="center"/>
        </w:trPr>
        <w:tc>
          <w:tcPr>
            <w:tcW w:w="2835"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建筑分项能耗</w:t>
            </w:r>
          </w:p>
        </w:tc>
        <w:tc>
          <w:tcPr>
            <w:tcW w:w="1559" w:type="dxa"/>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单位</w:t>
            </w:r>
          </w:p>
        </w:tc>
        <w:tc>
          <w:tcPr>
            <w:tcW w:w="1985" w:type="dxa"/>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能耗约束值</w:t>
            </w:r>
          </w:p>
        </w:tc>
        <w:tc>
          <w:tcPr>
            <w:tcW w:w="1559" w:type="dxa"/>
            <w:tcBorders>
              <w:top w:val="single" w:color="auto" w:sz="8" w:space="0"/>
              <w:left w:val="nil"/>
              <w:bottom w:val="single" w:color="auto" w:sz="4" w:space="0"/>
              <w:right w:val="single" w:color="auto" w:sz="8"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实际能耗</w:t>
            </w:r>
          </w:p>
        </w:tc>
      </w:tr>
      <w:tr>
        <w:tblPrEx>
          <w:tblCellMar>
            <w:top w:w="0" w:type="dxa"/>
            <w:left w:w="108" w:type="dxa"/>
            <w:bottom w:w="0" w:type="dxa"/>
            <w:right w:w="108" w:type="dxa"/>
          </w:tblCellMar>
        </w:tblPrEx>
        <w:trPr>
          <w:wBefore w:w="0" w:type="dxa"/>
          <w:cantSplit/>
          <w:trHeight w:val="285" w:hRule="atLeast"/>
          <w:jc w:val="center"/>
        </w:trPr>
        <w:tc>
          <w:tcPr>
            <w:tcW w:w="2835"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供暖空调系统能耗</w:t>
            </w:r>
          </w:p>
        </w:tc>
        <w:tc>
          <w:tcPr>
            <w:tcW w:w="1559"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kWh/m</w:t>
            </w:r>
            <w:r>
              <w:rPr>
                <w:rFonts w:ascii="Times New Roman" w:hAnsi="Times New Roman"/>
                <w:kern w:val="0"/>
                <w:szCs w:val="18"/>
                <w:vertAlign w:val="superscript"/>
              </w:rPr>
              <w:t>2</w:t>
            </w:r>
          </w:p>
        </w:tc>
        <w:tc>
          <w:tcPr>
            <w:tcW w:w="1985" w:type="dxa"/>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Cs w:val="21"/>
              </w:rPr>
            </w:pPr>
            <w:r>
              <w:rPr>
                <w:rFonts w:hint="eastAsia" w:ascii="Times New Roman" w:hAnsi="Times New Roman"/>
                <w:szCs w:val="21"/>
              </w:rPr>
              <w:t xml:space="preserve">  </w:t>
            </w:r>
          </w:p>
        </w:tc>
        <w:tc>
          <w:tcPr>
            <w:tcW w:w="1559" w:type="dxa"/>
            <w:tcBorders>
              <w:top w:val="nil"/>
              <w:left w:val="nil"/>
              <w:bottom w:val="single" w:color="auto" w:sz="4" w:space="0"/>
              <w:right w:val="single" w:color="auto" w:sz="8"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2835"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照明系统能耗</w:t>
            </w:r>
          </w:p>
        </w:tc>
        <w:tc>
          <w:tcPr>
            <w:tcW w:w="1559"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kWh/m</w:t>
            </w:r>
            <w:r>
              <w:rPr>
                <w:rFonts w:ascii="Times New Roman" w:hAnsi="Times New Roman"/>
                <w:kern w:val="0"/>
                <w:szCs w:val="18"/>
                <w:vertAlign w:val="superscript"/>
              </w:rPr>
              <w:t>2</w:t>
            </w:r>
          </w:p>
        </w:tc>
        <w:tc>
          <w:tcPr>
            <w:tcW w:w="1985" w:type="dxa"/>
            <w:tcBorders>
              <w:top w:val="nil"/>
              <w:left w:val="nil"/>
              <w:bottom w:val="single" w:color="auto" w:sz="4" w:space="0"/>
              <w:right w:val="single" w:color="auto" w:sz="4"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559" w:type="dxa"/>
            <w:tcBorders>
              <w:top w:val="nil"/>
              <w:left w:val="nil"/>
              <w:bottom w:val="single" w:color="auto" w:sz="4" w:space="0"/>
              <w:right w:val="single" w:color="auto" w:sz="8"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2835"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单位面积全年总能耗</w:t>
            </w:r>
          </w:p>
        </w:tc>
        <w:tc>
          <w:tcPr>
            <w:tcW w:w="1559"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kWh/m</w:t>
            </w:r>
            <w:r>
              <w:rPr>
                <w:rFonts w:ascii="Times New Roman" w:hAnsi="Times New Roman"/>
                <w:kern w:val="0"/>
                <w:szCs w:val="18"/>
                <w:vertAlign w:val="superscript"/>
              </w:rPr>
              <w:t>2</w:t>
            </w:r>
          </w:p>
        </w:tc>
        <w:tc>
          <w:tcPr>
            <w:tcW w:w="1985" w:type="dxa"/>
            <w:tcBorders>
              <w:top w:val="nil"/>
              <w:left w:val="nil"/>
              <w:bottom w:val="single" w:color="auto" w:sz="4" w:space="0"/>
              <w:right w:val="single" w:color="auto" w:sz="4"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c>
          <w:tcPr>
            <w:tcW w:w="1559" w:type="dxa"/>
            <w:tcBorders>
              <w:top w:val="nil"/>
              <w:left w:val="nil"/>
              <w:bottom w:val="single" w:color="auto" w:sz="4" w:space="0"/>
              <w:right w:val="single" w:color="auto" w:sz="8" w:space="0"/>
            </w:tcBorders>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CellMar>
            <w:top w:w="0" w:type="dxa"/>
            <w:left w:w="108" w:type="dxa"/>
            <w:bottom w:w="0" w:type="dxa"/>
            <w:right w:w="108" w:type="dxa"/>
          </w:tblCellMar>
        </w:tblPrEx>
        <w:trPr>
          <w:wBefore w:w="0" w:type="dxa"/>
          <w:cantSplit/>
          <w:trHeight w:val="300" w:hRule="atLeast"/>
          <w:jc w:val="center"/>
        </w:trPr>
        <w:tc>
          <w:tcPr>
            <w:tcW w:w="2835" w:type="dxa"/>
            <w:tcBorders>
              <w:top w:val="nil"/>
              <w:left w:val="single" w:color="auto" w:sz="8" w:space="0"/>
              <w:bottom w:val="single" w:color="auto" w:sz="8"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能耗降低幅度</w:t>
            </w:r>
          </w:p>
        </w:tc>
        <w:tc>
          <w:tcPr>
            <w:tcW w:w="1559" w:type="dxa"/>
            <w:tcBorders>
              <w:top w:val="nil"/>
              <w:left w:val="nil"/>
              <w:bottom w:val="single" w:color="auto" w:sz="8" w:space="0"/>
              <w:right w:val="single" w:color="auto" w:sz="4" w:space="0"/>
            </w:tcBorders>
            <w:noWrap w:val="0"/>
            <w:vAlign w:val="center"/>
          </w:tcPr>
          <w:p>
            <w:pPr>
              <w:widowControl/>
              <w:jc w:val="center"/>
              <w:rPr>
                <w:rFonts w:ascii="Times New Roman" w:hAnsi="Times New Roman"/>
                <w:kern w:val="0"/>
                <w:szCs w:val="18"/>
              </w:rPr>
            </w:pPr>
            <w:r>
              <w:rPr>
                <w:rFonts w:ascii="Times New Roman" w:hAnsi="Times New Roman"/>
                <w:kern w:val="0"/>
                <w:szCs w:val="18"/>
              </w:rPr>
              <w:t>％</w:t>
            </w:r>
          </w:p>
        </w:tc>
        <w:tc>
          <w:tcPr>
            <w:tcW w:w="3544" w:type="dxa"/>
            <w:gridSpan w:val="2"/>
            <w:tcBorders>
              <w:top w:val="nil"/>
              <w:left w:val="nil"/>
              <w:bottom w:val="single" w:color="auto" w:sz="8" w:space="0"/>
              <w:right w:val="single" w:color="auto" w:sz="8" w:space="0"/>
            </w:tcBorders>
            <w:noWrap w:val="0"/>
            <w:vAlign w:val="center"/>
          </w:tcPr>
          <w:p>
            <w:pPr>
              <w:pStyle w:val="11"/>
              <w:spacing w:line="288" w:lineRule="auto"/>
              <w:ind w:firstLine="360"/>
              <w:jc w:val="center"/>
              <w:outlineLvl w:val="9"/>
              <w:rPr>
                <w:sz w:val="21"/>
                <w:szCs w:val="21"/>
              </w:rPr>
            </w:pPr>
            <w:r>
              <w:rPr>
                <w:rFonts w:hint="eastAsia"/>
                <w:szCs w:val="21"/>
              </w:rPr>
              <w:t xml:space="preserve">  </w:t>
            </w:r>
          </w:p>
        </w:tc>
      </w:tr>
    </w:tbl>
    <w:p>
      <w:pPr>
        <w:spacing w:line="288" w:lineRule="auto"/>
        <w:rPr>
          <w:szCs w:val="21"/>
          <w:u w:val="single"/>
          <w:lang w:val="zh-CN"/>
        </w:rPr>
      </w:pPr>
      <w:r>
        <w:rPr>
          <w:rFonts w:hint="eastAsia"/>
          <w:szCs w:val="21"/>
          <w:lang w:val="zh-CN"/>
        </w:rPr>
        <w:t>执行的节能设计标准：</w:t>
      </w:r>
      <w:r>
        <w:rPr>
          <w:rFonts w:hint="eastAsia"/>
          <w:szCs w:val="21"/>
          <w:u w:val="single"/>
        </w:rPr>
        <w:t xml:space="preserve">                                  </w:t>
      </w:r>
      <w:r>
        <w:rPr>
          <w:szCs w:val="21"/>
          <w:u w:val="single"/>
          <w:lang w:val="zh-CN"/>
        </w:rPr>
        <w:t xml:space="preserve"> </w:t>
      </w: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bookmarkStart w:id="259" w:name="_Toc9944782"/>
      <w:bookmarkStart w:id="260" w:name="_Toc9945062"/>
      <w:bookmarkStart w:id="261" w:name="_Toc9945206"/>
      <w:bookmarkStart w:id="262" w:name="_Toc9945348"/>
      <w:bookmarkStart w:id="263" w:name="_Toc9945489"/>
      <w:r>
        <w:rPr>
          <w:rFonts w:hint="eastAsia" w:ascii="Times New Roman" w:hAnsi="Times New Roman"/>
        </w:rPr>
        <w:t>1）暖通空调专业竣工图及设计说明、暖通空调能耗模拟计算书</w:t>
      </w:r>
      <w:bookmarkEnd w:id="259"/>
      <w:bookmarkEnd w:id="260"/>
      <w:bookmarkEnd w:id="261"/>
      <w:bookmarkEnd w:id="262"/>
      <w:bookmarkEnd w:id="263"/>
      <w:r>
        <w:rPr>
          <w:rFonts w:hint="eastAsia" w:ascii="Times New Roman" w:hAnsi="Times New Roman"/>
        </w:rPr>
        <w:t>；</w:t>
      </w:r>
    </w:p>
    <w:p>
      <w:pPr>
        <w:rPr>
          <w:rFonts w:ascii="Times New Roman" w:hAnsi="Times New Roman"/>
        </w:rPr>
      </w:pPr>
      <w:r>
        <w:rPr>
          <w:rFonts w:hint="eastAsia" w:ascii="Times New Roman" w:hAnsi="Times New Roman"/>
        </w:rPr>
        <w:t>2）内装竣工图及设计说明、电气专业竣工图及设计说明、照明能耗模拟计算书；</w:t>
      </w:r>
      <w:bookmarkStart w:id="264" w:name="_Toc9944783"/>
      <w:bookmarkStart w:id="265" w:name="_Toc9945063"/>
      <w:bookmarkStart w:id="266" w:name="_Toc9945207"/>
      <w:bookmarkStart w:id="267" w:name="_Toc9945349"/>
      <w:bookmarkStart w:id="268" w:name="_Toc9945490"/>
    </w:p>
    <w:p>
      <w:pPr>
        <w:rPr>
          <w:rFonts w:ascii="Times New Roman" w:hAnsi="Times New Roman"/>
        </w:rPr>
      </w:pPr>
      <w:r>
        <w:rPr>
          <w:rFonts w:hint="eastAsia" w:ascii="Times New Roman" w:hAnsi="Times New Roman"/>
        </w:rPr>
        <w:t>3）投入使用</w:t>
      </w:r>
      <w:r>
        <w:rPr>
          <w:rFonts w:ascii="Times New Roman" w:hAnsi="Times New Roman"/>
        </w:rPr>
        <w:t>满</w:t>
      </w:r>
      <w:r>
        <w:rPr>
          <w:rFonts w:hint="eastAsia" w:ascii="Times New Roman" w:hAnsi="Times New Roman"/>
        </w:rPr>
        <w:t>1年</w:t>
      </w:r>
      <w:r>
        <w:rPr>
          <w:rFonts w:ascii="Times New Roman" w:hAnsi="Times New Roman"/>
        </w:rPr>
        <w:t>，应提供</w:t>
      </w:r>
      <w:r>
        <w:rPr>
          <w:rFonts w:hint="eastAsia" w:ascii="Times New Roman" w:hAnsi="Times New Roman"/>
        </w:rPr>
        <w:t>建筑能耗记录及</w:t>
      </w:r>
      <w:r>
        <w:rPr>
          <w:rFonts w:ascii="Times New Roman" w:hAnsi="Times New Roman"/>
        </w:rPr>
        <w:t>节能率计算报告</w:t>
      </w:r>
      <w:r>
        <w:rPr>
          <w:rFonts w:hint="eastAsia" w:ascii="Times New Roman" w:hAnsi="Times New Roman"/>
        </w:rPr>
        <w:t>。</w:t>
      </w:r>
      <w:bookmarkEnd w:id="264"/>
      <w:bookmarkEnd w:id="265"/>
      <w:bookmarkEnd w:id="266"/>
      <w:bookmarkEnd w:id="267"/>
      <w:bookmarkEnd w:id="268"/>
    </w:p>
    <w:p/>
    <w:bookmarkEnd w:id="253"/>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7.2.9 结合当地</w:t>
      </w:r>
      <w:r>
        <w:rPr>
          <w:sz w:val="24"/>
          <w:szCs w:val="40"/>
        </w:rPr>
        <w:t>气候和自然资源条件合理利用可再生能源。</w:t>
      </w:r>
      <w:r>
        <w:rPr>
          <w:rFonts w:hint="eastAsia"/>
          <w:sz w:val="24"/>
          <w:szCs w:val="40"/>
        </w:rPr>
        <w:t>（</w:t>
      </w:r>
      <w:r>
        <w:rPr>
          <w:sz w:val="24"/>
          <w:szCs w:val="40"/>
        </w:rPr>
        <w:t>10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74"/>
        <w:gridCol w:w="2600"/>
        <w:gridCol w:w="155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6" w:hRule="atLeast"/>
          <w:jc w:val="center"/>
        </w:trPr>
        <w:tc>
          <w:tcPr>
            <w:tcW w:w="836" w:type="dxa"/>
            <w:noWrap w:val="0"/>
            <w:vAlign w:val="center"/>
          </w:tcPr>
          <w:p>
            <w:pPr>
              <w:spacing w:line="288" w:lineRule="auto"/>
              <w:jc w:val="center"/>
              <w:rPr>
                <w:rFonts w:ascii="Times New Roman" w:hAnsi="Times New Roman"/>
                <w:bCs/>
                <w:szCs w:val="21"/>
                <w:lang w:val="zh-CN"/>
              </w:rPr>
            </w:pPr>
            <w:r>
              <w:rPr>
                <w:rFonts w:ascii="Times New Roman" w:hAnsi="Times New Roman"/>
                <w:szCs w:val="21"/>
              </w:rPr>
              <w:t>序号</w:t>
            </w:r>
          </w:p>
        </w:tc>
        <w:tc>
          <w:tcPr>
            <w:tcW w:w="4274" w:type="dxa"/>
            <w:gridSpan w:val="2"/>
            <w:noWrap w:val="0"/>
            <w:vAlign w:val="center"/>
          </w:tcPr>
          <w:p>
            <w:pPr>
              <w:spacing w:line="288" w:lineRule="auto"/>
              <w:jc w:val="center"/>
              <w:rPr>
                <w:rFonts w:ascii="Times New Roman" w:hAnsi="Times New Roman"/>
                <w:bCs/>
                <w:szCs w:val="21"/>
                <w:lang w:val="zh-CN"/>
              </w:rPr>
            </w:pPr>
            <w:r>
              <w:rPr>
                <w:rFonts w:ascii="Times New Roman" w:hAnsi="Times New Roman"/>
                <w:szCs w:val="21"/>
              </w:rPr>
              <w:t>评价内容</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szCs w:val="21"/>
              </w:rPr>
              <w:t>评价分值</w:t>
            </w:r>
          </w:p>
        </w:tc>
        <w:tc>
          <w:tcPr>
            <w:tcW w:w="1283" w:type="dxa"/>
            <w:noWrap w:val="0"/>
            <w:vAlign w:val="center"/>
          </w:tcPr>
          <w:p>
            <w:pPr>
              <w:spacing w:line="288" w:lineRule="auto"/>
              <w:jc w:val="center"/>
              <w:rPr>
                <w:rFonts w:ascii="Times New Roman" w:hAnsi="Times New Roman"/>
                <w:bCs/>
                <w:szCs w:val="21"/>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3" w:hRule="atLeast"/>
          <w:jc w:val="center"/>
        </w:trPr>
        <w:tc>
          <w:tcPr>
            <w:tcW w:w="836"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w:t>
            </w:r>
          </w:p>
        </w:tc>
        <w:tc>
          <w:tcPr>
            <w:tcW w:w="1674" w:type="dxa"/>
            <w:vMerge w:val="restart"/>
            <w:noWrap w:val="0"/>
            <w:vAlign w:val="center"/>
          </w:tcPr>
          <w:p>
            <w:pPr>
              <w:spacing w:line="288" w:lineRule="auto"/>
              <w:jc w:val="left"/>
              <w:rPr>
                <w:rFonts w:ascii="Times New Roman" w:hAnsi="Times New Roman"/>
                <w:b/>
                <w:bCs/>
                <w:szCs w:val="21"/>
                <w:lang w:val="zh-CN"/>
              </w:rPr>
            </w:pPr>
            <w:r>
              <w:rPr>
                <w:rFonts w:ascii="Times New Roman" w:hAnsi="Times New Roman"/>
                <w:kern w:val="0"/>
                <w:szCs w:val="21"/>
              </w:rPr>
              <w:t>由可再生能源提供的生活用热水比例R</w:t>
            </w:r>
            <w:r>
              <w:rPr>
                <w:rFonts w:ascii="Times New Roman" w:hAnsi="Times New Roman"/>
                <w:kern w:val="0"/>
                <w:szCs w:val="21"/>
                <w:vertAlign w:val="subscript"/>
              </w:rPr>
              <w:t>hw</w:t>
            </w: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20%≤R</w:t>
            </w:r>
            <w:r>
              <w:rPr>
                <w:rFonts w:ascii="Times New Roman" w:hAnsi="Times New Roman"/>
                <w:kern w:val="0"/>
                <w:szCs w:val="21"/>
                <w:vertAlign w:val="subscript"/>
              </w:rPr>
              <w:t>hw</w:t>
            </w:r>
            <w:r>
              <w:rPr>
                <w:rFonts w:ascii="Times New Roman" w:hAnsi="Times New Roman"/>
                <w:kern w:val="0"/>
                <w:szCs w:val="21"/>
              </w:rPr>
              <w:t>＜35%</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35%≤R</w:t>
            </w:r>
            <w:r>
              <w:rPr>
                <w:rFonts w:ascii="Times New Roman" w:hAnsi="Times New Roman"/>
                <w:kern w:val="0"/>
                <w:szCs w:val="21"/>
                <w:vertAlign w:val="subscript"/>
              </w:rPr>
              <w:t>hw</w:t>
            </w:r>
            <w:r>
              <w:rPr>
                <w:rFonts w:ascii="Times New Roman" w:hAnsi="Times New Roman"/>
                <w:kern w:val="0"/>
                <w:szCs w:val="21"/>
              </w:rPr>
              <w:t>＜50%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50%≤R</w:t>
            </w:r>
            <w:r>
              <w:rPr>
                <w:rFonts w:ascii="Times New Roman" w:hAnsi="Times New Roman"/>
                <w:kern w:val="0"/>
                <w:szCs w:val="21"/>
                <w:vertAlign w:val="subscript"/>
              </w:rPr>
              <w:t>hw</w:t>
            </w:r>
            <w:r>
              <w:rPr>
                <w:rFonts w:ascii="Times New Roman" w:hAnsi="Times New Roman"/>
                <w:kern w:val="0"/>
                <w:szCs w:val="21"/>
              </w:rPr>
              <w:t>＜65%</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1"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65%≤R</w:t>
            </w:r>
            <w:r>
              <w:rPr>
                <w:rFonts w:ascii="Times New Roman" w:hAnsi="Times New Roman"/>
                <w:kern w:val="0"/>
                <w:szCs w:val="21"/>
                <w:vertAlign w:val="subscript"/>
              </w:rPr>
              <w:t>hw</w:t>
            </w:r>
            <w:r>
              <w:rPr>
                <w:rFonts w:ascii="Times New Roman" w:hAnsi="Times New Roman"/>
                <w:kern w:val="0"/>
                <w:szCs w:val="21"/>
              </w:rPr>
              <w:t>＜80%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R</w:t>
            </w:r>
            <w:r>
              <w:rPr>
                <w:rFonts w:ascii="Times New Roman" w:hAnsi="Times New Roman"/>
                <w:kern w:val="0"/>
                <w:szCs w:val="21"/>
                <w:vertAlign w:val="subscript"/>
              </w:rPr>
              <w:t>hw</w:t>
            </w:r>
            <w:r>
              <w:rPr>
                <w:rFonts w:ascii="Times New Roman" w:hAnsi="Times New Roman"/>
                <w:kern w:val="0"/>
                <w:szCs w:val="21"/>
              </w:rPr>
              <w:t>≥80%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3" w:hRule="atLeast"/>
          <w:jc w:val="center"/>
        </w:trPr>
        <w:tc>
          <w:tcPr>
            <w:tcW w:w="836"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2</w:t>
            </w:r>
          </w:p>
        </w:tc>
        <w:tc>
          <w:tcPr>
            <w:tcW w:w="1674" w:type="dxa"/>
            <w:vMerge w:val="restart"/>
            <w:noWrap w:val="0"/>
            <w:vAlign w:val="center"/>
          </w:tcPr>
          <w:p>
            <w:pPr>
              <w:spacing w:line="288" w:lineRule="auto"/>
              <w:jc w:val="left"/>
              <w:rPr>
                <w:rFonts w:ascii="Times New Roman" w:hAnsi="Times New Roman"/>
                <w:b/>
                <w:bCs/>
                <w:szCs w:val="21"/>
                <w:lang w:val="zh-CN"/>
              </w:rPr>
            </w:pPr>
            <w:r>
              <w:rPr>
                <w:rFonts w:ascii="Times New Roman" w:hAnsi="Times New Roman"/>
                <w:kern w:val="0"/>
                <w:szCs w:val="21"/>
              </w:rPr>
              <w:t>由可再生能源提供的空调用冷量和热量比例R</w:t>
            </w:r>
            <w:r>
              <w:rPr>
                <w:rFonts w:ascii="Times New Roman" w:hAnsi="Times New Roman"/>
                <w:kern w:val="0"/>
                <w:szCs w:val="21"/>
                <w:vertAlign w:val="subscript"/>
              </w:rPr>
              <w:t>ch</w:t>
            </w: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20%≤R</w:t>
            </w:r>
            <w:r>
              <w:rPr>
                <w:rFonts w:ascii="Times New Roman" w:hAnsi="Times New Roman"/>
                <w:kern w:val="0"/>
                <w:szCs w:val="21"/>
                <w:vertAlign w:val="subscript"/>
              </w:rPr>
              <w:t>ch</w:t>
            </w:r>
            <w:r>
              <w:rPr>
                <w:rFonts w:ascii="Times New Roman" w:hAnsi="Times New Roman"/>
                <w:kern w:val="0"/>
                <w:szCs w:val="21"/>
              </w:rPr>
              <w:t>＜35%</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6"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35%≤R</w:t>
            </w:r>
            <w:r>
              <w:rPr>
                <w:rFonts w:ascii="Times New Roman" w:hAnsi="Times New Roman"/>
                <w:kern w:val="0"/>
                <w:szCs w:val="21"/>
                <w:vertAlign w:val="subscript"/>
              </w:rPr>
              <w:t>ch</w:t>
            </w:r>
            <w:r>
              <w:rPr>
                <w:rFonts w:ascii="Times New Roman" w:hAnsi="Times New Roman"/>
                <w:kern w:val="0"/>
                <w:szCs w:val="21"/>
              </w:rPr>
              <w:t>＜50%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50%≤R</w:t>
            </w:r>
            <w:r>
              <w:rPr>
                <w:rFonts w:ascii="Times New Roman" w:hAnsi="Times New Roman"/>
                <w:kern w:val="0"/>
                <w:szCs w:val="21"/>
                <w:vertAlign w:val="subscript"/>
              </w:rPr>
              <w:t>ch</w:t>
            </w:r>
            <w:r>
              <w:rPr>
                <w:rFonts w:ascii="Times New Roman" w:hAnsi="Times New Roman"/>
                <w:kern w:val="0"/>
                <w:szCs w:val="21"/>
              </w:rPr>
              <w:t>＜65%</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7"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65%≤R</w:t>
            </w:r>
            <w:r>
              <w:rPr>
                <w:rFonts w:ascii="Times New Roman" w:hAnsi="Times New Roman"/>
                <w:kern w:val="0"/>
                <w:szCs w:val="21"/>
                <w:vertAlign w:val="subscript"/>
              </w:rPr>
              <w:t>ch</w:t>
            </w:r>
            <w:r>
              <w:rPr>
                <w:rFonts w:ascii="Times New Roman" w:hAnsi="Times New Roman"/>
                <w:kern w:val="0"/>
                <w:szCs w:val="21"/>
              </w:rPr>
              <w:t>＜80%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R</w:t>
            </w:r>
            <w:r>
              <w:rPr>
                <w:rFonts w:ascii="Times New Roman" w:hAnsi="Times New Roman"/>
                <w:kern w:val="0"/>
                <w:szCs w:val="21"/>
                <w:vertAlign w:val="subscript"/>
              </w:rPr>
              <w:t>ch</w:t>
            </w:r>
            <w:r>
              <w:rPr>
                <w:rFonts w:ascii="Times New Roman" w:hAnsi="Times New Roman"/>
                <w:kern w:val="0"/>
                <w:szCs w:val="21"/>
              </w:rPr>
              <w:t>≥80%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1" w:hRule="atLeast"/>
          <w:jc w:val="center"/>
        </w:trPr>
        <w:tc>
          <w:tcPr>
            <w:tcW w:w="836"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3</w:t>
            </w:r>
          </w:p>
        </w:tc>
        <w:tc>
          <w:tcPr>
            <w:tcW w:w="1674" w:type="dxa"/>
            <w:vMerge w:val="restart"/>
            <w:noWrap w:val="0"/>
            <w:vAlign w:val="center"/>
          </w:tcPr>
          <w:p>
            <w:pPr>
              <w:spacing w:line="288" w:lineRule="auto"/>
              <w:jc w:val="left"/>
              <w:rPr>
                <w:rFonts w:ascii="Times New Roman" w:hAnsi="Times New Roman"/>
                <w:b/>
                <w:bCs/>
                <w:szCs w:val="21"/>
                <w:lang w:val="zh-CN"/>
              </w:rPr>
            </w:pPr>
            <w:r>
              <w:rPr>
                <w:rFonts w:ascii="Times New Roman" w:hAnsi="Times New Roman"/>
                <w:kern w:val="0"/>
                <w:szCs w:val="21"/>
              </w:rPr>
              <w:t>由可再生能源提供的电量比例R</w:t>
            </w:r>
            <w:r>
              <w:rPr>
                <w:rFonts w:ascii="Times New Roman" w:hAnsi="Times New Roman"/>
                <w:kern w:val="0"/>
                <w:szCs w:val="21"/>
                <w:vertAlign w:val="subscript"/>
              </w:rPr>
              <w:t>e</w:t>
            </w: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0.5%≤R</w:t>
            </w:r>
            <w:r>
              <w:rPr>
                <w:rFonts w:ascii="Times New Roman" w:hAnsi="Times New Roman"/>
                <w:kern w:val="0"/>
                <w:szCs w:val="21"/>
                <w:vertAlign w:val="subscript"/>
              </w:rPr>
              <w:t>e</w:t>
            </w:r>
            <w:r>
              <w:rPr>
                <w:rFonts w:ascii="Times New Roman" w:hAnsi="Times New Roman"/>
                <w:kern w:val="0"/>
                <w:szCs w:val="21"/>
              </w:rPr>
              <w:t>＜1.0%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4"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1.0%≤R</w:t>
            </w:r>
            <w:r>
              <w:rPr>
                <w:rFonts w:ascii="Times New Roman" w:hAnsi="Times New Roman"/>
                <w:kern w:val="0"/>
                <w:szCs w:val="21"/>
                <w:vertAlign w:val="subscript"/>
              </w:rPr>
              <w:t>e</w:t>
            </w:r>
            <w:r>
              <w:rPr>
                <w:rFonts w:ascii="Times New Roman" w:hAnsi="Times New Roman"/>
                <w:kern w:val="0"/>
                <w:szCs w:val="21"/>
              </w:rPr>
              <w:t>＜2.0%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2.0%≤R</w:t>
            </w:r>
            <w:r>
              <w:rPr>
                <w:rFonts w:ascii="Times New Roman" w:hAnsi="Times New Roman"/>
                <w:kern w:val="0"/>
                <w:szCs w:val="21"/>
                <w:vertAlign w:val="subscript"/>
              </w:rPr>
              <w:t>e</w:t>
            </w:r>
            <w:r>
              <w:rPr>
                <w:rFonts w:ascii="Times New Roman" w:hAnsi="Times New Roman"/>
                <w:kern w:val="0"/>
                <w:szCs w:val="21"/>
              </w:rPr>
              <w:t>＜3.0%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3.0%≤R</w:t>
            </w:r>
            <w:r>
              <w:rPr>
                <w:rFonts w:ascii="Times New Roman" w:hAnsi="Times New Roman"/>
                <w:kern w:val="0"/>
                <w:szCs w:val="21"/>
                <w:vertAlign w:val="subscript"/>
              </w:rPr>
              <w:t>e</w:t>
            </w:r>
            <w:r>
              <w:rPr>
                <w:rFonts w:ascii="Times New Roman" w:hAnsi="Times New Roman"/>
                <w:kern w:val="0"/>
                <w:szCs w:val="21"/>
              </w:rPr>
              <w:t>＜4.0%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 w:hRule="atLeast"/>
          <w:jc w:val="center"/>
        </w:trPr>
        <w:tc>
          <w:tcPr>
            <w:tcW w:w="836" w:type="dxa"/>
            <w:vMerge w:val="continue"/>
            <w:noWrap w:val="0"/>
            <w:vAlign w:val="center"/>
          </w:tcPr>
          <w:p>
            <w:pPr>
              <w:spacing w:line="288" w:lineRule="auto"/>
              <w:jc w:val="center"/>
              <w:rPr>
                <w:rFonts w:ascii="Times New Roman" w:hAnsi="Times New Roman"/>
                <w:kern w:val="0"/>
                <w:szCs w:val="21"/>
              </w:rPr>
            </w:pPr>
          </w:p>
        </w:tc>
        <w:tc>
          <w:tcPr>
            <w:tcW w:w="1674" w:type="dxa"/>
            <w:vMerge w:val="continue"/>
            <w:noWrap w:val="0"/>
            <w:vAlign w:val="center"/>
          </w:tcPr>
          <w:p>
            <w:pPr>
              <w:spacing w:line="288" w:lineRule="auto"/>
              <w:jc w:val="center"/>
              <w:rPr>
                <w:rFonts w:ascii="Times New Roman" w:hAnsi="Times New Roman"/>
                <w:kern w:val="0"/>
                <w:szCs w:val="21"/>
              </w:rPr>
            </w:pPr>
          </w:p>
        </w:tc>
        <w:tc>
          <w:tcPr>
            <w:tcW w:w="2600" w:type="dxa"/>
            <w:noWrap w:val="0"/>
            <w:vAlign w:val="center"/>
          </w:tcPr>
          <w:p>
            <w:pPr>
              <w:spacing w:line="288" w:lineRule="auto"/>
              <w:jc w:val="center"/>
              <w:rPr>
                <w:rFonts w:ascii="Times New Roman" w:hAnsi="Times New Roman"/>
                <w:b/>
                <w:bCs/>
                <w:szCs w:val="21"/>
                <w:lang w:val="zh-CN"/>
              </w:rPr>
            </w:pPr>
            <w:r>
              <w:rPr>
                <w:rFonts w:ascii="Times New Roman" w:hAnsi="Times New Roman"/>
                <w:kern w:val="0"/>
                <w:szCs w:val="21"/>
              </w:rPr>
              <w:t>R</w:t>
            </w:r>
            <w:r>
              <w:rPr>
                <w:rFonts w:ascii="Times New Roman" w:hAnsi="Times New Roman"/>
                <w:kern w:val="0"/>
                <w:szCs w:val="21"/>
                <w:vertAlign w:val="subscript"/>
              </w:rPr>
              <w:t>e</w:t>
            </w:r>
            <w:r>
              <w:rPr>
                <w:rFonts w:ascii="Times New Roman" w:hAnsi="Times New Roman"/>
                <w:kern w:val="0"/>
                <w:szCs w:val="21"/>
              </w:rPr>
              <w:t>≥4.0%</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283" w:type="dxa"/>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3" w:hRule="atLeast"/>
          <w:jc w:val="center"/>
        </w:trPr>
        <w:tc>
          <w:tcPr>
            <w:tcW w:w="5110" w:type="dxa"/>
            <w:gridSpan w:val="3"/>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283" w:type="dxa"/>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bl>
    <w:p>
      <w:pPr>
        <w:spacing w:line="288" w:lineRule="auto"/>
        <w:rPr>
          <w:lang w:val="zh-CN"/>
        </w:rPr>
      </w:pPr>
      <w:r>
        <w:rPr>
          <w:rFonts w:hint="eastAsia"/>
          <w:lang w:val="zh-CN"/>
        </w:rPr>
        <w:t>可再生能源应用的投资回收期：</w:t>
      </w:r>
      <w:r>
        <w:rPr>
          <w:rFonts w:hint="eastAsia"/>
          <w:u w:val="single"/>
          <w:lang w:val="zh-CN"/>
        </w:rPr>
        <w:t xml:space="preserve">         </w:t>
      </w:r>
      <w:r>
        <w:rPr>
          <w:rFonts w:hint="eastAsia"/>
          <w:lang w:val="zh-CN"/>
        </w:rPr>
        <w:t>年</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可再生能源用途：</w:t>
      </w:r>
      <w:r>
        <w:rPr>
          <w:rFonts w:hint="eastAsia"/>
          <w:sz w:val="28"/>
        </w:rPr>
        <w:sym w:font="Wingdings 2" w:char="F0A3"/>
      </w:r>
      <w:r>
        <w:rPr>
          <w:rFonts w:hint="eastAsia"/>
        </w:rPr>
        <w:t xml:space="preserve">生活热水   </w:t>
      </w:r>
      <w:r>
        <w:rPr>
          <w:rFonts w:hint="eastAsia"/>
          <w:sz w:val="28"/>
        </w:rPr>
        <w:sym w:font="Wingdings 2" w:char="F0A3"/>
      </w:r>
      <w:r>
        <w:rPr>
          <w:rFonts w:hint="eastAsia"/>
        </w:rPr>
        <w:t xml:space="preserve">供热供冷   </w:t>
      </w:r>
      <w:r>
        <w:rPr>
          <w:rFonts w:hint="eastAsia"/>
          <w:sz w:val="28"/>
        </w:rPr>
        <w:sym w:font="Wingdings 2" w:char="F0A3"/>
      </w:r>
      <w:r>
        <w:rPr>
          <w:rFonts w:hint="eastAsia"/>
        </w:rPr>
        <w:t xml:space="preserve">供电   </w:t>
      </w:r>
    </w:p>
    <w:p>
      <w:pPr>
        <w:rPr>
          <w:u w:val="single"/>
        </w:rPr>
      </w:pPr>
      <w:r>
        <w:rPr>
          <w:rFonts w:hint="eastAsia"/>
        </w:rPr>
        <w:t>可再生能源应用形式：</w:t>
      </w:r>
      <w:r>
        <w:rPr>
          <w:rFonts w:hint="eastAsia"/>
          <w:sz w:val="28"/>
        </w:rPr>
        <w:sym w:font="Wingdings 2" w:char="F0A3"/>
      </w:r>
      <w:r>
        <w:rPr>
          <w:rFonts w:hint="eastAsia"/>
        </w:rPr>
        <w:t xml:space="preserve">太阳能光热   </w:t>
      </w:r>
      <w:r>
        <w:rPr>
          <w:rFonts w:hint="eastAsia"/>
          <w:sz w:val="28"/>
        </w:rPr>
        <w:sym w:font="Wingdings 2" w:char="F0A3"/>
      </w:r>
      <w:r>
        <w:rPr>
          <w:rFonts w:hint="eastAsia"/>
        </w:rPr>
        <w:t xml:space="preserve">太阳能光电   </w:t>
      </w:r>
      <w:r>
        <w:rPr>
          <w:rFonts w:hint="eastAsia"/>
          <w:sz w:val="28"/>
        </w:rPr>
        <w:sym w:font="Wingdings 2" w:char="F0A3"/>
      </w:r>
      <w:r>
        <w:rPr>
          <w:rFonts w:hint="eastAsia"/>
        </w:rPr>
        <w:t xml:space="preserve">地源热泵   </w:t>
      </w:r>
      <w:r>
        <w:rPr>
          <w:rFonts w:hint="eastAsia"/>
          <w:sz w:val="28"/>
        </w:rPr>
        <w:sym w:font="Wingdings 2" w:char="F0A3"/>
      </w:r>
      <w:r>
        <w:rPr>
          <w:rFonts w:hint="eastAsia"/>
        </w:rPr>
        <w:t>其他</w:t>
      </w:r>
      <w:r>
        <w:rPr>
          <w:rFonts w:hint="eastAsia"/>
          <w:u w:val="single"/>
        </w:rPr>
        <w:t xml:space="preserve">            </w:t>
      </w:r>
    </w:p>
    <w:p>
      <w:pPr>
        <w:rPr>
          <w:rFonts w:ascii="Times New Roman" w:hAnsi="Times New Roman"/>
          <w:szCs w:val="21"/>
        </w:rPr>
      </w:pPr>
      <w:r>
        <w:rPr>
          <w:rFonts w:hint="eastAsia"/>
        </w:rPr>
        <w:t>请简要说明可再生能源利用条件、应用形式、用途与用量。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188"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生活热水来自太阳能系统；特殊情况考虑电辅助加热。</w:t>
            </w:r>
          </w:p>
          <w:p>
            <w:pPr>
              <w:ind w:firstLine="400" w:firstLineChars="200"/>
              <w:rPr>
                <w:rFonts w:ascii="Times New Roman" w:hAnsi="Times New Roman"/>
                <w:kern w:val="0"/>
                <w:sz w:val="20"/>
                <w:szCs w:val="21"/>
              </w:rPr>
            </w:pPr>
            <w:r>
              <w:rPr>
                <w:rFonts w:hint="eastAsia" w:ascii="Times New Roman" w:hAnsi="Times New Roman"/>
                <w:kern w:val="0"/>
                <w:sz w:val="20"/>
                <w:szCs w:val="21"/>
              </w:rPr>
              <w:t>屋面太阳能发电占用量的 1% 左右，体育馆有使用太阳能热水系统。</w:t>
            </w:r>
          </w:p>
          <w:p>
            <w:pPr>
              <w:ind w:firstLine="400" w:firstLineChars="200"/>
              <w:rPr>
                <w:rFonts w:ascii="Times New Roman" w:hAnsi="Times New Roman"/>
                <w:kern w:val="0"/>
                <w:sz w:val="20"/>
                <w:szCs w:val="21"/>
              </w:rPr>
            </w:pPr>
            <w:r>
              <w:rPr>
                <w:rFonts w:hint="eastAsia" w:ascii="Times New Roman" w:hAnsi="Times New Roman"/>
                <w:kern w:val="0"/>
                <w:sz w:val="20"/>
                <w:szCs w:val="21"/>
              </w:rPr>
              <w:t>项目地平均日照小时数为7.5h，水平面年总辐照量为5978.7 MJ/(m2·a)，水平面年平均日辐照量为16.38 MJ/(m2·a)；当地纬度倾角平面年总辐照量为7613.1 MJ/(m2·a)，当地纬度倾角平面日辐照量为19.62 MJ/(m2·a)。</w:t>
            </w:r>
          </w:p>
          <w:p>
            <w:pPr>
              <w:ind w:firstLine="400" w:firstLineChars="200"/>
              <w:rPr>
                <w:rFonts w:ascii="Times New Roman" w:hAnsi="Times New Roman"/>
                <w:kern w:val="0"/>
                <w:sz w:val="20"/>
                <w:szCs w:val="21"/>
              </w:rPr>
            </w:pPr>
            <w:r>
              <w:rPr>
                <w:rFonts w:hint="eastAsia" w:ascii="Times New Roman" w:hAnsi="Times New Roman"/>
                <w:kern w:val="0"/>
                <w:sz w:val="20"/>
                <w:szCs w:val="21"/>
              </w:rPr>
              <w:t>项目利用太能提供部分生活热水，占总生活热水用量的52.5％。</w:t>
            </w:r>
          </w:p>
        </w:tc>
      </w:tr>
    </w:tbl>
    <w:p>
      <w:pPr>
        <w:spacing w:before="156" w:beforeLines="50" w:after="156" w:afterLines="50"/>
        <w:rPr>
          <w:rFonts w:ascii="Times New Roman" w:hAnsi="Times New Roman"/>
          <w:b/>
          <w:szCs w:val="21"/>
        </w:rPr>
      </w:pPr>
      <w:bookmarkStart w:id="269" w:name="_Toc9944789"/>
      <w:bookmarkStart w:id="270" w:name="_Toc9945069"/>
      <w:bookmarkStart w:id="271" w:name="_Toc9945213"/>
      <w:bookmarkStart w:id="272" w:name="_Toc9945355"/>
      <w:bookmarkStart w:id="273" w:name="_Toc9945496"/>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1）可再生能源利用专项竣工文件及竣工验收记录</w:t>
      </w:r>
      <w:bookmarkEnd w:id="269"/>
      <w:bookmarkEnd w:id="270"/>
      <w:bookmarkEnd w:id="271"/>
      <w:bookmarkEnd w:id="272"/>
      <w:bookmarkEnd w:id="273"/>
      <w:r>
        <w:rPr>
          <w:rFonts w:hint="eastAsia" w:ascii="Times New Roman" w:hAnsi="Times New Roman"/>
        </w:rPr>
        <w:t>；</w:t>
      </w:r>
    </w:p>
    <w:p>
      <w:pPr>
        <w:rPr>
          <w:rFonts w:ascii="Times New Roman" w:hAnsi="Times New Roman"/>
        </w:rPr>
      </w:pPr>
      <w:r>
        <w:rPr>
          <w:rFonts w:hint="eastAsia" w:ascii="Times New Roman" w:hAnsi="Times New Roman"/>
        </w:rPr>
        <w:t>2）可再生能源产品说明书及性能检测报告；</w:t>
      </w:r>
    </w:p>
    <w:p>
      <w:pPr>
        <w:rPr>
          <w:rFonts w:ascii="Times New Roman" w:hAnsi="Times New Roman"/>
        </w:rPr>
      </w:pPr>
      <w:r>
        <w:rPr>
          <w:rFonts w:hint="eastAsia" w:ascii="Times New Roman" w:hAnsi="Times New Roman"/>
        </w:rPr>
        <w:t>3）可再生能源应用分析报告，应包含用量、经济性、运行维护情况等内容；</w:t>
      </w:r>
    </w:p>
    <w:p>
      <w:pPr>
        <w:rPr>
          <w:rFonts w:ascii="Times New Roman" w:hAnsi="Times New Roman"/>
        </w:rPr>
      </w:pPr>
      <w:r>
        <w:rPr>
          <w:rFonts w:hint="eastAsia" w:ascii="Times New Roman" w:hAnsi="Times New Roman"/>
        </w:rPr>
        <w:t>4）与可再生能源利用相关的暖通、给排水专业竣工图及设计说明。</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ind w:firstLine="120" w:firstLineChars="50"/>
        <w:rPr>
          <w:sz w:val="24"/>
          <w:szCs w:val="40"/>
        </w:rPr>
      </w:pPr>
      <w:r>
        <w:rPr>
          <w:rFonts w:hint="eastAsia"/>
          <w:sz w:val="24"/>
          <w:szCs w:val="40"/>
        </w:rPr>
        <w:t>7.2.10 使用较高用水效率等级的卫生器具。（</w:t>
      </w:r>
      <w:r>
        <w:rPr>
          <w:sz w:val="24"/>
          <w:szCs w:val="40"/>
        </w:rPr>
        <w:t>15</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394"/>
        <w:gridCol w:w="155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22" w:type="dxa"/>
            <w:noWrap w:val="0"/>
            <w:vAlign w:val="center"/>
          </w:tcPr>
          <w:p>
            <w:pPr>
              <w:spacing w:line="288" w:lineRule="auto"/>
              <w:jc w:val="center"/>
              <w:rPr>
                <w:rFonts w:ascii="Times New Roman" w:hAnsi="Times New Roman"/>
                <w:bCs/>
                <w:lang w:val="zh-CN"/>
              </w:rPr>
            </w:pPr>
            <w:r>
              <w:rPr>
                <w:rFonts w:ascii="Times New Roman" w:hAnsi="Times New Roman"/>
                <w:szCs w:val="21"/>
              </w:rPr>
              <w:t>序号</w:t>
            </w:r>
          </w:p>
        </w:tc>
        <w:tc>
          <w:tcPr>
            <w:tcW w:w="4394" w:type="dxa"/>
            <w:noWrap w:val="0"/>
            <w:vAlign w:val="center"/>
          </w:tcPr>
          <w:p>
            <w:pPr>
              <w:spacing w:line="288" w:lineRule="auto"/>
              <w:jc w:val="center"/>
              <w:rPr>
                <w:rFonts w:ascii="Times New Roman" w:hAnsi="Times New Roman"/>
                <w:bCs/>
                <w:lang w:val="zh-CN"/>
              </w:rPr>
            </w:pPr>
            <w:r>
              <w:rPr>
                <w:rFonts w:ascii="Times New Roman" w:hAnsi="Times New Roman"/>
                <w:szCs w:val="21"/>
              </w:rPr>
              <w:t>评价内容</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szCs w:val="21"/>
              </w:rPr>
              <w:t>评价分值</w:t>
            </w:r>
          </w:p>
        </w:tc>
        <w:tc>
          <w:tcPr>
            <w:tcW w:w="1288" w:type="dxa"/>
            <w:noWrap w:val="0"/>
            <w:vAlign w:val="center"/>
          </w:tcPr>
          <w:p>
            <w:pPr>
              <w:spacing w:line="288" w:lineRule="auto"/>
              <w:jc w:val="center"/>
              <w:rPr>
                <w:rFonts w:ascii="Times New Roman" w:hAnsi="Times New Roman"/>
                <w:bCs/>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22" w:type="dxa"/>
            <w:noWrap w:val="0"/>
            <w:vAlign w:val="center"/>
          </w:tcPr>
          <w:p>
            <w:pPr>
              <w:spacing w:line="288" w:lineRule="auto"/>
              <w:jc w:val="center"/>
              <w:rPr>
                <w:rFonts w:ascii="Times New Roman" w:hAnsi="Times New Roman"/>
                <w:bCs/>
                <w:lang w:val="zh-CN"/>
              </w:rPr>
            </w:pPr>
            <w:r>
              <w:rPr>
                <w:rFonts w:ascii="Times New Roman" w:hAnsi="Times New Roman"/>
                <w:szCs w:val="21"/>
              </w:rPr>
              <w:t>1</w:t>
            </w:r>
          </w:p>
        </w:tc>
        <w:tc>
          <w:tcPr>
            <w:tcW w:w="4394" w:type="dxa"/>
            <w:noWrap w:val="0"/>
            <w:vAlign w:val="center"/>
          </w:tcPr>
          <w:p>
            <w:pPr>
              <w:spacing w:line="288" w:lineRule="auto"/>
              <w:jc w:val="left"/>
              <w:rPr>
                <w:rFonts w:ascii="Times New Roman" w:hAnsi="Times New Roman"/>
                <w:bCs/>
                <w:lang w:val="zh-CN"/>
              </w:rPr>
            </w:pPr>
            <w:r>
              <w:rPr>
                <w:rFonts w:ascii="Times New Roman" w:hAnsi="Times New Roman"/>
                <w:bCs/>
                <w:lang w:val="zh-CN"/>
              </w:rPr>
              <w:t>全部卫生器具的用水效率等级达到2级</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8</w:t>
            </w:r>
          </w:p>
        </w:tc>
        <w:tc>
          <w:tcPr>
            <w:tcW w:w="1288" w:type="dxa"/>
            <w:noWrap w:val="0"/>
            <w:vAlign w:val="top"/>
          </w:tcPr>
          <w:p>
            <w:pPr>
              <w:spacing w:line="288" w:lineRule="auto"/>
              <w:jc w:val="center"/>
              <w:rPr>
                <w:rFonts w:ascii="Times New Roman" w:hAnsi="Times New Roman"/>
                <w:b/>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22" w:type="dxa"/>
            <w:noWrap w:val="0"/>
            <w:vAlign w:val="center"/>
          </w:tcPr>
          <w:p>
            <w:pPr>
              <w:spacing w:line="288" w:lineRule="auto"/>
              <w:jc w:val="center"/>
              <w:rPr>
                <w:rFonts w:ascii="Times New Roman" w:hAnsi="Times New Roman"/>
                <w:bCs/>
                <w:lang w:val="zh-CN"/>
              </w:rPr>
            </w:pPr>
            <w:r>
              <w:rPr>
                <w:rFonts w:ascii="Times New Roman" w:hAnsi="Times New Roman"/>
                <w:bCs/>
                <w:lang w:val="zh-CN"/>
              </w:rPr>
              <w:t>2</w:t>
            </w:r>
          </w:p>
        </w:tc>
        <w:tc>
          <w:tcPr>
            <w:tcW w:w="4394" w:type="dxa"/>
            <w:noWrap w:val="0"/>
            <w:vAlign w:val="center"/>
          </w:tcPr>
          <w:p>
            <w:pPr>
              <w:spacing w:line="288" w:lineRule="auto"/>
              <w:jc w:val="left"/>
              <w:rPr>
                <w:rFonts w:ascii="Times New Roman" w:hAnsi="Times New Roman"/>
                <w:bCs/>
                <w:lang w:val="zh-CN"/>
              </w:rPr>
            </w:pPr>
            <w:r>
              <w:rPr>
                <w:rFonts w:ascii="Times New Roman" w:hAnsi="Times New Roman"/>
                <w:bCs/>
                <w:lang w:val="zh-CN"/>
              </w:rPr>
              <w:t>50%以上卫生器具的用水效率等级达到1级且其他达到2级</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12</w:t>
            </w:r>
          </w:p>
        </w:tc>
        <w:tc>
          <w:tcPr>
            <w:tcW w:w="1288" w:type="dxa"/>
            <w:noWrap w:val="0"/>
            <w:vAlign w:val="center"/>
          </w:tcPr>
          <w:p>
            <w:pPr>
              <w:spacing w:line="288" w:lineRule="auto"/>
              <w:jc w:val="center"/>
              <w:rPr>
                <w:rFonts w:ascii="Times New Roman" w:hAnsi="Times New Roman"/>
                <w:b/>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22" w:type="dxa"/>
            <w:noWrap w:val="0"/>
            <w:vAlign w:val="center"/>
          </w:tcPr>
          <w:p>
            <w:pPr>
              <w:spacing w:line="288" w:lineRule="auto"/>
              <w:jc w:val="center"/>
              <w:rPr>
                <w:rFonts w:ascii="Times New Roman" w:hAnsi="Times New Roman"/>
                <w:bCs/>
                <w:lang w:val="zh-CN"/>
              </w:rPr>
            </w:pPr>
            <w:r>
              <w:rPr>
                <w:rFonts w:ascii="Times New Roman" w:hAnsi="Times New Roman"/>
                <w:bCs/>
                <w:lang w:val="zh-CN"/>
              </w:rPr>
              <w:t>3</w:t>
            </w:r>
          </w:p>
        </w:tc>
        <w:tc>
          <w:tcPr>
            <w:tcW w:w="4394" w:type="dxa"/>
            <w:noWrap w:val="0"/>
            <w:vAlign w:val="center"/>
          </w:tcPr>
          <w:p>
            <w:pPr>
              <w:spacing w:line="288" w:lineRule="auto"/>
              <w:jc w:val="left"/>
              <w:rPr>
                <w:rFonts w:ascii="Times New Roman" w:hAnsi="Times New Roman"/>
                <w:bCs/>
                <w:lang w:val="zh-CN"/>
              </w:rPr>
            </w:pPr>
            <w:r>
              <w:rPr>
                <w:rFonts w:ascii="Times New Roman" w:hAnsi="Times New Roman"/>
                <w:bCs/>
                <w:lang w:val="zh-CN"/>
              </w:rPr>
              <w:t>全部卫生器具的用水效率等级达到1级</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15</w:t>
            </w:r>
          </w:p>
        </w:tc>
        <w:tc>
          <w:tcPr>
            <w:tcW w:w="1288" w:type="dxa"/>
            <w:noWrap w:val="0"/>
            <w:vAlign w:val="top"/>
          </w:tcPr>
          <w:p>
            <w:pPr>
              <w:spacing w:line="288" w:lineRule="auto"/>
              <w:jc w:val="center"/>
              <w:rPr>
                <w:rFonts w:ascii="Times New Roman" w:hAnsi="Times New Roman"/>
                <w:b/>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116" w:type="dxa"/>
            <w:gridSpan w:val="2"/>
            <w:noWrap w:val="0"/>
            <w:vAlign w:val="center"/>
          </w:tcPr>
          <w:p>
            <w:pPr>
              <w:spacing w:line="288" w:lineRule="auto"/>
              <w:jc w:val="center"/>
              <w:rPr>
                <w:rFonts w:ascii="Times New Roman" w:hAnsi="Times New Roman"/>
                <w:bCs/>
                <w:lang w:val="zh-CN"/>
              </w:rPr>
            </w:pPr>
            <w:r>
              <w:rPr>
                <w:rFonts w:ascii="Times New Roman" w:hAnsi="Times New Roman"/>
                <w:bCs/>
                <w:lang w:val="zh-CN"/>
              </w:rPr>
              <w:t>合计</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15</w:t>
            </w:r>
          </w:p>
        </w:tc>
        <w:tc>
          <w:tcPr>
            <w:tcW w:w="1288" w:type="dxa"/>
            <w:noWrap w:val="0"/>
            <w:vAlign w:val="center"/>
          </w:tcPr>
          <w:p>
            <w:pPr>
              <w:spacing w:line="288" w:lineRule="auto"/>
              <w:jc w:val="center"/>
              <w:rPr>
                <w:rFonts w:ascii="Times New Roman" w:hAnsi="Times New Roman"/>
                <w:b/>
                <w:bCs/>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pStyle w:val="10"/>
        <w:ind w:firstLine="0" w:firstLineChars="0"/>
        <w:jc w:val="left"/>
        <w:rPr>
          <w:bCs/>
          <w:szCs w:val="18"/>
        </w:rPr>
      </w:pPr>
      <w:r>
        <w:rPr>
          <w:rFonts w:hint="eastAsia" w:cs="宋体"/>
          <w:bCs/>
          <w:szCs w:val="18"/>
        </w:rPr>
        <w:t>节水器具清单</w:t>
      </w:r>
    </w:p>
    <w:tbl>
      <w:tblPr>
        <w:tblStyle w:val="7"/>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977"/>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szCs w:val="18"/>
              </w:rPr>
            </w:pPr>
            <w:r>
              <w:rPr>
                <w:rFonts w:hint="eastAsia" w:cs="宋体"/>
                <w:szCs w:val="18"/>
              </w:rPr>
              <w:t>节水器具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szCs w:val="18"/>
              </w:rPr>
            </w:pPr>
            <w:r>
              <w:rPr>
                <w:rFonts w:hint="eastAsia"/>
                <w:szCs w:val="18"/>
              </w:rPr>
              <w:t>节水器具参数</w:t>
            </w:r>
          </w:p>
        </w:tc>
        <w:tc>
          <w:tcPr>
            <w:tcW w:w="285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szCs w:val="18"/>
              </w:rPr>
            </w:pPr>
            <w:r>
              <w:rPr>
                <w:rFonts w:hint="eastAsia" w:cs="宋体"/>
                <w:szCs w:val="18"/>
              </w:rPr>
              <w:t>用水效率等级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51"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2859"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szCs w:val="18"/>
                <w:highlight w:val="yellow"/>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51"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2859"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szCs w:val="18"/>
                <w:highlight w:val="yellow"/>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51"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2859"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szCs w:val="18"/>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1）给排水专业竣工图及设计说明，应包含节水器具选用说明；</w:t>
      </w:r>
    </w:p>
    <w:p>
      <w:pPr>
        <w:rPr>
          <w:rFonts w:ascii="Times New Roman" w:hAnsi="Times New Roman"/>
        </w:rPr>
      </w:pPr>
      <w:r>
        <w:rPr>
          <w:rFonts w:hint="eastAsia" w:ascii="Times New Roman" w:hAnsi="Times New Roman"/>
        </w:rPr>
        <w:t>2）卫生器具相关产品说明、产品节水性能检测报告等。</w:t>
      </w:r>
    </w:p>
    <w:p>
      <w:pPr>
        <w:pStyle w:val="10"/>
        <w:ind w:firstLine="0" w:firstLineChars="0"/>
        <w:rPr>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7.2.11 绿化灌溉</w:t>
      </w:r>
      <w:r>
        <w:rPr>
          <w:sz w:val="24"/>
          <w:szCs w:val="40"/>
        </w:rPr>
        <w:t>及</w:t>
      </w:r>
      <w:r>
        <w:rPr>
          <w:rFonts w:hint="eastAsia"/>
          <w:sz w:val="24"/>
          <w:szCs w:val="40"/>
        </w:rPr>
        <w:t>空调冷却水系统采用节水设备</w:t>
      </w:r>
      <w:r>
        <w:rPr>
          <w:sz w:val="24"/>
          <w:szCs w:val="40"/>
        </w:rPr>
        <w:t>或</w:t>
      </w:r>
      <w:r>
        <w:rPr>
          <w:rFonts w:hint="eastAsia"/>
          <w:sz w:val="24"/>
          <w:szCs w:val="40"/>
        </w:rPr>
        <w:t>技术。（</w:t>
      </w:r>
      <w:r>
        <w:rPr>
          <w:sz w:val="24"/>
          <w:szCs w:val="40"/>
        </w:rPr>
        <w:t>12</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49"/>
        <w:gridCol w:w="3461"/>
        <w:gridCol w:w="155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noWrap w:val="0"/>
            <w:vAlign w:val="center"/>
          </w:tcPr>
          <w:p>
            <w:pPr>
              <w:spacing w:line="288" w:lineRule="auto"/>
              <w:jc w:val="center"/>
              <w:rPr>
                <w:rFonts w:ascii="Times New Roman" w:hAnsi="Times New Roman"/>
                <w:bCs/>
                <w:lang w:val="zh-CN"/>
              </w:rPr>
            </w:pPr>
            <w:r>
              <w:rPr>
                <w:rFonts w:ascii="Times New Roman" w:hAnsi="Times New Roman"/>
                <w:szCs w:val="21"/>
              </w:rPr>
              <w:t>序号</w:t>
            </w:r>
          </w:p>
        </w:tc>
        <w:tc>
          <w:tcPr>
            <w:tcW w:w="4410" w:type="dxa"/>
            <w:gridSpan w:val="2"/>
            <w:noWrap w:val="0"/>
            <w:vAlign w:val="center"/>
          </w:tcPr>
          <w:p>
            <w:pPr>
              <w:spacing w:line="288" w:lineRule="auto"/>
              <w:jc w:val="center"/>
              <w:rPr>
                <w:rFonts w:ascii="Times New Roman" w:hAnsi="Times New Roman"/>
                <w:bCs/>
                <w:lang w:val="zh-CN"/>
              </w:rPr>
            </w:pPr>
            <w:r>
              <w:rPr>
                <w:rFonts w:ascii="Times New Roman" w:hAnsi="Times New Roman"/>
                <w:szCs w:val="21"/>
              </w:rPr>
              <w:t>评价内容</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szCs w:val="21"/>
              </w:rPr>
              <w:t>评价分值</w:t>
            </w:r>
          </w:p>
        </w:tc>
        <w:tc>
          <w:tcPr>
            <w:tcW w:w="1291" w:type="dxa"/>
            <w:noWrap w:val="0"/>
            <w:vAlign w:val="center"/>
          </w:tcPr>
          <w:p>
            <w:pPr>
              <w:spacing w:line="288" w:lineRule="auto"/>
              <w:jc w:val="center"/>
              <w:rPr>
                <w:rFonts w:ascii="Times New Roman" w:hAnsi="Times New Roman"/>
                <w:bCs/>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1</w:t>
            </w:r>
          </w:p>
        </w:tc>
        <w:tc>
          <w:tcPr>
            <w:tcW w:w="949" w:type="dxa"/>
            <w:vMerge w:val="restart"/>
            <w:noWrap w:val="0"/>
            <w:vAlign w:val="center"/>
          </w:tcPr>
          <w:p>
            <w:pPr>
              <w:spacing w:line="288" w:lineRule="auto"/>
              <w:jc w:val="left"/>
              <w:rPr>
                <w:rFonts w:ascii="Times New Roman" w:hAnsi="Times New Roman"/>
                <w:bCs/>
                <w:lang w:val="zh-CN"/>
              </w:rPr>
            </w:pPr>
            <w:r>
              <w:rPr>
                <w:rFonts w:ascii="Times New Roman" w:hAnsi="Times New Roman"/>
                <w:kern w:val="0"/>
                <w:szCs w:val="21"/>
              </w:rPr>
              <w:t>绿化灌溉采用节水设备或技术</w:t>
            </w:r>
          </w:p>
        </w:tc>
        <w:tc>
          <w:tcPr>
            <w:tcW w:w="3461" w:type="dxa"/>
            <w:noWrap w:val="0"/>
            <w:vAlign w:val="center"/>
          </w:tcPr>
          <w:p>
            <w:pPr>
              <w:spacing w:line="288" w:lineRule="auto"/>
              <w:jc w:val="left"/>
              <w:rPr>
                <w:rFonts w:ascii="Times New Roman" w:hAnsi="Times New Roman"/>
                <w:bCs/>
                <w:lang w:val="zh-CN"/>
              </w:rPr>
            </w:pPr>
            <w:r>
              <w:rPr>
                <w:rFonts w:ascii="Times New Roman" w:hAnsi="Times New Roman"/>
                <w:bCs/>
                <w:lang w:val="zh-CN"/>
              </w:rPr>
              <w:t>采用节水灌溉系统</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4</w:t>
            </w:r>
          </w:p>
        </w:tc>
        <w:tc>
          <w:tcPr>
            <w:tcW w:w="1291" w:type="dxa"/>
            <w:vMerge w:val="restart"/>
            <w:noWrap w:val="0"/>
            <w:vAlign w:val="center"/>
          </w:tcPr>
          <w:p>
            <w:pPr>
              <w:spacing w:line="288" w:lineRule="auto"/>
              <w:jc w:val="center"/>
              <w:rPr>
                <w:rFonts w:ascii="Times New Roman" w:hAnsi="Times New Roman"/>
                <w:b/>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vMerge w:val="continue"/>
            <w:noWrap w:val="0"/>
            <w:vAlign w:val="center"/>
          </w:tcPr>
          <w:p>
            <w:pPr>
              <w:spacing w:line="288" w:lineRule="auto"/>
              <w:jc w:val="center"/>
              <w:rPr>
                <w:rFonts w:ascii="Times New Roman" w:hAnsi="Times New Roman"/>
                <w:bCs/>
                <w:lang w:val="zh-CN"/>
              </w:rPr>
            </w:pPr>
          </w:p>
        </w:tc>
        <w:tc>
          <w:tcPr>
            <w:tcW w:w="949" w:type="dxa"/>
            <w:vMerge w:val="continue"/>
            <w:noWrap w:val="0"/>
            <w:vAlign w:val="center"/>
          </w:tcPr>
          <w:p>
            <w:pPr>
              <w:spacing w:line="288" w:lineRule="auto"/>
              <w:jc w:val="left"/>
              <w:rPr>
                <w:rFonts w:ascii="Times New Roman" w:hAnsi="Times New Roman"/>
                <w:bCs/>
                <w:lang w:val="zh-CN"/>
              </w:rPr>
            </w:pPr>
          </w:p>
        </w:tc>
        <w:tc>
          <w:tcPr>
            <w:tcW w:w="3461" w:type="dxa"/>
            <w:noWrap w:val="0"/>
            <w:vAlign w:val="center"/>
          </w:tcPr>
          <w:p>
            <w:pPr>
              <w:spacing w:line="288" w:lineRule="auto"/>
              <w:jc w:val="left"/>
              <w:rPr>
                <w:rFonts w:ascii="Times New Roman" w:hAnsi="Times New Roman"/>
                <w:bCs/>
                <w:lang w:val="zh-CN"/>
              </w:rPr>
            </w:pPr>
            <w:r>
              <w:rPr>
                <w:rFonts w:ascii="Times New Roman" w:hAnsi="Times New Roman"/>
                <w:bCs/>
                <w:lang w:val="zh-CN"/>
              </w:rPr>
              <w:t>在采用节水灌溉系统的基础上，设置土壤湿度感应器、雨天关闭装置等节水控制措施，种植无需永久灌溉植物</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6</w:t>
            </w:r>
          </w:p>
        </w:tc>
        <w:tc>
          <w:tcPr>
            <w:tcW w:w="1291" w:type="dxa"/>
            <w:vMerge w:val="continue"/>
            <w:noWrap w:val="0"/>
            <w:vAlign w:val="center"/>
          </w:tcPr>
          <w:p>
            <w:pPr>
              <w:spacing w:line="288" w:lineRule="auto"/>
              <w:jc w:val="center"/>
              <w:rPr>
                <w:rFonts w:ascii="Times New Roman" w:hAnsi="Times New Roman"/>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vMerge w:val="restart"/>
            <w:noWrap w:val="0"/>
            <w:vAlign w:val="center"/>
          </w:tcPr>
          <w:p>
            <w:pPr>
              <w:spacing w:line="288" w:lineRule="auto"/>
              <w:jc w:val="center"/>
              <w:rPr>
                <w:rFonts w:ascii="Times New Roman" w:hAnsi="Times New Roman"/>
                <w:kern w:val="0"/>
                <w:szCs w:val="21"/>
              </w:rPr>
            </w:pPr>
            <w:r>
              <w:rPr>
                <w:rFonts w:ascii="Times New Roman" w:hAnsi="Times New Roman"/>
                <w:kern w:val="0"/>
                <w:szCs w:val="21"/>
              </w:rPr>
              <w:t>2</w:t>
            </w:r>
          </w:p>
        </w:tc>
        <w:tc>
          <w:tcPr>
            <w:tcW w:w="949" w:type="dxa"/>
            <w:vMerge w:val="restart"/>
            <w:noWrap w:val="0"/>
            <w:vAlign w:val="center"/>
          </w:tcPr>
          <w:p>
            <w:pPr>
              <w:spacing w:line="288" w:lineRule="auto"/>
              <w:jc w:val="left"/>
              <w:rPr>
                <w:rFonts w:ascii="Times New Roman" w:hAnsi="Times New Roman"/>
                <w:bCs/>
                <w:lang w:val="zh-CN"/>
              </w:rPr>
            </w:pPr>
            <w:r>
              <w:rPr>
                <w:rFonts w:ascii="Times New Roman" w:hAnsi="Times New Roman"/>
                <w:kern w:val="0"/>
                <w:szCs w:val="21"/>
              </w:rPr>
              <w:t>空调冷却水系统采用节水设备或技术</w:t>
            </w:r>
          </w:p>
        </w:tc>
        <w:tc>
          <w:tcPr>
            <w:tcW w:w="3461" w:type="dxa"/>
            <w:noWrap w:val="0"/>
            <w:vAlign w:val="center"/>
          </w:tcPr>
          <w:p>
            <w:pPr>
              <w:spacing w:line="288" w:lineRule="auto"/>
              <w:jc w:val="left"/>
              <w:rPr>
                <w:rFonts w:ascii="Times New Roman" w:hAnsi="Times New Roman"/>
                <w:bCs/>
                <w:lang w:val="zh-CN"/>
              </w:rPr>
            </w:pPr>
            <w:bookmarkStart w:id="274" w:name="OLE_LINK195"/>
            <w:bookmarkStart w:id="275" w:name="OLE_LINK196"/>
            <w:r>
              <w:rPr>
                <w:rFonts w:ascii="Times New Roman" w:hAnsi="Times New Roman"/>
                <w:bCs/>
                <w:lang w:val="zh-CN"/>
              </w:rPr>
              <w:t>循环冷却水系统采取设置水处理措施、加大集水盘、设置平衡管或平衡水箱等方式，避免冷却水泵停泵时冷却水溢出</w:t>
            </w:r>
            <w:bookmarkEnd w:id="274"/>
            <w:bookmarkEnd w:id="275"/>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3</w:t>
            </w:r>
          </w:p>
        </w:tc>
        <w:tc>
          <w:tcPr>
            <w:tcW w:w="1291" w:type="dxa"/>
            <w:vMerge w:val="restart"/>
            <w:noWrap w:val="0"/>
            <w:vAlign w:val="center"/>
          </w:tcPr>
          <w:p>
            <w:pPr>
              <w:spacing w:line="288" w:lineRule="auto"/>
              <w:jc w:val="center"/>
              <w:rPr>
                <w:rFonts w:ascii="Times New Roman" w:hAnsi="Times New Roman"/>
                <w:b/>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vMerge w:val="continue"/>
            <w:noWrap w:val="0"/>
            <w:vAlign w:val="center"/>
          </w:tcPr>
          <w:p>
            <w:pPr>
              <w:spacing w:line="288" w:lineRule="auto"/>
              <w:jc w:val="center"/>
              <w:rPr>
                <w:rFonts w:ascii="Times New Roman" w:hAnsi="Times New Roman"/>
                <w:bCs/>
                <w:lang w:val="zh-CN"/>
              </w:rPr>
            </w:pPr>
          </w:p>
        </w:tc>
        <w:tc>
          <w:tcPr>
            <w:tcW w:w="949" w:type="dxa"/>
            <w:vMerge w:val="continue"/>
            <w:noWrap w:val="0"/>
            <w:vAlign w:val="center"/>
          </w:tcPr>
          <w:p>
            <w:pPr>
              <w:spacing w:line="288" w:lineRule="auto"/>
              <w:jc w:val="center"/>
              <w:rPr>
                <w:rFonts w:ascii="Times New Roman" w:hAnsi="Times New Roman"/>
                <w:bCs/>
                <w:lang w:val="zh-CN"/>
              </w:rPr>
            </w:pPr>
          </w:p>
        </w:tc>
        <w:tc>
          <w:tcPr>
            <w:tcW w:w="3461" w:type="dxa"/>
            <w:noWrap w:val="0"/>
            <w:vAlign w:val="center"/>
          </w:tcPr>
          <w:p>
            <w:pPr>
              <w:spacing w:line="288" w:lineRule="auto"/>
              <w:jc w:val="left"/>
              <w:rPr>
                <w:rFonts w:ascii="Times New Roman" w:hAnsi="Times New Roman"/>
                <w:bCs/>
                <w:lang w:val="zh-CN"/>
              </w:rPr>
            </w:pPr>
            <w:r>
              <w:rPr>
                <w:rFonts w:ascii="Times New Roman" w:hAnsi="Times New Roman"/>
                <w:bCs/>
                <w:lang w:val="zh-CN"/>
              </w:rPr>
              <w:t>采用无蒸发耗水量的冷却技术</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6</w:t>
            </w:r>
          </w:p>
        </w:tc>
        <w:tc>
          <w:tcPr>
            <w:tcW w:w="1291" w:type="dxa"/>
            <w:vMerge w:val="continue"/>
            <w:noWrap w:val="0"/>
            <w:vAlign w:val="center"/>
          </w:tcPr>
          <w:p>
            <w:pPr>
              <w:spacing w:line="288" w:lineRule="auto"/>
              <w:jc w:val="center"/>
              <w:rPr>
                <w:rFonts w:ascii="Times New Roman" w:hAnsi="Times New Roman"/>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119" w:type="dxa"/>
            <w:gridSpan w:val="3"/>
            <w:noWrap w:val="0"/>
            <w:vAlign w:val="center"/>
          </w:tcPr>
          <w:p>
            <w:pPr>
              <w:spacing w:line="288" w:lineRule="auto"/>
              <w:jc w:val="center"/>
              <w:rPr>
                <w:rFonts w:ascii="Times New Roman" w:hAnsi="Times New Roman"/>
                <w:bCs/>
                <w:lang w:val="zh-CN"/>
              </w:rPr>
            </w:pPr>
            <w:r>
              <w:rPr>
                <w:rFonts w:ascii="Times New Roman" w:hAnsi="Times New Roman"/>
                <w:bCs/>
                <w:lang w:val="zh-CN"/>
              </w:rPr>
              <w:t>合计</w:t>
            </w:r>
          </w:p>
        </w:tc>
        <w:tc>
          <w:tcPr>
            <w:tcW w:w="1559" w:type="dxa"/>
            <w:noWrap w:val="0"/>
            <w:vAlign w:val="center"/>
          </w:tcPr>
          <w:p>
            <w:pPr>
              <w:spacing w:line="288" w:lineRule="auto"/>
              <w:jc w:val="center"/>
              <w:rPr>
                <w:rFonts w:ascii="Times New Roman" w:hAnsi="Times New Roman"/>
                <w:bCs/>
                <w:lang w:val="zh-CN"/>
              </w:rPr>
            </w:pPr>
            <w:r>
              <w:rPr>
                <w:rFonts w:ascii="Times New Roman" w:hAnsi="Times New Roman"/>
                <w:bCs/>
                <w:lang w:val="zh-CN"/>
              </w:rPr>
              <w:t>12</w:t>
            </w:r>
          </w:p>
        </w:tc>
        <w:tc>
          <w:tcPr>
            <w:tcW w:w="1291" w:type="dxa"/>
            <w:noWrap w:val="0"/>
            <w:vAlign w:val="center"/>
          </w:tcPr>
          <w:p>
            <w:pPr>
              <w:spacing w:line="288" w:lineRule="auto"/>
              <w:jc w:val="center"/>
              <w:rPr>
                <w:rFonts w:ascii="Times New Roman" w:hAnsi="Times New Roman"/>
                <w:b/>
                <w:bCs/>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rPr>
          <w:rFonts w:ascii="Times New Roman" w:hAnsi="Times New Roman"/>
          <w:szCs w:val="21"/>
          <w:lang w:val="zh-CN"/>
        </w:rPr>
      </w:pPr>
      <w:r>
        <w:rPr>
          <w:rFonts w:ascii="Times New Roman" w:hAnsi="Times New Roman"/>
          <w:szCs w:val="21"/>
          <w:lang w:val="zh-CN"/>
        </w:rPr>
        <w:t>1）绿化灌溉</w:t>
      </w:r>
    </w:p>
    <w:p>
      <w:pPr>
        <w:spacing w:line="288" w:lineRule="auto"/>
        <w:rPr>
          <w:rFonts w:ascii="Times New Roman" w:hAnsi="Times New Roman"/>
          <w:szCs w:val="21"/>
          <w:lang w:val="zh-CN"/>
        </w:rPr>
      </w:pPr>
      <w:r>
        <w:rPr>
          <w:rFonts w:ascii="Times New Roman" w:hAnsi="Times New Roman"/>
          <w:szCs w:val="21"/>
          <w:lang w:val="zh-CN"/>
        </w:rPr>
        <w:t>节水灌溉方式为：</w:t>
      </w:r>
      <w:r>
        <w:rPr>
          <w:rFonts w:hint="eastAsia"/>
          <w:sz w:val="28"/>
        </w:rPr>
        <w:sym w:font="Wingdings 2" w:char="F0A3"/>
      </w:r>
      <w:r>
        <w:rPr>
          <w:rFonts w:ascii="Times New Roman" w:hAnsi="Times New Roman"/>
          <w:szCs w:val="21"/>
          <w:lang w:val="zh-CN"/>
        </w:rPr>
        <w:t>滴灌、</w:t>
      </w:r>
      <w:r>
        <w:rPr>
          <w:rFonts w:hint="eastAsia"/>
          <w:sz w:val="28"/>
        </w:rPr>
        <w:sym w:font="Wingdings 2" w:char="F0A3"/>
      </w:r>
      <w:r>
        <w:rPr>
          <w:rFonts w:ascii="Times New Roman" w:hAnsi="Times New Roman"/>
          <w:szCs w:val="21"/>
          <w:lang w:val="zh-CN"/>
        </w:rPr>
        <w:t>微喷灌、</w:t>
      </w:r>
      <w:r>
        <w:rPr>
          <w:rFonts w:hint="eastAsia"/>
          <w:sz w:val="28"/>
        </w:rPr>
        <w:sym w:font="Wingdings 2" w:char="F0A3"/>
      </w:r>
      <w:r>
        <w:rPr>
          <w:rFonts w:ascii="Times New Roman" w:hAnsi="Times New Roman"/>
          <w:szCs w:val="21"/>
        </w:rPr>
        <w:t>地下</w:t>
      </w:r>
      <w:r>
        <w:rPr>
          <w:rFonts w:ascii="Times New Roman" w:hAnsi="Times New Roman"/>
          <w:szCs w:val="21"/>
          <w:lang w:val="zh-CN"/>
        </w:rPr>
        <w:t>渗灌、</w:t>
      </w:r>
      <w:r>
        <w:rPr>
          <w:rFonts w:hint="eastAsia"/>
          <w:sz w:val="28"/>
        </w:rPr>
        <w:sym w:font="Wingdings 2" w:char="F0A3"/>
      </w:r>
      <w:r>
        <w:rPr>
          <w:rFonts w:ascii="Times New Roman" w:hAnsi="Times New Roman"/>
          <w:szCs w:val="21"/>
          <w:lang w:val="zh-CN"/>
        </w:rPr>
        <w:t>涌流灌、</w:t>
      </w:r>
      <w:r>
        <w:rPr>
          <w:rFonts w:hint="eastAsia"/>
          <w:sz w:val="28"/>
        </w:rPr>
        <w:sym w:font="Wingdings 2" w:char="F0A3"/>
      </w:r>
      <w:r>
        <w:rPr>
          <w:rFonts w:ascii="Times New Roman" w:hAnsi="Times New Roman"/>
          <w:szCs w:val="21"/>
          <w:lang w:val="zh-CN"/>
        </w:rPr>
        <w:t>喷灌、</w:t>
      </w:r>
      <w:r>
        <w:rPr>
          <w:rFonts w:hint="eastAsia"/>
          <w:sz w:val="28"/>
        </w:rPr>
        <w:sym w:font="Wingdings 2" w:char="F0A3"/>
      </w:r>
      <w:r>
        <w:rPr>
          <w:rFonts w:ascii="Times New Roman" w:hAnsi="Times New Roman"/>
          <w:szCs w:val="21"/>
          <w:lang w:val="zh-CN"/>
        </w:rPr>
        <w:t>其他</w:t>
      </w:r>
      <w:r>
        <w:rPr>
          <w:rFonts w:ascii="Times New Roman" w:hAnsi="Times New Roman"/>
          <w:szCs w:val="21"/>
          <w:u w:val="single"/>
          <w:lang w:val="zh-CN"/>
        </w:rPr>
        <w:t xml:space="preserve"> </w:t>
      </w:r>
      <w:r>
        <w:rPr>
          <w:rFonts w:hint="eastAsia" w:ascii="Times New Roman" w:hAnsi="Times New Roman"/>
          <w:szCs w:val="21"/>
          <w:u w:val="single"/>
          <w:lang w:val="zh-CN"/>
        </w:rPr>
        <w:t xml:space="preserve">    </w:t>
      </w:r>
      <w:r>
        <w:rPr>
          <w:rFonts w:ascii="Times New Roman" w:hAnsi="Times New Roman"/>
          <w:szCs w:val="21"/>
          <w:u w:val="single"/>
          <w:lang w:val="zh-CN"/>
        </w:rPr>
        <w:t xml:space="preserve">           </w:t>
      </w:r>
    </w:p>
    <w:p>
      <w:pPr>
        <w:spacing w:line="288" w:lineRule="auto"/>
        <w:rPr>
          <w:rFonts w:ascii="Times New Roman" w:hAnsi="Times New Roman"/>
        </w:rPr>
      </w:pPr>
      <w:r>
        <w:rPr>
          <w:rFonts w:ascii="Times New Roman" w:hAnsi="Times New Roman"/>
        </w:rPr>
        <w:t>节水控制措施：</w:t>
      </w:r>
      <w:r>
        <w:rPr>
          <w:rFonts w:hint="eastAsia"/>
          <w:sz w:val="28"/>
        </w:rPr>
        <w:sym w:font="Wingdings 2" w:char="F0A3"/>
      </w:r>
      <w:r>
        <w:rPr>
          <w:rFonts w:ascii="Times New Roman" w:hAnsi="Times New Roman"/>
          <w:szCs w:val="21"/>
          <w:lang w:val="zh-CN"/>
        </w:rPr>
        <w:t>土壤湿度感应器、</w:t>
      </w:r>
      <w:r>
        <w:rPr>
          <w:rFonts w:hint="eastAsia"/>
          <w:sz w:val="28"/>
        </w:rPr>
        <w:sym w:font="Wingdings 2" w:char="F0A3"/>
      </w:r>
      <w:r>
        <w:rPr>
          <w:rFonts w:ascii="Times New Roman" w:hAnsi="Times New Roman"/>
          <w:szCs w:val="21"/>
          <w:lang w:val="zh-CN"/>
        </w:rPr>
        <w:t>雨天自动关闭装置、</w:t>
      </w:r>
      <w:r>
        <w:rPr>
          <w:rFonts w:hint="eastAsia"/>
          <w:sz w:val="28"/>
        </w:rPr>
        <w:sym w:font="Wingdings 2" w:char="F0A3"/>
      </w:r>
      <w:r>
        <w:rPr>
          <w:rFonts w:ascii="Times New Roman" w:hAnsi="Times New Roman"/>
          <w:szCs w:val="21"/>
        </w:rPr>
        <w:t>种植无需永久灌溉植物</w:t>
      </w:r>
    </w:p>
    <w:p>
      <w:pPr>
        <w:rPr>
          <w:rFonts w:ascii="Times New Roman" w:hAnsi="Times New Roman"/>
          <w:szCs w:val="21"/>
        </w:rPr>
      </w:pPr>
      <w:r>
        <w:rPr>
          <w:rFonts w:ascii="Times New Roman" w:hAnsi="Times New Roman"/>
        </w:rPr>
        <w:t>请简要说明节水灌溉方式和节水控制措施以及应用效果。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本项目绿化灌溉采用微灌、渗灌、低压管灌等节水灌溉方式，微喷灌喷头流量应不大于250L/h，浇洒半径一般在5米左右。同时采用湿度传感器或雨天关闭的调节控制器。</w:t>
            </w:r>
          </w:p>
        </w:tc>
      </w:tr>
    </w:tbl>
    <w:p>
      <w:pPr>
        <w:spacing w:line="288" w:lineRule="auto"/>
        <w:rPr>
          <w:rFonts w:ascii="Times New Roman" w:hAnsi="Times New Roman"/>
          <w:szCs w:val="21"/>
          <w:lang w:val="zh-CN"/>
        </w:rPr>
      </w:pPr>
      <w:r>
        <w:rPr>
          <w:rFonts w:ascii="Times New Roman" w:hAnsi="Times New Roman"/>
          <w:szCs w:val="21"/>
          <w:lang w:val="zh-CN"/>
        </w:rPr>
        <w:t>2）空调冷却水系统节水措施：</w:t>
      </w:r>
      <w:r>
        <w:rPr>
          <w:rFonts w:hint="eastAsia"/>
          <w:sz w:val="28"/>
        </w:rPr>
        <w:sym w:font="Wingdings 2" w:char="F0A3"/>
      </w:r>
      <w:r>
        <w:rPr>
          <w:rFonts w:ascii="Times New Roman" w:hAnsi="Times New Roman"/>
          <w:szCs w:val="21"/>
          <w:lang w:val="zh-CN"/>
        </w:rPr>
        <w:t>加大集水盘、</w:t>
      </w:r>
      <w:r>
        <w:rPr>
          <w:rFonts w:hint="eastAsia"/>
          <w:sz w:val="28"/>
        </w:rPr>
        <w:sym w:font="Wingdings 2" w:char="F0A3"/>
      </w:r>
      <w:r>
        <w:rPr>
          <w:rFonts w:ascii="Times New Roman" w:hAnsi="Times New Roman"/>
          <w:szCs w:val="21"/>
          <w:lang w:val="zh-CN"/>
        </w:rPr>
        <w:t>设置平衡管或平衡水箱、</w:t>
      </w:r>
      <w:r>
        <w:rPr>
          <w:rFonts w:hint="eastAsia"/>
          <w:sz w:val="28"/>
        </w:rPr>
        <w:sym w:font="Wingdings 2" w:char="F0A3"/>
      </w:r>
      <w:r>
        <w:rPr>
          <w:rFonts w:ascii="Times New Roman" w:hAnsi="Times New Roman"/>
          <w:szCs w:val="21"/>
        </w:rPr>
        <w:t>无蒸发耗水量冷却技术、</w:t>
      </w:r>
      <w:r>
        <w:rPr>
          <w:rFonts w:hint="eastAsia"/>
          <w:sz w:val="28"/>
        </w:rPr>
        <w:sym w:font="Wingdings 2" w:char="F0A3"/>
      </w:r>
      <w:r>
        <w:rPr>
          <w:rFonts w:ascii="Times New Roman" w:hAnsi="Times New Roman"/>
          <w:szCs w:val="21"/>
          <w:lang w:val="zh-CN"/>
        </w:rPr>
        <w:t>其他</w:t>
      </w:r>
      <w:r>
        <w:rPr>
          <w:rFonts w:ascii="Times New Roman" w:hAnsi="Times New Roman"/>
          <w:szCs w:val="21"/>
          <w:u w:val="single"/>
          <w:lang w:val="zh-CN"/>
        </w:rPr>
        <w:t xml:space="preserve">             </w:t>
      </w:r>
    </w:p>
    <w:p>
      <w:pPr>
        <w:rPr>
          <w:rFonts w:ascii="Times New Roman" w:hAnsi="Times New Roman"/>
          <w:szCs w:val="21"/>
        </w:rPr>
      </w:pPr>
      <w:r>
        <w:rPr>
          <w:rFonts w:ascii="Times New Roman" w:hAnsi="Times New Roman"/>
          <w:szCs w:val="21"/>
          <w:lang w:val="zh-CN"/>
        </w:rPr>
        <w:t>请简要说明循环冷却系统采用的节水技术和水质处理措施。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jc w:val="center"/>
        </w:trPr>
        <w:tc>
          <w:tcPr>
            <w:tcW w:w="8188"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采用多联机及风冷机组，不需冷却补水。</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1）绿化灌溉系统竣工图纸，应包含绿化灌溉系统设计说明、灌溉平面图、节水灌溉设备材料表、节水灌溉设备产品说明书、产品节水性能检测报告等；</w:t>
      </w:r>
    </w:p>
    <w:p>
      <w:pPr>
        <w:rPr>
          <w:rFonts w:ascii="Times New Roman" w:hAnsi="Times New Roman"/>
        </w:rPr>
      </w:pPr>
      <w:r>
        <w:rPr>
          <w:rFonts w:hint="eastAsia" w:ascii="Times New Roman" w:hAnsi="Times New Roman"/>
        </w:rPr>
        <w:t>2）暖通专业竣工图及设计说明，应包括空调冷却水系统设计说明、冷却设备材料表</w:t>
      </w:r>
      <w:r>
        <w:rPr>
          <w:rFonts w:ascii="Times New Roman" w:hAnsi="Times New Roman"/>
        </w:rPr>
        <w:t>及</w:t>
      </w:r>
      <w:r>
        <w:rPr>
          <w:rFonts w:hint="eastAsia" w:ascii="Times New Roman" w:hAnsi="Times New Roman"/>
        </w:rPr>
        <w:t>产品说明书。</w:t>
      </w:r>
    </w:p>
    <w:p>
      <w:pPr>
        <w:spacing w:line="288" w:lineRule="auto"/>
        <w:rPr>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bCs w:val="0"/>
        </w:rPr>
      </w:pPr>
      <w:r>
        <w:rPr>
          <w:rFonts w:hint="eastAsia"/>
          <w:sz w:val="24"/>
          <w:szCs w:val="40"/>
        </w:rPr>
        <w:t>7.2.12  结合雨水综合利用设施营造</w:t>
      </w:r>
      <w:r>
        <w:rPr>
          <w:sz w:val="24"/>
          <w:szCs w:val="40"/>
        </w:rPr>
        <w:t>室外</w:t>
      </w:r>
      <w:r>
        <w:rPr>
          <w:rFonts w:hint="eastAsia"/>
          <w:sz w:val="24"/>
          <w:szCs w:val="40"/>
        </w:rPr>
        <w:t>景观水体，室外景观水体利用雨水的补水量大于水体蒸发量的</w:t>
      </w:r>
      <w:r>
        <w:rPr>
          <w:sz w:val="24"/>
          <w:szCs w:val="40"/>
        </w:rPr>
        <w:t>60%</w:t>
      </w:r>
      <w:r>
        <w:rPr>
          <w:rFonts w:hint="eastAsia"/>
          <w:sz w:val="24"/>
          <w:szCs w:val="40"/>
        </w:rPr>
        <w:t>，且采用保障</w:t>
      </w:r>
      <w:r>
        <w:rPr>
          <w:sz w:val="24"/>
          <w:szCs w:val="40"/>
        </w:rPr>
        <w:t>水体水质的</w:t>
      </w:r>
      <w:r>
        <w:rPr>
          <w:rFonts w:hint="eastAsia"/>
          <w:sz w:val="24"/>
          <w:szCs w:val="40"/>
        </w:rPr>
        <w:t>生态水处理技术。（</w:t>
      </w:r>
      <w:r>
        <w:rPr>
          <w:sz w:val="24"/>
          <w:szCs w:val="40"/>
        </w:rPr>
        <w:t>8</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428"/>
        <w:gridCol w:w="1559"/>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21" w:type="dxa"/>
            <w:noWrap w:val="0"/>
            <w:vAlign w:val="center"/>
          </w:tcPr>
          <w:p>
            <w:pPr>
              <w:spacing w:line="288" w:lineRule="auto"/>
              <w:jc w:val="center"/>
              <w:rPr>
                <w:rFonts w:ascii="Times New Roman" w:hAnsi="Times New Roman"/>
                <w:bCs/>
                <w:szCs w:val="21"/>
                <w:lang w:val="zh-CN"/>
              </w:rPr>
            </w:pPr>
            <w:r>
              <w:rPr>
                <w:rFonts w:ascii="Times New Roman" w:hAnsi="Times New Roman"/>
                <w:szCs w:val="21"/>
              </w:rPr>
              <w:t>序号</w:t>
            </w:r>
          </w:p>
        </w:tc>
        <w:tc>
          <w:tcPr>
            <w:tcW w:w="4428" w:type="dxa"/>
            <w:noWrap w:val="0"/>
            <w:vAlign w:val="center"/>
          </w:tcPr>
          <w:p>
            <w:pPr>
              <w:spacing w:line="288" w:lineRule="auto"/>
              <w:jc w:val="center"/>
              <w:rPr>
                <w:rFonts w:ascii="Times New Roman" w:hAnsi="Times New Roman"/>
                <w:bCs/>
                <w:szCs w:val="21"/>
                <w:lang w:val="zh-CN"/>
              </w:rPr>
            </w:pPr>
            <w:r>
              <w:rPr>
                <w:rFonts w:ascii="Times New Roman" w:hAnsi="Times New Roman"/>
                <w:szCs w:val="21"/>
              </w:rPr>
              <w:t>评价内容</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szCs w:val="21"/>
              </w:rPr>
              <w:t>评价分值</w:t>
            </w:r>
          </w:p>
        </w:tc>
        <w:tc>
          <w:tcPr>
            <w:tcW w:w="1321" w:type="dxa"/>
            <w:noWrap w:val="0"/>
            <w:vAlign w:val="center"/>
          </w:tcPr>
          <w:p>
            <w:pPr>
              <w:spacing w:line="288" w:lineRule="auto"/>
              <w:jc w:val="center"/>
              <w:rPr>
                <w:rFonts w:ascii="Times New Roman" w:hAnsi="Times New Roman"/>
                <w:bCs/>
                <w:szCs w:val="21"/>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21" w:type="dxa"/>
            <w:vMerge w:val="restart"/>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w:t>
            </w:r>
          </w:p>
        </w:tc>
        <w:tc>
          <w:tcPr>
            <w:tcW w:w="4428" w:type="dxa"/>
            <w:noWrap w:val="0"/>
            <w:vAlign w:val="center"/>
          </w:tcPr>
          <w:p>
            <w:pPr>
              <w:spacing w:line="288" w:lineRule="auto"/>
              <w:jc w:val="left"/>
              <w:rPr>
                <w:rFonts w:ascii="Times New Roman" w:hAnsi="Times New Roman"/>
                <w:bCs/>
                <w:szCs w:val="21"/>
                <w:lang w:val="zh-CN"/>
              </w:rPr>
            </w:pPr>
            <w:r>
              <w:rPr>
                <w:rFonts w:ascii="Times New Roman" w:hAnsi="Times New Roman"/>
                <w:bCs/>
                <w:szCs w:val="21"/>
                <w:lang w:val="zh-CN"/>
              </w:rPr>
              <w:t>对进入室外景观水体的雨水，利用生态设施削减径流污染</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321" w:type="dxa"/>
            <w:vMerge w:val="restart"/>
            <w:noWrap w:val="0"/>
            <w:vAlign w:val="center"/>
          </w:tcPr>
          <w:p>
            <w:pPr>
              <w:spacing w:line="288" w:lineRule="auto"/>
              <w:jc w:val="center"/>
              <w:rPr>
                <w:rFonts w:ascii="Times New Roman" w:hAnsi="Times New Roman"/>
                <w:b/>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21" w:type="dxa"/>
            <w:vMerge w:val="continue"/>
            <w:noWrap w:val="0"/>
            <w:vAlign w:val="center"/>
          </w:tcPr>
          <w:p>
            <w:pPr>
              <w:spacing w:line="288" w:lineRule="auto"/>
              <w:jc w:val="center"/>
              <w:rPr>
                <w:rFonts w:ascii="Times New Roman" w:hAnsi="Times New Roman"/>
                <w:bCs/>
                <w:szCs w:val="21"/>
                <w:lang w:val="zh-CN"/>
              </w:rPr>
            </w:pPr>
          </w:p>
        </w:tc>
        <w:tc>
          <w:tcPr>
            <w:tcW w:w="4428" w:type="dxa"/>
            <w:noWrap w:val="0"/>
            <w:vAlign w:val="center"/>
          </w:tcPr>
          <w:p>
            <w:pPr>
              <w:spacing w:line="288" w:lineRule="auto"/>
              <w:jc w:val="left"/>
              <w:rPr>
                <w:rFonts w:ascii="Times New Roman" w:hAnsi="Times New Roman"/>
                <w:bCs/>
                <w:szCs w:val="21"/>
                <w:lang w:val="zh-CN"/>
              </w:rPr>
            </w:pPr>
            <w:r>
              <w:rPr>
                <w:rFonts w:ascii="Times New Roman" w:hAnsi="Times New Roman"/>
                <w:bCs/>
                <w:szCs w:val="21"/>
                <w:lang w:val="zh-CN"/>
              </w:rPr>
              <w:t>利用水生动、植物保障室外景观水体水质</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321" w:type="dxa"/>
            <w:vMerge w:val="continue"/>
            <w:noWrap w:val="0"/>
            <w:vAlign w:val="center"/>
          </w:tcPr>
          <w:p>
            <w:pPr>
              <w:spacing w:line="288" w:lineRule="auto"/>
              <w:jc w:val="center"/>
              <w:rPr>
                <w:rFonts w:ascii="Times New Roman" w:hAnsi="Times New Roman"/>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21"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4428" w:type="dxa"/>
            <w:noWrap w:val="0"/>
            <w:vAlign w:val="center"/>
          </w:tcPr>
          <w:p>
            <w:pPr>
              <w:spacing w:line="288" w:lineRule="auto"/>
              <w:jc w:val="left"/>
              <w:rPr>
                <w:rFonts w:ascii="Times New Roman" w:hAnsi="Times New Roman"/>
                <w:bCs/>
                <w:szCs w:val="21"/>
                <w:lang w:val="zh-CN"/>
              </w:rPr>
            </w:pPr>
            <w:r>
              <w:rPr>
                <w:rFonts w:ascii="Times New Roman" w:hAnsi="Times New Roman"/>
                <w:bCs/>
                <w:szCs w:val="21"/>
                <w:lang w:val="zh-CN"/>
              </w:rPr>
              <w:t>未设置景观水体</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321" w:type="dxa"/>
            <w:noWrap w:val="0"/>
            <w:vAlign w:val="center"/>
          </w:tcPr>
          <w:p>
            <w:pPr>
              <w:spacing w:line="288" w:lineRule="auto"/>
              <w:jc w:val="center"/>
              <w:rPr>
                <w:rFonts w:ascii="Times New Roman" w:hAnsi="Times New Roman"/>
                <w:b/>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149" w:type="dxa"/>
            <w:gridSpan w:val="2"/>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59" w:type="dxa"/>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321" w:type="dxa"/>
            <w:noWrap w:val="0"/>
            <w:vAlign w:val="center"/>
          </w:tcPr>
          <w:p>
            <w:pPr>
              <w:spacing w:line="288" w:lineRule="auto"/>
              <w:jc w:val="center"/>
              <w:rPr>
                <w:rFonts w:ascii="Times New Roman" w:hAnsi="Times New Roman"/>
                <w:b/>
                <w:bCs/>
                <w:szCs w:val="21"/>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autoSpaceDE w:val="0"/>
        <w:autoSpaceDN w:val="0"/>
        <w:adjustRightInd w:val="0"/>
        <w:jc w:val="left"/>
        <w:rPr>
          <w:rFonts w:ascii="宋体" w:hAnsi="宋体" w:cs="宋体"/>
          <w:kern w:val="0"/>
          <w:szCs w:val="21"/>
        </w:rPr>
      </w:pPr>
      <w:r>
        <w:rPr>
          <w:rFonts w:hint="eastAsia" w:ascii="宋体" w:hAnsi="宋体" w:cs="宋体"/>
          <w:kern w:val="0"/>
          <w:szCs w:val="21"/>
        </w:rPr>
        <w:t>景观水体利用雨水的补水量占其水体蒸发量的比例：</w:t>
      </w:r>
      <w:r>
        <w:rPr>
          <w:rFonts w:hint="eastAsia" w:ascii="宋体" w:hAnsi="宋体"/>
          <w:u w:val="single"/>
          <w:lang w:val="zh-CN"/>
        </w:rPr>
        <w:t xml:space="preserve">   </w:t>
      </w:r>
      <w:r>
        <w:rPr>
          <w:rFonts w:hint="eastAsia" w:ascii="宋体" w:hAnsi="宋体" w:cs="宋体"/>
          <w:kern w:val="0"/>
          <w:szCs w:val="21"/>
        </w:rPr>
        <w:t>（%）</w:t>
      </w:r>
    </w:p>
    <w:p>
      <w:pPr>
        <w:autoSpaceDE w:val="0"/>
        <w:autoSpaceDN w:val="0"/>
        <w:adjustRightInd w:val="0"/>
        <w:jc w:val="left"/>
        <w:rPr>
          <w:rFonts w:ascii="宋体" w:hAnsi="宋体" w:cs="宋体"/>
          <w:kern w:val="0"/>
          <w:szCs w:val="21"/>
        </w:rPr>
      </w:pPr>
      <w:r>
        <w:rPr>
          <w:rFonts w:hint="eastAsia" w:ascii="宋体" w:hAnsi="宋体" w:cs="宋体"/>
          <w:kern w:val="0"/>
          <w:szCs w:val="21"/>
        </w:rPr>
        <w:t>景观水体补水来源：</w:t>
      </w:r>
      <w:r>
        <w:rPr>
          <w:rFonts w:hint="eastAsia"/>
          <w:sz w:val="28"/>
        </w:rPr>
        <w:sym w:font="Wingdings 2" w:char="F0A3"/>
      </w:r>
      <w:r>
        <w:rPr>
          <w:rFonts w:hint="eastAsia" w:ascii="宋体" w:hAnsi="宋体" w:cs="宋体"/>
          <w:kern w:val="0"/>
          <w:szCs w:val="21"/>
        </w:rPr>
        <w:t>地表水、</w:t>
      </w:r>
      <w:r>
        <w:rPr>
          <w:rFonts w:hint="eastAsia"/>
          <w:sz w:val="28"/>
        </w:rPr>
        <w:sym w:font="Wingdings 2" w:char="F0A3"/>
      </w:r>
      <w:r>
        <w:rPr>
          <w:rFonts w:hint="eastAsia" w:ascii="宋体" w:hAnsi="宋体" w:cs="宋体"/>
          <w:kern w:val="0"/>
          <w:szCs w:val="21"/>
        </w:rPr>
        <w:t>市政中水、</w:t>
      </w:r>
      <w:r>
        <w:rPr>
          <w:rFonts w:hint="eastAsia"/>
          <w:sz w:val="28"/>
        </w:rPr>
        <w:sym w:font="Wingdings 2" w:char="F0A3"/>
      </w:r>
      <w:r>
        <w:rPr>
          <w:rFonts w:hint="eastAsia" w:ascii="宋体" w:hAnsi="宋体" w:cs="宋体"/>
          <w:kern w:val="0"/>
          <w:szCs w:val="21"/>
        </w:rPr>
        <w:t>建筑中水、</w:t>
      </w:r>
      <w:r>
        <w:rPr>
          <w:rFonts w:hint="eastAsia"/>
          <w:sz w:val="28"/>
        </w:rPr>
        <w:sym w:font="Wingdings 2" w:char="F0A3"/>
      </w:r>
      <w:r>
        <w:rPr>
          <w:rFonts w:hint="eastAsia" w:ascii="宋体" w:hAnsi="宋体" w:cs="宋体"/>
          <w:kern w:val="0"/>
          <w:szCs w:val="21"/>
        </w:rPr>
        <w:t>雨水</w:t>
      </w:r>
    </w:p>
    <w:p>
      <w:pPr>
        <w:rPr>
          <w:rFonts w:ascii="宋体" w:hAnsi="宋体"/>
          <w:szCs w:val="21"/>
        </w:rPr>
      </w:pPr>
      <w:r>
        <w:rPr>
          <w:rFonts w:hint="eastAsia" w:ascii="宋体" w:hAnsi="宋体"/>
          <w:szCs w:val="21"/>
          <w:lang w:val="zh-CN"/>
        </w:rPr>
        <w:t>请简要说明景观水体的径流污染削减措施、水质控制措施以及实际效果。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08" w:hRule="atLeast"/>
          <w:jc w:val="center"/>
        </w:trPr>
        <w:tc>
          <w:tcPr>
            <w:tcW w:w="8188"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1）给排水专业竣工图及设计说明，应包括室内外给排水消防系统设计及施工说明、室外给排水总图、景观给排水设计说明、景观给排水平面图、雨水利用设施和雨水生态系统工艺流程图及详图；</w:t>
      </w:r>
    </w:p>
    <w:p>
      <w:pPr>
        <w:rPr>
          <w:rFonts w:ascii="Times New Roman" w:hAnsi="Times New Roman"/>
        </w:rPr>
      </w:pPr>
      <w:r>
        <w:rPr>
          <w:rFonts w:hint="eastAsia" w:ascii="Times New Roman" w:hAnsi="Times New Roman"/>
        </w:rPr>
        <w:t>2）景观专业竣工图及设计说明，应包含总平面竖向图、场地铺装平面图、种植图、雨水生态处理设施详图、水景详图等；</w:t>
      </w:r>
    </w:p>
    <w:p>
      <w:pPr>
        <w:rPr>
          <w:rFonts w:ascii="Times New Roman" w:hAnsi="Times New Roman"/>
        </w:rPr>
      </w:pPr>
      <w:r>
        <w:rPr>
          <w:rFonts w:hint="eastAsia" w:ascii="Times New Roman" w:hAnsi="Times New Roman"/>
        </w:rPr>
        <w:t>3）景观水体补水量平衡</w:t>
      </w:r>
      <w:r>
        <w:rPr>
          <w:rFonts w:ascii="Times New Roman" w:hAnsi="Times New Roman"/>
        </w:rPr>
        <w:t>计算书</w:t>
      </w:r>
      <w:r>
        <w:rPr>
          <w:rFonts w:hint="eastAsia" w:ascii="Times New Roman" w:hAnsi="Times New Roman"/>
        </w:rPr>
        <w:t>、水质检测报告。</w:t>
      </w:r>
    </w:p>
    <w:p>
      <w:pPr>
        <w:spacing w:line="288" w:lineRule="auto"/>
        <w:rPr>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7.2.13 使用非传统水源。（</w:t>
      </w:r>
      <w:r>
        <w:rPr>
          <w:sz w:val="24"/>
          <w:szCs w:val="40"/>
        </w:rPr>
        <w:t>15</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3686"/>
        <w:gridCol w:w="174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09" w:type="dxa"/>
            <w:noWrap w:val="0"/>
            <w:vAlign w:val="center"/>
          </w:tcPr>
          <w:p>
            <w:pPr>
              <w:jc w:val="center"/>
              <w:rPr>
                <w:rFonts w:ascii="Times New Roman" w:hAnsi="Times New Roman"/>
                <w:bCs/>
                <w:color w:val="000000"/>
                <w:szCs w:val="21"/>
              </w:rPr>
            </w:pPr>
            <w:r>
              <w:rPr>
                <w:rFonts w:ascii="Times New Roman" w:hAnsi="Times New Roman"/>
                <w:szCs w:val="21"/>
              </w:rPr>
              <w:t>序号</w:t>
            </w:r>
          </w:p>
        </w:tc>
        <w:tc>
          <w:tcPr>
            <w:tcW w:w="5028" w:type="dxa"/>
            <w:gridSpan w:val="2"/>
            <w:noWrap w:val="0"/>
            <w:vAlign w:val="center"/>
          </w:tcPr>
          <w:p>
            <w:pPr>
              <w:jc w:val="center"/>
              <w:rPr>
                <w:rFonts w:ascii="Times New Roman" w:hAnsi="Times New Roman"/>
                <w:color w:val="000000"/>
                <w:szCs w:val="21"/>
              </w:rPr>
            </w:pPr>
            <w:r>
              <w:rPr>
                <w:rFonts w:ascii="Times New Roman" w:hAnsi="Times New Roman"/>
                <w:szCs w:val="21"/>
              </w:rPr>
              <w:t>评价内容</w:t>
            </w:r>
          </w:p>
        </w:tc>
        <w:tc>
          <w:tcPr>
            <w:tcW w:w="1743" w:type="dxa"/>
            <w:noWrap w:val="0"/>
            <w:vAlign w:val="center"/>
          </w:tcPr>
          <w:p>
            <w:pPr>
              <w:jc w:val="center"/>
              <w:rPr>
                <w:rFonts w:ascii="Times New Roman" w:hAnsi="Times New Roman"/>
                <w:bCs/>
                <w:color w:val="000000"/>
                <w:szCs w:val="21"/>
              </w:rPr>
            </w:pPr>
            <w:r>
              <w:rPr>
                <w:rFonts w:ascii="Times New Roman" w:hAnsi="Times New Roman"/>
                <w:szCs w:val="21"/>
              </w:rPr>
              <w:t>评价分值</w:t>
            </w:r>
          </w:p>
        </w:tc>
        <w:tc>
          <w:tcPr>
            <w:tcW w:w="1531" w:type="dxa"/>
            <w:noWrap w:val="0"/>
            <w:vAlign w:val="center"/>
          </w:tcPr>
          <w:p>
            <w:pPr>
              <w:jc w:val="center"/>
              <w:rPr>
                <w:rFonts w:ascii="Times New Roman" w:hAnsi="Times New Roman"/>
                <w:bCs/>
                <w:color w:val="000000"/>
                <w:szCs w:val="21"/>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5" w:hRule="atLeast"/>
          <w:jc w:val="center"/>
        </w:trPr>
        <w:tc>
          <w:tcPr>
            <w:tcW w:w="709" w:type="dxa"/>
            <w:vMerge w:val="restart"/>
            <w:noWrap w:val="0"/>
            <w:vAlign w:val="center"/>
          </w:tcPr>
          <w:p>
            <w:pPr>
              <w:jc w:val="center"/>
              <w:rPr>
                <w:rFonts w:ascii="Times New Roman" w:hAnsi="Times New Roman"/>
                <w:bCs/>
                <w:color w:val="000000"/>
                <w:szCs w:val="21"/>
              </w:rPr>
            </w:pPr>
            <w:r>
              <w:rPr>
                <w:rFonts w:ascii="Times New Roman" w:hAnsi="Times New Roman"/>
                <w:bCs/>
                <w:color w:val="000000"/>
                <w:szCs w:val="21"/>
              </w:rPr>
              <w:t>1</w:t>
            </w:r>
          </w:p>
        </w:tc>
        <w:tc>
          <w:tcPr>
            <w:tcW w:w="1342" w:type="dxa"/>
            <w:vMerge w:val="restart"/>
            <w:noWrap w:val="0"/>
            <w:vAlign w:val="center"/>
          </w:tcPr>
          <w:p>
            <w:pPr>
              <w:jc w:val="center"/>
              <w:rPr>
                <w:rFonts w:ascii="Times New Roman" w:hAnsi="Times New Roman"/>
                <w:bCs/>
                <w:color w:val="000000"/>
                <w:szCs w:val="21"/>
              </w:rPr>
            </w:pPr>
            <w:r>
              <w:rPr>
                <w:rFonts w:ascii="Times New Roman" w:hAnsi="Times New Roman"/>
                <w:bCs/>
                <w:color w:val="000000"/>
                <w:szCs w:val="21"/>
              </w:rPr>
              <w:t>绿化灌溉</w:t>
            </w:r>
          </w:p>
        </w:tc>
        <w:tc>
          <w:tcPr>
            <w:tcW w:w="3686" w:type="dxa"/>
            <w:noWrap w:val="0"/>
            <w:vAlign w:val="center"/>
          </w:tcPr>
          <w:p>
            <w:pPr>
              <w:jc w:val="left"/>
              <w:rPr>
                <w:rFonts w:ascii="Times New Roman" w:hAnsi="Times New Roman"/>
                <w:bCs/>
                <w:color w:val="000000"/>
                <w:szCs w:val="21"/>
              </w:rPr>
            </w:pPr>
            <w:r>
              <w:rPr>
                <w:rFonts w:ascii="Times New Roman" w:hAnsi="Times New Roman"/>
                <w:bCs/>
                <w:color w:val="000000"/>
                <w:szCs w:val="21"/>
              </w:rPr>
              <w:t>绿化灌溉、车库及道路冲洗、洗车用水采用非传统水源的用水量占其总用水量的比例不低于40%。</w:t>
            </w:r>
          </w:p>
        </w:tc>
        <w:tc>
          <w:tcPr>
            <w:tcW w:w="1743" w:type="dxa"/>
            <w:noWrap w:val="0"/>
            <w:vAlign w:val="center"/>
          </w:tcPr>
          <w:p>
            <w:pPr>
              <w:jc w:val="center"/>
              <w:rPr>
                <w:rFonts w:ascii="Times New Roman" w:hAnsi="Times New Roman"/>
                <w:bCs/>
                <w:color w:val="000000"/>
                <w:szCs w:val="21"/>
              </w:rPr>
            </w:pPr>
            <w:r>
              <w:rPr>
                <w:rFonts w:ascii="Times New Roman" w:hAnsi="Times New Roman"/>
                <w:bCs/>
                <w:color w:val="000000"/>
                <w:szCs w:val="21"/>
              </w:rPr>
              <w:t>3</w:t>
            </w:r>
          </w:p>
        </w:tc>
        <w:tc>
          <w:tcPr>
            <w:tcW w:w="1531" w:type="dxa"/>
            <w:noWrap w:val="0"/>
            <w:vAlign w:val="center"/>
          </w:tcPr>
          <w:p>
            <w:pPr>
              <w:jc w:val="center"/>
              <w:rPr>
                <w:rFonts w:ascii="Times New Roman" w:hAnsi="Times New Roman"/>
                <w:bCs/>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5" w:hRule="atLeast"/>
          <w:jc w:val="center"/>
        </w:trPr>
        <w:tc>
          <w:tcPr>
            <w:tcW w:w="709" w:type="dxa"/>
            <w:vMerge w:val="continue"/>
            <w:noWrap w:val="0"/>
            <w:vAlign w:val="center"/>
          </w:tcPr>
          <w:p>
            <w:pPr>
              <w:jc w:val="center"/>
              <w:rPr>
                <w:rFonts w:ascii="Times New Roman" w:hAnsi="Times New Roman"/>
                <w:bCs/>
                <w:color w:val="000000"/>
                <w:szCs w:val="21"/>
              </w:rPr>
            </w:pPr>
          </w:p>
        </w:tc>
        <w:tc>
          <w:tcPr>
            <w:tcW w:w="1342" w:type="dxa"/>
            <w:vMerge w:val="continue"/>
            <w:noWrap w:val="0"/>
            <w:vAlign w:val="center"/>
          </w:tcPr>
          <w:p>
            <w:pPr>
              <w:jc w:val="center"/>
              <w:rPr>
                <w:rFonts w:ascii="Times New Roman" w:hAnsi="Times New Roman"/>
                <w:bCs/>
                <w:color w:val="000000"/>
                <w:szCs w:val="21"/>
              </w:rPr>
            </w:pPr>
          </w:p>
        </w:tc>
        <w:tc>
          <w:tcPr>
            <w:tcW w:w="3686" w:type="dxa"/>
            <w:noWrap w:val="0"/>
            <w:vAlign w:val="center"/>
          </w:tcPr>
          <w:p>
            <w:pPr>
              <w:jc w:val="left"/>
              <w:rPr>
                <w:rFonts w:ascii="Times New Roman" w:hAnsi="Times New Roman"/>
                <w:bCs/>
                <w:color w:val="000000"/>
                <w:szCs w:val="21"/>
              </w:rPr>
            </w:pPr>
            <w:r>
              <w:rPr>
                <w:rFonts w:ascii="Times New Roman" w:hAnsi="Times New Roman"/>
                <w:bCs/>
                <w:color w:val="000000"/>
                <w:szCs w:val="21"/>
              </w:rPr>
              <w:t>绿化灌溉、车库及道路冲洗、洗车用水采用非传统水源的用水量占其总用水量的比例不低于60%。</w:t>
            </w:r>
          </w:p>
        </w:tc>
        <w:tc>
          <w:tcPr>
            <w:tcW w:w="1743" w:type="dxa"/>
            <w:noWrap w:val="0"/>
            <w:vAlign w:val="center"/>
          </w:tcPr>
          <w:p>
            <w:pPr>
              <w:jc w:val="center"/>
              <w:rPr>
                <w:rFonts w:ascii="Times New Roman" w:hAnsi="Times New Roman"/>
                <w:bCs/>
                <w:color w:val="000000"/>
                <w:szCs w:val="21"/>
              </w:rPr>
            </w:pPr>
            <w:r>
              <w:rPr>
                <w:rFonts w:ascii="Times New Roman" w:hAnsi="Times New Roman"/>
                <w:bCs/>
                <w:color w:val="000000"/>
                <w:szCs w:val="21"/>
              </w:rPr>
              <w:t>5</w:t>
            </w:r>
          </w:p>
        </w:tc>
        <w:tc>
          <w:tcPr>
            <w:tcW w:w="1531" w:type="dxa"/>
            <w:noWrap w:val="0"/>
            <w:vAlign w:val="center"/>
          </w:tcPr>
          <w:p>
            <w:pPr>
              <w:jc w:val="center"/>
              <w:rPr>
                <w:rFonts w:ascii="Times New Roman" w:hAnsi="Times New Roman"/>
                <w:bCs/>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1" w:hRule="atLeast"/>
          <w:jc w:val="center"/>
        </w:trPr>
        <w:tc>
          <w:tcPr>
            <w:tcW w:w="709" w:type="dxa"/>
            <w:vMerge w:val="restart"/>
            <w:noWrap w:val="0"/>
            <w:vAlign w:val="center"/>
          </w:tcPr>
          <w:p>
            <w:pPr>
              <w:jc w:val="center"/>
              <w:rPr>
                <w:rFonts w:ascii="Times New Roman" w:hAnsi="Times New Roman"/>
                <w:bCs/>
                <w:color w:val="000000"/>
                <w:szCs w:val="21"/>
              </w:rPr>
            </w:pPr>
            <w:r>
              <w:rPr>
                <w:rFonts w:ascii="Times New Roman" w:hAnsi="Times New Roman"/>
                <w:bCs/>
                <w:color w:val="000000"/>
                <w:szCs w:val="21"/>
              </w:rPr>
              <w:t>2</w:t>
            </w:r>
          </w:p>
        </w:tc>
        <w:tc>
          <w:tcPr>
            <w:tcW w:w="1342" w:type="dxa"/>
            <w:vMerge w:val="restart"/>
            <w:noWrap w:val="0"/>
            <w:vAlign w:val="center"/>
          </w:tcPr>
          <w:p>
            <w:pPr>
              <w:jc w:val="center"/>
              <w:rPr>
                <w:rFonts w:ascii="Times New Roman" w:hAnsi="Times New Roman"/>
                <w:bCs/>
                <w:color w:val="000000"/>
                <w:szCs w:val="21"/>
              </w:rPr>
            </w:pPr>
            <w:r>
              <w:rPr>
                <w:rFonts w:ascii="Times New Roman" w:hAnsi="Times New Roman"/>
                <w:bCs/>
                <w:color w:val="000000"/>
                <w:szCs w:val="21"/>
              </w:rPr>
              <w:t>冲厕</w:t>
            </w:r>
          </w:p>
        </w:tc>
        <w:tc>
          <w:tcPr>
            <w:tcW w:w="3686" w:type="dxa"/>
            <w:noWrap w:val="0"/>
            <w:vAlign w:val="center"/>
          </w:tcPr>
          <w:p>
            <w:pPr>
              <w:jc w:val="left"/>
              <w:rPr>
                <w:rFonts w:ascii="Times New Roman" w:hAnsi="Times New Roman"/>
                <w:bCs/>
                <w:color w:val="000000"/>
                <w:szCs w:val="21"/>
              </w:rPr>
            </w:pPr>
            <w:r>
              <w:rPr>
                <w:rFonts w:ascii="Times New Roman" w:hAnsi="Times New Roman"/>
                <w:bCs/>
                <w:color w:val="000000"/>
                <w:szCs w:val="21"/>
              </w:rPr>
              <w:t>冲厕采用非传统水源的用水量占其总用水量的比例不低于30%。</w:t>
            </w:r>
          </w:p>
        </w:tc>
        <w:tc>
          <w:tcPr>
            <w:tcW w:w="1743" w:type="dxa"/>
            <w:noWrap w:val="0"/>
            <w:vAlign w:val="center"/>
          </w:tcPr>
          <w:p>
            <w:pPr>
              <w:jc w:val="center"/>
              <w:rPr>
                <w:rFonts w:ascii="Times New Roman" w:hAnsi="Times New Roman"/>
                <w:bCs/>
                <w:color w:val="000000"/>
                <w:szCs w:val="21"/>
              </w:rPr>
            </w:pPr>
            <w:r>
              <w:rPr>
                <w:rFonts w:ascii="Times New Roman" w:hAnsi="Times New Roman"/>
                <w:bCs/>
                <w:color w:val="000000"/>
                <w:szCs w:val="21"/>
              </w:rPr>
              <w:t>3</w:t>
            </w:r>
          </w:p>
        </w:tc>
        <w:tc>
          <w:tcPr>
            <w:tcW w:w="1531" w:type="dxa"/>
            <w:noWrap w:val="0"/>
            <w:vAlign w:val="center"/>
          </w:tcPr>
          <w:p>
            <w:pPr>
              <w:jc w:val="center"/>
              <w:rPr>
                <w:rFonts w:ascii="Times New Roman" w:hAnsi="Times New Roman"/>
                <w:bCs/>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709" w:type="dxa"/>
            <w:vMerge w:val="continue"/>
            <w:noWrap w:val="0"/>
            <w:vAlign w:val="center"/>
          </w:tcPr>
          <w:p>
            <w:pPr>
              <w:jc w:val="center"/>
              <w:rPr>
                <w:rFonts w:ascii="Times New Roman" w:hAnsi="Times New Roman"/>
                <w:bCs/>
                <w:color w:val="000000"/>
                <w:szCs w:val="21"/>
              </w:rPr>
            </w:pPr>
          </w:p>
        </w:tc>
        <w:tc>
          <w:tcPr>
            <w:tcW w:w="1342" w:type="dxa"/>
            <w:vMerge w:val="continue"/>
            <w:noWrap w:val="0"/>
            <w:vAlign w:val="center"/>
          </w:tcPr>
          <w:p>
            <w:pPr>
              <w:jc w:val="center"/>
              <w:rPr>
                <w:rFonts w:ascii="Times New Roman" w:hAnsi="Times New Roman"/>
                <w:bCs/>
                <w:color w:val="000000"/>
                <w:szCs w:val="21"/>
              </w:rPr>
            </w:pPr>
          </w:p>
        </w:tc>
        <w:tc>
          <w:tcPr>
            <w:tcW w:w="3686" w:type="dxa"/>
            <w:noWrap w:val="0"/>
            <w:vAlign w:val="center"/>
          </w:tcPr>
          <w:p>
            <w:pPr>
              <w:jc w:val="left"/>
              <w:rPr>
                <w:rFonts w:ascii="Times New Roman" w:hAnsi="Times New Roman"/>
                <w:bCs/>
                <w:color w:val="000000"/>
                <w:szCs w:val="21"/>
              </w:rPr>
            </w:pPr>
            <w:r>
              <w:rPr>
                <w:rFonts w:ascii="Times New Roman" w:hAnsi="Times New Roman"/>
                <w:bCs/>
                <w:color w:val="000000"/>
                <w:szCs w:val="21"/>
              </w:rPr>
              <w:t>冲厕采用非传统水源的用水量占其总用水量的比例不低于50%。</w:t>
            </w:r>
          </w:p>
        </w:tc>
        <w:tc>
          <w:tcPr>
            <w:tcW w:w="1743" w:type="dxa"/>
            <w:noWrap w:val="0"/>
            <w:vAlign w:val="center"/>
          </w:tcPr>
          <w:p>
            <w:pPr>
              <w:jc w:val="center"/>
              <w:rPr>
                <w:rFonts w:ascii="Times New Roman" w:hAnsi="Times New Roman"/>
                <w:bCs/>
                <w:color w:val="000000"/>
                <w:szCs w:val="21"/>
              </w:rPr>
            </w:pPr>
            <w:r>
              <w:rPr>
                <w:rFonts w:ascii="Times New Roman" w:hAnsi="Times New Roman"/>
                <w:bCs/>
                <w:color w:val="000000"/>
                <w:szCs w:val="21"/>
              </w:rPr>
              <w:t>5</w:t>
            </w:r>
          </w:p>
        </w:tc>
        <w:tc>
          <w:tcPr>
            <w:tcW w:w="1531" w:type="dxa"/>
            <w:noWrap w:val="0"/>
            <w:vAlign w:val="center"/>
          </w:tcPr>
          <w:p>
            <w:pPr>
              <w:jc w:val="center"/>
              <w:rPr>
                <w:rFonts w:ascii="Times New Roman" w:hAnsi="Times New Roman"/>
                <w:bCs/>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jc w:val="center"/>
        </w:trPr>
        <w:tc>
          <w:tcPr>
            <w:tcW w:w="709" w:type="dxa"/>
            <w:vMerge w:val="restart"/>
            <w:noWrap w:val="0"/>
            <w:vAlign w:val="center"/>
          </w:tcPr>
          <w:p>
            <w:pPr>
              <w:jc w:val="center"/>
              <w:rPr>
                <w:rFonts w:ascii="Times New Roman" w:hAnsi="Times New Roman"/>
                <w:bCs/>
                <w:color w:val="000000"/>
                <w:szCs w:val="21"/>
              </w:rPr>
            </w:pPr>
            <w:r>
              <w:rPr>
                <w:rFonts w:ascii="Times New Roman" w:hAnsi="Times New Roman"/>
                <w:bCs/>
                <w:color w:val="000000"/>
                <w:szCs w:val="21"/>
              </w:rPr>
              <w:t>3</w:t>
            </w:r>
          </w:p>
        </w:tc>
        <w:tc>
          <w:tcPr>
            <w:tcW w:w="1342" w:type="dxa"/>
            <w:vMerge w:val="restart"/>
            <w:noWrap w:val="0"/>
            <w:vAlign w:val="center"/>
          </w:tcPr>
          <w:p>
            <w:pPr>
              <w:jc w:val="center"/>
              <w:rPr>
                <w:rFonts w:ascii="Times New Roman" w:hAnsi="Times New Roman"/>
                <w:bCs/>
                <w:color w:val="000000"/>
                <w:szCs w:val="21"/>
              </w:rPr>
            </w:pPr>
            <w:r>
              <w:rPr>
                <w:rFonts w:ascii="Times New Roman" w:hAnsi="Times New Roman"/>
                <w:bCs/>
                <w:color w:val="000000"/>
                <w:szCs w:val="21"/>
              </w:rPr>
              <w:t>冷却水补水</w:t>
            </w:r>
          </w:p>
        </w:tc>
        <w:tc>
          <w:tcPr>
            <w:tcW w:w="3686" w:type="dxa"/>
            <w:noWrap w:val="0"/>
            <w:vAlign w:val="center"/>
          </w:tcPr>
          <w:p>
            <w:pPr>
              <w:jc w:val="left"/>
              <w:rPr>
                <w:rFonts w:ascii="Times New Roman" w:hAnsi="Times New Roman"/>
                <w:bCs/>
                <w:color w:val="000000"/>
                <w:szCs w:val="21"/>
              </w:rPr>
            </w:pPr>
            <w:r>
              <w:rPr>
                <w:rFonts w:ascii="Times New Roman" w:hAnsi="Times New Roman"/>
                <w:bCs/>
                <w:lang w:val="zh-CN"/>
              </w:rPr>
              <w:t>冷却水补水采用非传统水源的用水量占其总用水量的比例不低于20%。</w:t>
            </w:r>
          </w:p>
        </w:tc>
        <w:tc>
          <w:tcPr>
            <w:tcW w:w="1743" w:type="dxa"/>
            <w:noWrap w:val="0"/>
            <w:vAlign w:val="center"/>
          </w:tcPr>
          <w:p>
            <w:pPr>
              <w:jc w:val="center"/>
              <w:rPr>
                <w:rFonts w:ascii="Times New Roman" w:hAnsi="Times New Roman"/>
                <w:bCs/>
                <w:color w:val="000000"/>
                <w:szCs w:val="21"/>
              </w:rPr>
            </w:pPr>
            <w:r>
              <w:rPr>
                <w:rFonts w:ascii="Times New Roman" w:hAnsi="Times New Roman"/>
                <w:bCs/>
                <w:color w:val="000000"/>
                <w:szCs w:val="21"/>
              </w:rPr>
              <w:t>3</w:t>
            </w:r>
          </w:p>
        </w:tc>
        <w:tc>
          <w:tcPr>
            <w:tcW w:w="1531" w:type="dxa"/>
            <w:noWrap w:val="0"/>
            <w:vAlign w:val="center"/>
          </w:tcPr>
          <w:p>
            <w:pPr>
              <w:jc w:val="center"/>
              <w:rPr>
                <w:rFonts w:ascii="Times New Roman" w:hAnsi="Times New Roman"/>
                <w:bCs/>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jc w:val="center"/>
        </w:trPr>
        <w:tc>
          <w:tcPr>
            <w:tcW w:w="709" w:type="dxa"/>
            <w:vMerge w:val="continue"/>
            <w:noWrap w:val="0"/>
            <w:vAlign w:val="center"/>
          </w:tcPr>
          <w:p>
            <w:pPr>
              <w:jc w:val="center"/>
              <w:rPr>
                <w:rFonts w:ascii="Times New Roman" w:hAnsi="Times New Roman"/>
                <w:bCs/>
                <w:color w:val="000000"/>
                <w:szCs w:val="21"/>
              </w:rPr>
            </w:pPr>
          </w:p>
        </w:tc>
        <w:tc>
          <w:tcPr>
            <w:tcW w:w="1342" w:type="dxa"/>
            <w:vMerge w:val="continue"/>
            <w:noWrap w:val="0"/>
            <w:vAlign w:val="center"/>
          </w:tcPr>
          <w:p>
            <w:pPr>
              <w:jc w:val="center"/>
              <w:rPr>
                <w:rFonts w:ascii="Times New Roman" w:hAnsi="Times New Roman"/>
                <w:bCs/>
                <w:color w:val="000000"/>
                <w:szCs w:val="21"/>
              </w:rPr>
            </w:pPr>
          </w:p>
        </w:tc>
        <w:tc>
          <w:tcPr>
            <w:tcW w:w="3686" w:type="dxa"/>
            <w:noWrap w:val="0"/>
            <w:vAlign w:val="center"/>
          </w:tcPr>
          <w:p>
            <w:pPr>
              <w:jc w:val="left"/>
              <w:rPr>
                <w:rFonts w:ascii="Times New Roman" w:hAnsi="Times New Roman"/>
                <w:bCs/>
                <w:lang w:val="zh-CN"/>
              </w:rPr>
            </w:pPr>
            <w:r>
              <w:rPr>
                <w:rFonts w:ascii="Times New Roman" w:hAnsi="Times New Roman"/>
                <w:bCs/>
                <w:lang w:val="zh-CN"/>
              </w:rPr>
              <w:t>冷却水补水采用非传统水源的用水量占其总用水量的比例不低于40%。</w:t>
            </w:r>
          </w:p>
        </w:tc>
        <w:tc>
          <w:tcPr>
            <w:tcW w:w="1743" w:type="dxa"/>
            <w:noWrap w:val="0"/>
            <w:vAlign w:val="center"/>
          </w:tcPr>
          <w:p>
            <w:pPr>
              <w:jc w:val="center"/>
              <w:rPr>
                <w:rFonts w:ascii="Times New Roman" w:hAnsi="Times New Roman"/>
                <w:bCs/>
                <w:color w:val="000000"/>
                <w:szCs w:val="21"/>
              </w:rPr>
            </w:pPr>
            <w:r>
              <w:rPr>
                <w:rFonts w:ascii="Times New Roman" w:hAnsi="Times New Roman"/>
                <w:bCs/>
                <w:color w:val="000000"/>
                <w:szCs w:val="21"/>
              </w:rPr>
              <w:t>5</w:t>
            </w:r>
          </w:p>
        </w:tc>
        <w:tc>
          <w:tcPr>
            <w:tcW w:w="1531" w:type="dxa"/>
            <w:noWrap w:val="0"/>
            <w:vAlign w:val="center"/>
          </w:tcPr>
          <w:p>
            <w:pPr>
              <w:jc w:val="center"/>
              <w:rPr>
                <w:rFonts w:ascii="Times New Roman" w:hAnsi="Times New Roman"/>
                <w:bCs/>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737" w:type="dxa"/>
            <w:gridSpan w:val="3"/>
            <w:noWrap w:val="0"/>
            <w:vAlign w:val="center"/>
          </w:tcPr>
          <w:p>
            <w:pPr>
              <w:jc w:val="center"/>
              <w:rPr>
                <w:rFonts w:ascii="Times New Roman" w:hAnsi="Times New Roman"/>
                <w:bCs/>
                <w:color w:val="000000"/>
                <w:szCs w:val="21"/>
              </w:rPr>
            </w:pPr>
            <w:r>
              <w:rPr>
                <w:rFonts w:ascii="Times New Roman" w:hAnsi="Times New Roman"/>
                <w:bCs/>
                <w:color w:val="000000"/>
                <w:szCs w:val="21"/>
              </w:rPr>
              <w:t>合计</w:t>
            </w:r>
          </w:p>
        </w:tc>
        <w:tc>
          <w:tcPr>
            <w:tcW w:w="1743" w:type="dxa"/>
            <w:noWrap w:val="0"/>
            <w:vAlign w:val="center"/>
          </w:tcPr>
          <w:p>
            <w:pPr>
              <w:jc w:val="center"/>
              <w:rPr>
                <w:rFonts w:ascii="Times New Roman" w:hAnsi="Times New Roman"/>
                <w:bCs/>
                <w:color w:val="000000"/>
                <w:szCs w:val="21"/>
              </w:rPr>
            </w:pPr>
            <w:r>
              <w:rPr>
                <w:rFonts w:ascii="Times New Roman" w:hAnsi="Times New Roman"/>
                <w:bCs/>
                <w:color w:val="000000"/>
                <w:szCs w:val="21"/>
              </w:rPr>
              <w:t>15</w:t>
            </w:r>
          </w:p>
        </w:tc>
        <w:tc>
          <w:tcPr>
            <w:tcW w:w="1531" w:type="dxa"/>
            <w:noWrap w:val="0"/>
            <w:vAlign w:val="center"/>
          </w:tcPr>
          <w:p>
            <w:pPr>
              <w:jc w:val="center"/>
              <w:rPr>
                <w:rFonts w:ascii="Times New Roman" w:hAnsi="Times New Roman"/>
                <w:bCs/>
                <w:color w:val="000000"/>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ind w:firstLine="420" w:firstLineChars="200"/>
        <w:rPr>
          <w:rFonts w:ascii="Times New Roman" w:hAnsi="Times New Roman"/>
          <w:szCs w:val="21"/>
          <w:u w:val="single"/>
          <w:lang w:val="zh-CN"/>
        </w:rPr>
      </w:pPr>
      <w:r>
        <w:rPr>
          <w:rFonts w:ascii="Times New Roman" w:hAnsi="Times New Roman"/>
          <w:szCs w:val="21"/>
          <w:lang w:val="zh-CN"/>
        </w:rPr>
        <w:t>建筑类型为：</w:t>
      </w:r>
      <w:r>
        <w:rPr>
          <w:rFonts w:hint="eastAsia"/>
          <w:sz w:val="28"/>
        </w:rPr>
        <w:sym w:font="Wingdings 2" w:char="F0A3"/>
      </w:r>
      <w:r>
        <w:rPr>
          <w:rFonts w:ascii="Times New Roman" w:hAnsi="Times New Roman"/>
          <w:szCs w:val="21"/>
          <w:lang w:val="zh-CN"/>
        </w:rPr>
        <w:t>住宅、</w:t>
      </w:r>
      <w:r>
        <w:rPr>
          <w:rFonts w:hint="eastAsia"/>
          <w:sz w:val="28"/>
        </w:rPr>
        <w:sym w:font="Wingdings 2" w:char="F0A3"/>
      </w:r>
      <w:r>
        <w:rPr>
          <w:rFonts w:ascii="Times New Roman" w:hAnsi="Times New Roman"/>
          <w:szCs w:val="21"/>
          <w:lang w:val="zh-CN"/>
        </w:rPr>
        <w:t>办公楼、</w:t>
      </w:r>
      <w:r>
        <w:rPr>
          <w:rFonts w:hint="eastAsia"/>
          <w:sz w:val="28"/>
        </w:rPr>
        <w:sym w:font="Wingdings 2" w:char="F0A3"/>
      </w:r>
      <w:r>
        <w:rPr>
          <w:rFonts w:ascii="Times New Roman" w:hAnsi="Times New Roman"/>
          <w:szCs w:val="21"/>
          <w:lang w:val="zh-CN"/>
        </w:rPr>
        <w:t>商场、</w:t>
      </w:r>
      <w:r>
        <w:rPr>
          <w:rFonts w:hint="eastAsia"/>
          <w:sz w:val="28"/>
        </w:rPr>
        <w:sym w:font="Wingdings 2" w:char="F0A3"/>
      </w:r>
      <w:r>
        <w:rPr>
          <w:rFonts w:ascii="Times New Roman" w:hAnsi="Times New Roman"/>
          <w:szCs w:val="21"/>
          <w:lang w:val="zh-CN"/>
        </w:rPr>
        <w:t>旅馆类、</w:t>
      </w:r>
      <w:r>
        <w:rPr>
          <w:rFonts w:hint="eastAsia"/>
          <w:sz w:val="28"/>
        </w:rPr>
        <w:sym w:font="Wingdings 2" w:char="F0A3"/>
      </w:r>
      <w:r>
        <w:rPr>
          <w:rFonts w:ascii="Times New Roman" w:hAnsi="Times New Roman"/>
          <w:szCs w:val="21"/>
          <w:lang w:val="zh-CN"/>
        </w:rPr>
        <w:t>其他</w:t>
      </w:r>
      <w:r>
        <w:rPr>
          <w:rFonts w:ascii="Times New Roman" w:hAnsi="Times New Roman"/>
          <w:szCs w:val="21"/>
          <w:u w:val="single"/>
          <w:lang w:val="zh-CN"/>
        </w:rPr>
        <w:t xml:space="preserve"> </w:t>
      </w:r>
      <w:r>
        <w:rPr>
          <w:rFonts w:hint="eastAsia" w:ascii="Times New Roman" w:hAnsi="Times New Roman"/>
          <w:szCs w:val="21"/>
          <w:u w:val="single"/>
          <w:lang w:val="zh-CN"/>
        </w:rPr>
        <w:t xml:space="preserve">         </w:t>
      </w:r>
    </w:p>
    <w:p>
      <w:pPr>
        <w:spacing w:line="288" w:lineRule="auto"/>
        <w:ind w:firstLine="420" w:firstLineChars="200"/>
        <w:rPr>
          <w:rFonts w:ascii="Times New Roman" w:hAnsi="Times New Roman"/>
          <w:szCs w:val="21"/>
        </w:rPr>
      </w:pPr>
      <w:r>
        <w:rPr>
          <w:rFonts w:ascii="Times New Roman" w:hAnsi="Times New Roman"/>
          <w:szCs w:val="21"/>
          <w:lang w:val="zh-CN"/>
        </w:rPr>
        <w:t>非传统水源利用方式：</w:t>
      </w:r>
      <w:r>
        <w:rPr>
          <w:rFonts w:hint="eastAsia"/>
          <w:sz w:val="28"/>
        </w:rPr>
        <w:sym w:font="Wingdings 2" w:char="F0A3"/>
      </w:r>
      <w:r>
        <w:rPr>
          <w:rFonts w:ascii="Times New Roman" w:hAnsi="Times New Roman"/>
          <w:szCs w:val="21"/>
          <w:lang w:val="zh-CN"/>
        </w:rPr>
        <w:t>自建中水、</w:t>
      </w:r>
      <w:r>
        <w:rPr>
          <w:rFonts w:hint="eastAsia"/>
          <w:sz w:val="28"/>
        </w:rPr>
        <w:sym w:font="Wingdings 2" w:char="F0A3"/>
      </w:r>
      <w:r>
        <w:rPr>
          <w:rFonts w:ascii="Times New Roman" w:hAnsi="Times New Roman"/>
          <w:szCs w:val="21"/>
        </w:rPr>
        <w:t>市政中水</w:t>
      </w:r>
    </w:p>
    <w:p>
      <w:pPr>
        <w:spacing w:line="288" w:lineRule="auto"/>
        <w:ind w:firstLine="420" w:firstLineChars="200"/>
        <w:rPr>
          <w:rFonts w:ascii="Times New Roman" w:hAnsi="Times New Roman"/>
          <w:szCs w:val="21"/>
        </w:rPr>
      </w:pPr>
      <w:r>
        <w:rPr>
          <w:rFonts w:ascii="Times New Roman" w:hAnsi="Times New Roman"/>
          <w:szCs w:val="21"/>
        </w:rPr>
        <w:t>建筑可回用水量为：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/d），非传统水源实际利用量为：</w:t>
      </w:r>
      <w:r>
        <w:rPr>
          <w:rFonts w:ascii="Times New Roman" w:hAnsi="Times New Roman"/>
          <w:szCs w:val="21"/>
          <w:u w:val="single"/>
          <w:lang w:val="zh-CN"/>
        </w:rPr>
        <w:t xml:space="preserve"> </w:t>
      </w:r>
      <w:r>
        <w:rPr>
          <w:rFonts w:hint="eastAsia" w:ascii="Times New Roman" w:hAnsi="Times New Roman"/>
          <w:szCs w:val="21"/>
          <w:u w:val="single"/>
          <w:lang w:val="zh-CN"/>
        </w:rPr>
        <w:t xml:space="preserve">       </w:t>
      </w:r>
      <w:r>
        <w:rPr>
          <w:rFonts w:ascii="Times New Roman" w:hAnsi="Times New Roman"/>
          <w:szCs w:val="21"/>
          <w:u w:val="single"/>
          <w:lang w:val="zh-CN"/>
        </w:rPr>
        <w:t xml:space="preserve"> </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w:t>
      </w:r>
    </w:p>
    <w:p>
      <w:pPr>
        <w:pStyle w:val="10"/>
        <w:ind w:left="420" w:firstLine="0" w:firstLineChars="0"/>
        <w:rPr>
          <w:bCs/>
          <w:szCs w:val="21"/>
        </w:rPr>
      </w:pPr>
      <w:r>
        <w:rPr>
          <w:bCs/>
          <w:szCs w:val="21"/>
        </w:rPr>
        <w:t>非传统水源利用情况：</w:t>
      </w:r>
    </w:p>
    <w:tbl>
      <w:tblPr>
        <w:tblStyle w:val="7"/>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268"/>
        <w:gridCol w:w="255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用途</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总用水量</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非传统水源利用量</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宋体" w:hAnsi="宋体"/>
                <w:szCs w:val="21"/>
              </w:rPr>
              <w:t>非传统水源利用率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44"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44"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44"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44"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288" w:lineRule="auto"/>
              <w:jc w:val="center"/>
              <w:rPr>
                <w:rFonts w:ascii="宋体" w:hAnsi="宋体"/>
                <w:szCs w:val="21"/>
              </w:rPr>
            </w:pPr>
            <w:r>
              <w:rPr>
                <w:rFonts w:hint="eastAsia" w:ascii="Times New Roman" w:hAnsi="Times New Roman"/>
                <w:szCs w:val="21"/>
              </w:rPr>
              <w:t xml:space="preserve">  </w:t>
            </w:r>
          </w:p>
        </w:tc>
      </w:tr>
    </w:tbl>
    <w:p>
      <w:pPr>
        <w:rPr>
          <w:rFonts w:ascii="Times New Roman" w:hAnsi="Times New Roman"/>
          <w:szCs w:val="21"/>
        </w:rPr>
      </w:pPr>
      <w:r>
        <w:rPr>
          <w:rFonts w:hint="eastAsia"/>
          <w:szCs w:val="21"/>
          <w:lang w:val="zh-CN"/>
        </w:rPr>
        <w:t>请简要说明非传统水源利用方式、用量及所占比例。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小区污水、废水经室外化粪池处理后部分排入本地块中水站,作为中水水源，部分排入西侧、南侧市政污水管网。处理后的中水回用于室外绿化灌溉、道路冲洗、洗车和景观补水等。</w:t>
            </w:r>
          </w:p>
          <w:p>
            <w:pPr>
              <w:ind w:firstLine="400" w:firstLineChars="200"/>
              <w:rPr>
                <w:rFonts w:ascii="Times New Roman" w:hAnsi="Times New Roman"/>
                <w:kern w:val="0"/>
                <w:sz w:val="20"/>
                <w:szCs w:val="21"/>
              </w:rPr>
            </w:pPr>
            <w:r>
              <w:rPr>
                <w:rFonts w:hint="eastAsia" w:ascii="Times New Roman" w:hAnsi="Times New Roman"/>
                <w:kern w:val="0"/>
                <w:sz w:val="20"/>
                <w:szCs w:val="21"/>
              </w:rPr>
              <w:t>本项目设置中水系统，收集废水和雨水，处理后用于绿化浇灌和景观补水。</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1）给排水专业竣工图及设计说明，应包含非传统水源利用工艺流程图及机房详图、非传统水源机房给水系统图；</w:t>
      </w:r>
    </w:p>
    <w:p>
      <w:pPr>
        <w:rPr>
          <w:rFonts w:ascii="Times New Roman" w:hAnsi="Times New Roman"/>
        </w:rPr>
      </w:pPr>
      <w:r>
        <w:rPr>
          <w:rFonts w:hint="eastAsia" w:ascii="Times New Roman" w:hAnsi="Times New Roman"/>
        </w:rPr>
        <w:t>2）非传统水源利用方案及的当地</w:t>
      </w:r>
      <w:r>
        <w:rPr>
          <w:rFonts w:ascii="Times New Roman" w:hAnsi="Times New Roman"/>
        </w:rPr>
        <w:t>相关主管部门的许可</w:t>
      </w:r>
      <w:r>
        <w:rPr>
          <w:rFonts w:hint="eastAsia" w:ascii="Times New Roman" w:hAnsi="Times New Roman"/>
        </w:rPr>
        <w:t>；</w:t>
      </w:r>
    </w:p>
    <w:p>
      <w:pPr>
        <w:rPr>
          <w:rFonts w:ascii="Times New Roman" w:hAnsi="Times New Roman"/>
        </w:rPr>
      </w:pPr>
      <w:r>
        <w:rPr>
          <w:rFonts w:hint="eastAsia" w:ascii="Times New Roman" w:hAnsi="Times New Roman"/>
        </w:rPr>
        <w:t>3）非传统水源利用率计算书，</w:t>
      </w:r>
      <w:r>
        <w:rPr>
          <w:rFonts w:ascii="Times New Roman" w:hAnsi="Times New Roman"/>
        </w:rPr>
        <w:t>应包含杂用水需要用水量</w:t>
      </w:r>
      <w:r>
        <w:rPr>
          <w:rFonts w:hint="eastAsia" w:ascii="Times New Roman" w:hAnsi="Times New Roman"/>
        </w:rPr>
        <w:t>、</w:t>
      </w:r>
      <w:r>
        <w:rPr>
          <w:rFonts w:ascii="Times New Roman" w:hAnsi="Times New Roman"/>
        </w:rPr>
        <w:t>非传统水源可利用量、设计利用</w:t>
      </w:r>
      <w:r>
        <w:rPr>
          <w:rFonts w:hint="eastAsia" w:ascii="Times New Roman" w:hAnsi="Times New Roman"/>
        </w:rPr>
        <w:t>量</w:t>
      </w:r>
      <w:r>
        <w:rPr>
          <w:rFonts w:ascii="Times New Roman" w:hAnsi="Times New Roman"/>
        </w:rPr>
        <w:t>、补水水源等相关水量估算及水平衡分析</w:t>
      </w:r>
      <w:r>
        <w:rPr>
          <w:rFonts w:hint="eastAsia" w:ascii="Times New Roman" w:hAnsi="Times New Roman"/>
        </w:rPr>
        <w:t>、中水</w:t>
      </w:r>
      <w:r>
        <w:rPr>
          <w:rFonts w:ascii="Times New Roman" w:hAnsi="Times New Roman"/>
        </w:rPr>
        <w:t>用水协议、</w:t>
      </w:r>
      <w:r>
        <w:rPr>
          <w:rFonts w:hint="eastAsia" w:ascii="Times New Roman" w:hAnsi="Times New Roman"/>
        </w:rPr>
        <w:t>已投入使用</w:t>
      </w:r>
      <w:r>
        <w:rPr>
          <w:rFonts w:ascii="Times New Roman" w:hAnsi="Times New Roman"/>
        </w:rPr>
        <w:t>的项目</w:t>
      </w:r>
      <w:r>
        <w:rPr>
          <w:rFonts w:hint="eastAsia" w:ascii="Times New Roman" w:hAnsi="Times New Roman"/>
        </w:rPr>
        <w:t>应提供非传统</w:t>
      </w:r>
      <w:r>
        <w:rPr>
          <w:rFonts w:ascii="Times New Roman" w:hAnsi="Times New Roman"/>
        </w:rPr>
        <w:t>水源用水量记录、非传统水源水质检测报告。</w:t>
      </w:r>
    </w:p>
    <w:p>
      <w:pPr>
        <w:spacing w:line="288" w:lineRule="auto"/>
        <w:rPr>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7.2.1</w:t>
      </w:r>
      <w:r>
        <w:rPr>
          <w:rFonts w:hint="eastAsia"/>
          <w:sz w:val="24"/>
          <w:szCs w:val="40"/>
        </w:rPr>
        <w:t>4 建筑所有区域实施土建工程与装修工程一体化设计及施工。（</w:t>
      </w:r>
      <w:r>
        <w:rPr>
          <w:sz w:val="24"/>
          <w:szCs w:val="40"/>
        </w:rPr>
        <w:t>8</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54"/>
        <w:gridCol w:w="2958"/>
        <w:gridCol w:w="1554"/>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28" w:type="dxa"/>
            <w:vMerge w:val="restart"/>
            <w:shd w:val="clear" w:color="auto" w:fill="auto"/>
            <w:noWrap w:val="0"/>
            <w:vAlign w:val="center"/>
          </w:tcPr>
          <w:p>
            <w:pPr>
              <w:spacing w:line="288" w:lineRule="auto"/>
              <w:jc w:val="center"/>
              <w:rPr>
                <w:rFonts w:ascii="Times New Roman" w:hAnsi="Times New Roman"/>
                <w:bCs/>
                <w:lang w:val="zh-CN"/>
              </w:rPr>
            </w:pPr>
            <w:r>
              <w:rPr>
                <w:rFonts w:ascii="Times New Roman" w:hAnsi="Times New Roman"/>
                <w:szCs w:val="21"/>
              </w:rPr>
              <w:t>序号</w:t>
            </w:r>
          </w:p>
        </w:tc>
        <w:tc>
          <w:tcPr>
            <w:tcW w:w="4512" w:type="dxa"/>
            <w:gridSpan w:val="2"/>
            <w:shd w:val="clear" w:color="auto" w:fill="auto"/>
            <w:noWrap w:val="0"/>
            <w:vAlign w:val="center"/>
          </w:tcPr>
          <w:p>
            <w:pPr>
              <w:spacing w:line="288" w:lineRule="auto"/>
              <w:jc w:val="center"/>
              <w:rPr>
                <w:rFonts w:ascii="Times New Roman" w:hAnsi="Times New Roman"/>
                <w:bCs/>
                <w:lang w:val="zh-CN"/>
              </w:rPr>
            </w:pPr>
            <w:r>
              <w:rPr>
                <w:rFonts w:ascii="Times New Roman" w:hAnsi="Times New Roman"/>
                <w:szCs w:val="21"/>
              </w:rPr>
              <w:t>评价内容</w:t>
            </w:r>
          </w:p>
        </w:tc>
        <w:tc>
          <w:tcPr>
            <w:tcW w:w="1554" w:type="dxa"/>
            <w:vMerge w:val="restart"/>
            <w:shd w:val="clear" w:color="auto" w:fill="auto"/>
            <w:noWrap w:val="0"/>
            <w:vAlign w:val="center"/>
          </w:tcPr>
          <w:p>
            <w:pPr>
              <w:spacing w:line="288" w:lineRule="auto"/>
              <w:jc w:val="center"/>
              <w:rPr>
                <w:rFonts w:ascii="Times New Roman" w:hAnsi="Times New Roman"/>
                <w:bCs/>
                <w:color w:val="000000"/>
                <w:szCs w:val="21"/>
                <w:lang w:val="zh-CN"/>
              </w:rPr>
            </w:pPr>
            <w:r>
              <w:rPr>
                <w:rFonts w:ascii="Times New Roman" w:hAnsi="Times New Roman"/>
                <w:bCs/>
                <w:color w:val="000000"/>
                <w:szCs w:val="21"/>
                <w:lang w:val="zh-CN"/>
              </w:rPr>
              <w:t>评价分值</w:t>
            </w:r>
          </w:p>
        </w:tc>
        <w:tc>
          <w:tcPr>
            <w:tcW w:w="1402" w:type="dxa"/>
            <w:vMerge w:val="restart"/>
            <w:shd w:val="clear" w:color="auto" w:fill="auto"/>
            <w:noWrap w:val="0"/>
            <w:vAlign w:val="center"/>
          </w:tcPr>
          <w:p>
            <w:pPr>
              <w:spacing w:line="288" w:lineRule="auto"/>
              <w:jc w:val="center"/>
              <w:rPr>
                <w:rFonts w:ascii="Times New Roman" w:hAnsi="Times New Roman"/>
                <w:bCs/>
                <w:color w:val="000000"/>
                <w:szCs w:val="21"/>
                <w:lang w:val="zh-CN"/>
              </w:rPr>
            </w:pPr>
            <w:r>
              <w:rPr>
                <w:rFonts w:ascii="Times New Roman" w:hAnsi="Times New Roman"/>
                <w:bCs/>
                <w:color w:val="000000"/>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28" w:type="dxa"/>
            <w:vMerge w:val="continue"/>
            <w:shd w:val="clear" w:color="auto" w:fill="auto"/>
            <w:noWrap w:val="0"/>
            <w:vAlign w:val="center"/>
          </w:tcPr>
          <w:p>
            <w:pPr>
              <w:spacing w:line="288" w:lineRule="auto"/>
              <w:jc w:val="center"/>
              <w:rPr>
                <w:rFonts w:ascii="Times New Roman" w:hAnsi="Times New Roman"/>
                <w:bCs/>
                <w:lang w:val="zh-CN"/>
              </w:rPr>
            </w:pPr>
          </w:p>
        </w:tc>
        <w:tc>
          <w:tcPr>
            <w:tcW w:w="1554"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建筑类型</w:t>
            </w:r>
          </w:p>
        </w:tc>
        <w:tc>
          <w:tcPr>
            <w:tcW w:w="2958"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实施要求</w:t>
            </w:r>
          </w:p>
        </w:tc>
        <w:tc>
          <w:tcPr>
            <w:tcW w:w="1554" w:type="dxa"/>
            <w:vMerge w:val="continue"/>
            <w:shd w:val="clear" w:color="auto" w:fill="auto"/>
            <w:noWrap w:val="0"/>
            <w:vAlign w:val="center"/>
          </w:tcPr>
          <w:p>
            <w:pPr>
              <w:spacing w:line="288" w:lineRule="auto"/>
              <w:jc w:val="center"/>
              <w:rPr>
                <w:rFonts w:ascii="Times New Roman" w:hAnsi="Times New Roman"/>
                <w:bCs/>
                <w:lang w:val="zh-CN"/>
              </w:rPr>
            </w:pPr>
          </w:p>
        </w:tc>
        <w:tc>
          <w:tcPr>
            <w:tcW w:w="1402" w:type="dxa"/>
            <w:vMerge w:val="continue"/>
            <w:shd w:val="clear" w:color="auto" w:fill="auto"/>
            <w:noWrap w:val="0"/>
            <w:vAlign w:val="center"/>
          </w:tcPr>
          <w:p>
            <w:pPr>
              <w:spacing w:line="288" w:lineRule="auto"/>
              <w:jc w:val="center"/>
              <w:rPr>
                <w:rFonts w:ascii="Times New Roman" w:hAnsi="Times New Roman"/>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28"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1</w:t>
            </w:r>
          </w:p>
        </w:tc>
        <w:tc>
          <w:tcPr>
            <w:tcW w:w="1554"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混合功能</w:t>
            </w:r>
          </w:p>
        </w:tc>
        <w:tc>
          <w:tcPr>
            <w:tcW w:w="2958" w:type="dxa"/>
            <w:shd w:val="clear" w:color="auto" w:fill="auto"/>
            <w:noWrap w:val="0"/>
            <w:vAlign w:val="center"/>
          </w:tcPr>
          <w:p>
            <w:pPr>
              <w:spacing w:line="288" w:lineRule="auto"/>
              <w:jc w:val="left"/>
              <w:rPr>
                <w:rFonts w:ascii="Times New Roman" w:hAnsi="Times New Roman"/>
                <w:bCs/>
                <w:lang w:val="zh-CN"/>
              </w:rPr>
            </w:pPr>
            <w:r>
              <w:rPr>
                <w:rFonts w:ascii="Times New Roman" w:hAnsi="Times New Roman"/>
                <w:bCs/>
                <w:lang w:val="zh-CN"/>
              </w:rPr>
              <w:t>按住宅建筑和公共建筑分别评价，取平均分</w:t>
            </w:r>
          </w:p>
        </w:tc>
        <w:tc>
          <w:tcPr>
            <w:tcW w:w="1554"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8</w:t>
            </w:r>
          </w:p>
        </w:tc>
        <w:tc>
          <w:tcPr>
            <w:tcW w:w="1402"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28"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2</w:t>
            </w:r>
          </w:p>
        </w:tc>
        <w:tc>
          <w:tcPr>
            <w:tcW w:w="1554"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住宅建筑</w:t>
            </w:r>
          </w:p>
        </w:tc>
        <w:tc>
          <w:tcPr>
            <w:tcW w:w="2958" w:type="dxa"/>
            <w:shd w:val="clear" w:color="auto" w:fill="auto"/>
            <w:noWrap w:val="0"/>
            <w:vAlign w:val="center"/>
          </w:tcPr>
          <w:p>
            <w:pPr>
              <w:spacing w:line="288" w:lineRule="auto"/>
              <w:jc w:val="left"/>
              <w:rPr>
                <w:rFonts w:ascii="Times New Roman" w:hAnsi="Times New Roman"/>
                <w:bCs/>
                <w:lang w:val="zh-CN"/>
              </w:rPr>
            </w:pPr>
            <w:r>
              <w:rPr>
                <w:rFonts w:ascii="Times New Roman" w:hAnsi="Times New Roman"/>
                <w:bCs/>
                <w:lang w:val="zh-CN"/>
              </w:rPr>
              <w:t>按实施户数与总户数的比例折算计分</w:t>
            </w:r>
          </w:p>
        </w:tc>
        <w:tc>
          <w:tcPr>
            <w:tcW w:w="1554"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8</w:t>
            </w:r>
          </w:p>
        </w:tc>
        <w:tc>
          <w:tcPr>
            <w:tcW w:w="1402"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28"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3</w:t>
            </w:r>
          </w:p>
        </w:tc>
        <w:tc>
          <w:tcPr>
            <w:tcW w:w="1554"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公共建筑</w:t>
            </w:r>
          </w:p>
        </w:tc>
        <w:tc>
          <w:tcPr>
            <w:tcW w:w="2958" w:type="dxa"/>
            <w:shd w:val="clear" w:color="auto" w:fill="auto"/>
            <w:noWrap w:val="0"/>
            <w:vAlign w:val="center"/>
          </w:tcPr>
          <w:p>
            <w:pPr>
              <w:spacing w:line="288" w:lineRule="auto"/>
              <w:jc w:val="left"/>
              <w:rPr>
                <w:rFonts w:ascii="Times New Roman" w:hAnsi="Times New Roman"/>
                <w:bCs/>
                <w:lang w:val="zh-CN"/>
              </w:rPr>
            </w:pPr>
            <w:r>
              <w:rPr>
                <w:rFonts w:ascii="Times New Roman" w:hAnsi="Times New Roman"/>
                <w:bCs/>
                <w:lang w:val="zh-CN"/>
              </w:rPr>
              <w:t>按实施建筑面积与总建筑面积的比例折算计分</w:t>
            </w:r>
          </w:p>
        </w:tc>
        <w:tc>
          <w:tcPr>
            <w:tcW w:w="1554"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8</w:t>
            </w:r>
          </w:p>
        </w:tc>
        <w:tc>
          <w:tcPr>
            <w:tcW w:w="1402"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340" w:type="dxa"/>
            <w:gridSpan w:val="3"/>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color w:val="000000"/>
                <w:szCs w:val="21"/>
              </w:rPr>
              <w:t>合计</w:t>
            </w:r>
          </w:p>
        </w:tc>
        <w:tc>
          <w:tcPr>
            <w:tcW w:w="1554"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8</w:t>
            </w:r>
          </w:p>
        </w:tc>
        <w:tc>
          <w:tcPr>
            <w:tcW w:w="1402"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bl>
    <w:p>
      <w:pPr>
        <w:rPr>
          <w:rFonts w:ascii="Times New Roman" w:hAnsi="Times New Roman"/>
          <w:b/>
          <w:szCs w:val="21"/>
        </w:rPr>
      </w:pPr>
      <w:r>
        <w:rPr>
          <w:rFonts w:ascii="Times New Roman" w:hAnsi="Times New Roman"/>
          <w:b/>
          <w:szCs w:val="21"/>
        </w:rPr>
        <w:t>2 评价要点</w:t>
      </w:r>
    </w:p>
    <w:p>
      <w:pPr>
        <w:spacing w:line="288" w:lineRule="auto"/>
        <w:rPr>
          <w:rFonts w:ascii="Times New Roman" w:hAnsi="Times New Roman"/>
        </w:rPr>
      </w:pPr>
      <w:r>
        <w:rPr>
          <w:rFonts w:ascii="Times New Roman" w:hAnsi="Times New Roman"/>
        </w:rPr>
        <w:t>1）住宅总户数</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，实施土建与装修一体化设计施工的户数</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，装修比例</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spacing w:line="288" w:lineRule="auto"/>
        <w:rPr>
          <w:rFonts w:ascii="Times New Roman" w:hAnsi="Times New Roman"/>
        </w:rPr>
      </w:pPr>
      <w:r>
        <w:rPr>
          <w:rFonts w:ascii="Times New Roman" w:hAnsi="Times New Roman"/>
        </w:rPr>
        <w:t>2）公共建筑总建筑面积</w:t>
      </w:r>
      <w:r>
        <w:rPr>
          <w:rFonts w:hint="eastAsia"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，实施土建与装修一体化设计施工的面积</w:t>
      </w:r>
      <w:r>
        <w:rPr>
          <w:rFonts w:hint="eastAsia"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，装修比例</w:t>
      </w:r>
      <w:r>
        <w:rPr>
          <w:rFonts w:hint="eastAsia" w:ascii="Times New Roman" w:hAnsi="Times New Roman"/>
          <w:u w:val="single"/>
        </w:rPr>
        <w:t xml:space="preserve">       </w:t>
      </w:r>
      <w:r>
        <w:rPr>
          <w:rFonts w:ascii="Times New Roman" w:hAnsi="Times New Roman"/>
        </w:rPr>
        <w:t>。</w:t>
      </w:r>
    </w:p>
    <w:p>
      <w:pPr>
        <w:rPr>
          <w:rFonts w:ascii="Times New Roman" w:hAnsi="Times New Roman"/>
          <w:szCs w:val="21"/>
        </w:rPr>
      </w:pPr>
      <w:r>
        <w:rPr>
          <w:rFonts w:hint="eastAsia" w:ascii="宋体" w:hAnsi="宋体" w:cs="宋体"/>
          <w:kern w:val="0"/>
          <w:szCs w:val="21"/>
        </w:rPr>
        <w:t>请简要说明项目土建和装修一体化的设计、施工情况。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78" w:hRule="atLeast"/>
          <w:jc w:val="center"/>
        </w:trPr>
        <w:tc>
          <w:tcPr>
            <w:tcW w:w="9356" w:type="dxa"/>
            <w:shd w:val="clear" w:color="auto" w:fill="auto"/>
            <w:noWrap w:val="0"/>
            <w:vAlign w:val="top"/>
          </w:tcPr>
          <w:p>
            <w:pPr>
              <w:rPr>
                <w:rFonts w:ascii="Times New Roman" w:hAnsi="Times New Roman"/>
                <w:kern w:val="0"/>
                <w:sz w:val="20"/>
                <w:szCs w:val="21"/>
              </w:rPr>
            </w:pPr>
          </w:p>
        </w:tc>
      </w:tr>
    </w:tbl>
    <w:p>
      <w:pPr>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1）土建、</w:t>
      </w:r>
      <w:r>
        <w:rPr>
          <w:rFonts w:ascii="Times New Roman" w:hAnsi="Times New Roman"/>
        </w:rPr>
        <w:t>机电</w:t>
      </w:r>
      <w:r>
        <w:rPr>
          <w:rFonts w:hint="eastAsia" w:ascii="Times New Roman" w:hAnsi="Times New Roman"/>
        </w:rPr>
        <w:t>各</w:t>
      </w:r>
      <w:r>
        <w:rPr>
          <w:rFonts w:ascii="Times New Roman" w:hAnsi="Times New Roman"/>
        </w:rPr>
        <w:t>专业</w:t>
      </w:r>
      <w:r>
        <w:rPr>
          <w:rFonts w:hint="eastAsia" w:ascii="Times New Roman" w:hAnsi="Times New Roman"/>
        </w:rPr>
        <w:t>竣</w:t>
      </w:r>
      <w:r>
        <w:rPr>
          <w:rFonts w:ascii="Times New Roman" w:hAnsi="Times New Roman"/>
        </w:rPr>
        <w:t>工图</w:t>
      </w:r>
      <w:r>
        <w:rPr>
          <w:rFonts w:hint="eastAsia" w:ascii="Times New Roman" w:hAnsi="Times New Roman"/>
        </w:rPr>
        <w:t>及设计说明</w:t>
      </w:r>
      <w:r>
        <w:rPr>
          <w:rFonts w:ascii="Times New Roman" w:hAnsi="Times New Roman"/>
        </w:rPr>
        <w:t>；</w:t>
      </w:r>
    </w:p>
    <w:p>
      <w:pPr>
        <w:rPr>
          <w:rFonts w:ascii="Times New Roman" w:hAnsi="Times New Roman"/>
        </w:rPr>
      </w:pPr>
      <w:r>
        <w:rPr>
          <w:rFonts w:ascii="Times New Roman" w:hAnsi="Times New Roman"/>
        </w:rPr>
        <w:t>2</w:t>
      </w:r>
      <w:r>
        <w:rPr>
          <w:rFonts w:hint="eastAsia" w:ascii="Times New Roman" w:hAnsi="Times New Roman"/>
        </w:rPr>
        <w:t>）装修竣工图及设计说明、材料采购清单、装修施工方案、施工过程控制文件以及验收文件；</w:t>
      </w:r>
    </w:p>
    <w:p>
      <w:pPr>
        <w:rPr>
          <w:rFonts w:ascii="Times New Roman" w:hAnsi="Times New Roman"/>
        </w:rPr>
      </w:pPr>
      <w:r>
        <w:rPr>
          <w:rFonts w:ascii="Times New Roman" w:hAnsi="Times New Roman"/>
        </w:rPr>
        <w:t>3</w:t>
      </w:r>
      <w:r>
        <w:rPr>
          <w:rFonts w:hint="eastAsia" w:ascii="Times New Roman" w:hAnsi="Times New Roman"/>
        </w:rPr>
        <w:t>）装修过程和竣工后的影像文件。</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87"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7.2.1</w:t>
      </w:r>
      <w:r>
        <w:rPr>
          <w:rFonts w:hint="eastAsia"/>
          <w:sz w:val="24"/>
          <w:szCs w:val="40"/>
        </w:rPr>
        <w:t>5合理选用建筑结构材料与构件。（</w:t>
      </w:r>
      <w:r>
        <w:rPr>
          <w:sz w:val="24"/>
          <w:szCs w:val="40"/>
        </w:rPr>
        <w:t>1</w:t>
      </w:r>
      <w:r>
        <w:rPr>
          <w:rFonts w:hint="eastAsia"/>
          <w:sz w:val="24"/>
          <w:szCs w:val="40"/>
        </w:rPr>
        <w:t>0分）</w:t>
      </w:r>
    </w:p>
    <w:p>
      <w:pPr>
        <w:spacing w:before="156" w:beforeLines="50" w:after="156" w:afterLines="50"/>
        <w:rPr>
          <w:rFonts w:ascii="Times New Roman" w:hAnsi="Times New Roman"/>
          <w:b/>
          <w:szCs w:val="21"/>
        </w:rPr>
      </w:pPr>
      <w:r>
        <w:rPr>
          <w:rFonts w:ascii="Times New Roman" w:hAnsi="Times New Roman"/>
          <w:b/>
          <w:szCs w:val="21"/>
        </w:rPr>
        <w:t>1 得分自评</w:t>
      </w:r>
    </w:p>
    <w:p>
      <w:pPr>
        <w:pStyle w:val="12"/>
        <w:numPr>
          <w:ilvl w:val="0"/>
          <w:numId w:val="2"/>
        </w:numPr>
        <w:spacing w:line="288" w:lineRule="auto"/>
        <w:ind w:firstLineChars="0"/>
        <w:rPr>
          <w:b/>
        </w:rPr>
      </w:pPr>
      <w:r>
        <w:rPr>
          <w:rFonts w:hint="eastAsia" w:ascii="宋体" w:hAnsi="宋体"/>
          <w:b/>
          <w:bCs/>
          <w:lang w:val="zh-CN"/>
        </w:rPr>
        <w:t>混凝土</w:t>
      </w:r>
      <w:r>
        <w:rPr>
          <w:rFonts w:ascii="宋体" w:hAnsi="宋体"/>
          <w:b/>
          <w:bCs/>
          <w:lang w:val="zh-CN"/>
        </w:rPr>
        <w:t>结构</w:t>
      </w:r>
    </w:p>
    <w:tbl>
      <w:tblPr>
        <w:tblStyle w:val="7"/>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4252"/>
        <w:gridCol w:w="154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jc w:val="center"/>
        </w:trPr>
        <w:tc>
          <w:tcPr>
            <w:tcW w:w="834"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序号</w:t>
            </w:r>
          </w:p>
        </w:tc>
        <w:tc>
          <w:tcPr>
            <w:tcW w:w="4252"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评价内容</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评价分值</w:t>
            </w:r>
          </w:p>
        </w:tc>
        <w:tc>
          <w:tcPr>
            <w:tcW w:w="1328"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6" w:hRule="atLeast"/>
          <w:jc w:val="center"/>
        </w:trPr>
        <w:tc>
          <w:tcPr>
            <w:tcW w:w="834" w:type="dxa"/>
            <w:shd w:val="clear" w:color="auto" w:fill="auto"/>
            <w:noWrap w:val="0"/>
            <w:vAlign w:val="center"/>
          </w:tcPr>
          <w:p>
            <w:pPr>
              <w:jc w:val="center"/>
              <w:rPr>
                <w:rFonts w:ascii="Times New Roman" w:hAnsi="Times New Roman"/>
                <w:szCs w:val="21"/>
              </w:rPr>
            </w:pPr>
            <w:r>
              <w:rPr>
                <w:rFonts w:ascii="Times New Roman" w:hAnsi="Times New Roman"/>
                <w:szCs w:val="21"/>
              </w:rPr>
              <w:t>1</w:t>
            </w:r>
          </w:p>
        </w:tc>
        <w:tc>
          <w:tcPr>
            <w:tcW w:w="4252" w:type="dxa"/>
            <w:shd w:val="clear" w:color="auto" w:fill="auto"/>
            <w:noWrap w:val="0"/>
            <w:vAlign w:val="center"/>
          </w:tcPr>
          <w:p>
            <w:pPr>
              <w:rPr>
                <w:rFonts w:ascii="Times New Roman" w:hAnsi="Times New Roman"/>
                <w:szCs w:val="21"/>
              </w:rPr>
            </w:pPr>
            <w:bookmarkStart w:id="276" w:name="_Toc9944809"/>
            <w:bookmarkStart w:id="277" w:name="_Toc9945089"/>
            <w:bookmarkStart w:id="278" w:name="_Toc9945233"/>
            <w:bookmarkStart w:id="279" w:name="_Toc9945375"/>
            <w:bookmarkStart w:id="280" w:name="_Toc9945516"/>
            <w:r>
              <w:rPr>
                <w:rFonts w:ascii="Times New Roman" w:hAnsi="Times New Roman"/>
                <w:szCs w:val="21"/>
              </w:rPr>
              <w:t>400MPa级及以上强度等级钢筋应用比例达到85%</w:t>
            </w:r>
            <w:bookmarkEnd w:id="276"/>
            <w:bookmarkEnd w:id="277"/>
            <w:bookmarkEnd w:id="278"/>
            <w:bookmarkEnd w:id="279"/>
            <w:bookmarkEnd w:id="280"/>
          </w:p>
        </w:tc>
        <w:tc>
          <w:tcPr>
            <w:tcW w:w="1545"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5</w:t>
            </w:r>
          </w:p>
        </w:tc>
        <w:tc>
          <w:tcPr>
            <w:tcW w:w="1328" w:type="dxa"/>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834" w:type="dxa"/>
            <w:shd w:val="clear" w:color="auto" w:fill="auto"/>
            <w:noWrap w:val="0"/>
            <w:vAlign w:val="center"/>
          </w:tcPr>
          <w:p>
            <w:pPr>
              <w:jc w:val="center"/>
              <w:rPr>
                <w:rFonts w:ascii="Times New Roman" w:hAnsi="Times New Roman"/>
                <w:szCs w:val="21"/>
              </w:rPr>
            </w:pPr>
            <w:r>
              <w:rPr>
                <w:rFonts w:ascii="Times New Roman" w:hAnsi="Times New Roman"/>
                <w:szCs w:val="21"/>
              </w:rPr>
              <w:t>2</w:t>
            </w:r>
          </w:p>
        </w:tc>
        <w:tc>
          <w:tcPr>
            <w:tcW w:w="4252" w:type="dxa"/>
            <w:shd w:val="clear" w:color="auto" w:fill="auto"/>
            <w:noWrap w:val="0"/>
            <w:vAlign w:val="center"/>
          </w:tcPr>
          <w:p>
            <w:pPr>
              <w:rPr>
                <w:rFonts w:ascii="Times New Roman" w:hAnsi="Times New Roman"/>
                <w:szCs w:val="21"/>
                <w:lang w:val="zh-CN"/>
              </w:rPr>
            </w:pPr>
            <w:r>
              <w:rPr>
                <w:rFonts w:ascii="Times New Roman" w:hAnsi="Times New Roman"/>
                <w:szCs w:val="21"/>
              </w:rPr>
              <w:t>混凝土竖向承重结构采用强度等级不小于C50混凝土用量占竖向承重结构中混凝土总量的比例达到50%</w:t>
            </w:r>
          </w:p>
        </w:tc>
        <w:tc>
          <w:tcPr>
            <w:tcW w:w="1545"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5</w:t>
            </w:r>
          </w:p>
        </w:tc>
        <w:tc>
          <w:tcPr>
            <w:tcW w:w="1328" w:type="dxa"/>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5086" w:type="dxa"/>
            <w:gridSpan w:val="2"/>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45"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328" w:type="dxa"/>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bl>
    <w:p>
      <w:pPr>
        <w:pStyle w:val="12"/>
        <w:numPr>
          <w:ilvl w:val="0"/>
          <w:numId w:val="3"/>
        </w:numPr>
        <w:spacing w:line="288" w:lineRule="auto"/>
        <w:ind w:firstLineChars="0"/>
        <w:rPr>
          <w:b/>
        </w:rPr>
      </w:pPr>
      <w:r>
        <w:rPr>
          <w:rFonts w:hint="eastAsia" w:ascii="宋体" w:hAnsi="宋体"/>
          <w:b/>
          <w:bCs/>
          <w:lang w:val="zh-CN"/>
        </w:rPr>
        <w:t>钢</w:t>
      </w:r>
      <w:r>
        <w:rPr>
          <w:rFonts w:ascii="宋体" w:hAnsi="宋体"/>
          <w:b/>
          <w:bCs/>
          <w:lang w:val="zh-CN"/>
        </w:rPr>
        <w:t>结构</w:t>
      </w:r>
    </w:p>
    <w:tbl>
      <w:tblPr>
        <w:tblStyle w:val="7"/>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4252"/>
        <w:gridCol w:w="154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jc w:val="center"/>
        </w:trPr>
        <w:tc>
          <w:tcPr>
            <w:tcW w:w="834"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序号</w:t>
            </w:r>
          </w:p>
        </w:tc>
        <w:tc>
          <w:tcPr>
            <w:tcW w:w="4252"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评价内容</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评价分值</w:t>
            </w:r>
          </w:p>
        </w:tc>
        <w:tc>
          <w:tcPr>
            <w:tcW w:w="1328"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6" w:hRule="atLeast"/>
          <w:jc w:val="center"/>
        </w:trPr>
        <w:tc>
          <w:tcPr>
            <w:tcW w:w="834" w:type="dxa"/>
            <w:vMerge w:val="restart"/>
            <w:shd w:val="clear" w:color="auto" w:fill="auto"/>
            <w:noWrap w:val="0"/>
            <w:vAlign w:val="center"/>
          </w:tcPr>
          <w:p>
            <w:pPr>
              <w:jc w:val="center"/>
              <w:rPr>
                <w:rFonts w:ascii="Times New Roman" w:hAnsi="Times New Roman"/>
                <w:szCs w:val="21"/>
              </w:rPr>
            </w:pPr>
            <w:r>
              <w:rPr>
                <w:rFonts w:ascii="Times New Roman" w:hAnsi="Times New Roman"/>
                <w:szCs w:val="21"/>
              </w:rPr>
              <w:t>1</w:t>
            </w:r>
          </w:p>
        </w:tc>
        <w:tc>
          <w:tcPr>
            <w:tcW w:w="4252" w:type="dxa"/>
            <w:shd w:val="clear" w:color="auto" w:fill="auto"/>
            <w:noWrap w:val="0"/>
            <w:vAlign w:val="center"/>
          </w:tcPr>
          <w:p>
            <w:pPr>
              <w:rPr>
                <w:rFonts w:ascii="Times New Roman" w:hAnsi="Times New Roman"/>
                <w:szCs w:val="21"/>
              </w:rPr>
            </w:pPr>
            <w:r>
              <w:rPr>
                <w:rFonts w:ascii="Times New Roman" w:hAnsi="Times New Roman"/>
              </w:rPr>
              <w:t>Q345及以上高强钢材用量占钢材总量的比例达到50%</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lang w:val="zh-CN"/>
              </w:rPr>
              <w:t>3</w:t>
            </w:r>
          </w:p>
        </w:tc>
        <w:tc>
          <w:tcPr>
            <w:tcW w:w="1328" w:type="dxa"/>
            <w:vMerge w:val="restart"/>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834" w:type="dxa"/>
            <w:vMerge w:val="continue"/>
            <w:shd w:val="clear" w:color="auto" w:fill="auto"/>
            <w:noWrap w:val="0"/>
            <w:vAlign w:val="center"/>
          </w:tcPr>
          <w:p>
            <w:pPr>
              <w:jc w:val="center"/>
              <w:rPr>
                <w:rFonts w:ascii="Times New Roman" w:hAnsi="Times New Roman"/>
                <w:szCs w:val="21"/>
              </w:rPr>
            </w:pPr>
          </w:p>
        </w:tc>
        <w:tc>
          <w:tcPr>
            <w:tcW w:w="4252" w:type="dxa"/>
            <w:shd w:val="clear" w:color="auto" w:fill="auto"/>
            <w:noWrap w:val="0"/>
            <w:vAlign w:val="center"/>
          </w:tcPr>
          <w:p>
            <w:pPr>
              <w:rPr>
                <w:rFonts w:ascii="Times New Roman" w:hAnsi="Times New Roman"/>
                <w:szCs w:val="21"/>
                <w:lang w:val="zh-CN"/>
              </w:rPr>
            </w:pPr>
            <w:r>
              <w:rPr>
                <w:rFonts w:ascii="Times New Roman" w:hAnsi="Times New Roman"/>
              </w:rPr>
              <w:t>Q345及以上高强钢材用量占钢材总量的比例达到70%</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lang w:val="zh-CN"/>
              </w:rPr>
              <w:t>4</w:t>
            </w:r>
          </w:p>
        </w:tc>
        <w:tc>
          <w:tcPr>
            <w:tcW w:w="1328" w:type="dxa"/>
            <w:vMerge w:val="continue"/>
            <w:shd w:val="clear" w:color="auto" w:fill="auto"/>
            <w:noWrap w:val="0"/>
            <w:vAlign w:val="center"/>
          </w:tcPr>
          <w:p>
            <w:pPr>
              <w:spacing w:line="288" w:lineRule="auto"/>
              <w:jc w:val="center"/>
              <w:rPr>
                <w:rFonts w:ascii="Times New Roman" w:hAnsi="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834" w:type="dxa"/>
            <w:shd w:val="clear" w:color="auto" w:fill="auto"/>
            <w:noWrap w:val="0"/>
            <w:vAlign w:val="center"/>
          </w:tcPr>
          <w:p>
            <w:pPr>
              <w:jc w:val="center"/>
              <w:rPr>
                <w:rFonts w:ascii="Times New Roman" w:hAnsi="Times New Roman"/>
                <w:szCs w:val="21"/>
              </w:rPr>
            </w:pPr>
            <w:r>
              <w:rPr>
                <w:rFonts w:ascii="Times New Roman" w:hAnsi="Times New Roman"/>
                <w:szCs w:val="21"/>
              </w:rPr>
              <w:t>2</w:t>
            </w:r>
          </w:p>
        </w:tc>
        <w:tc>
          <w:tcPr>
            <w:tcW w:w="4252" w:type="dxa"/>
            <w:shd w:val="clear" w:color="auto" w:fill="auto"/>
            <w:noWrap w:val="0"/>
            <w:vAlign w:val="center"/>
          </w:tcPr>
          <w:p>
            <w:pPr>
              <w:rPr>
                <w:rFonts w:ascii="Times New Roman" w:hAnsi="Times New Roman"/>
                <w:szCs w:val="21"/>
              </w:rPr>
            </w:pPr>
            <w:r>
              <w:rPr>
                <w:rFonts w:ascii="Times New Roman" w:hAnsi="Times New Roman"/>
                <w:lang w:val="zh-CN"/>
              </w:rPr>
              <w:t>螺栓连接等非现场焊接节点占现场全部连接、拼接节点的数量比例达到50%</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lang w:val="zh-CN"/>
              </w:rPr>
              <w:t>4</w:t>
            </w:r>
          </w:p>
        </w:tc>
        <w:tc>
          <w:tcPr>
            <w:tcW w:w="1328" w:type="dxa"/>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834" w:type="dxa"/>
            <w:shd w:val="clear" w:color="auto" w:fill="auto"/>
            <w:noWrap w:val="0"/>
            <w:vAlign w:val="center"/>
          </w:tcPr>
          <w:p>
            <w:pPr>
              <w:jc w:val="center"/>
              <w:rPr>
                <w:rFonts w:ascii="Times New Roman" w:hAnsi="Times New Roman"/>
                <w:szCs w:val="21"/>
              </w:rPr>
            </w:pPr>
            <w:r>
              <w:rPr>
                <w:rFonts w:ascii="Times New Roman" w:hAnsi="Times New Roman"/>
                <w:szCs w:val="21"/>
              </w:rPr>
              <w:t>3</w:t>
            </w:r>
          </w:p>
        </w:tc>
        <w:tc>
          <w:tcPr>
            <w:tcW w:w="4252" w:type="dxa"/>
            <w:shd w:val="clear" w:color="auto" w:fill="auto"/>
            <w:noWrap w:val="0"/>
            <w:vAlign w:val="center"/>
          </w:tcPr>
          <w:p>
            <w:pPr>
              <w:rPr>
                <w:rFonts w:ascii="Times New Roman" w:hAnsi="Times New Roman"/>
                <w:szCs w:val="21"/>
              </w:rPr>
            </w:pPr>
            <w:r>
              <w:rPr>
                <w:rFonts w:ascii="Times New Roman" w:hAnsi="Times New Roman"/>
                <w:bCs/>
                <w:lang w:val="zh-CN"/>
              </w:rPr>
              <w:t>采用施工时免支撑的楼层面板</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lang w:val="zh-CN"/>
              </w:rPr>
              <w:t>2</w:t>
            </w:r>
          </w:p>
        </w:tc>
        <w:tc>
          <w:tcPr>
            <w:tcW w:w="1328" w:type="dxa"/>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5086" w:type="dxa"/>
            <w:gridSpan w:val="2"/>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45"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328" w:type="dxa"/>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bl>
    <w:p>
      <w:pPr>
        <w:pStyle w:val="12"/>
        <w:numPr>
          <w:ilvl w:val="0"/>
          <w:numId w:val="3"/>
        </w:numPr>
        <w:spacing w:line="288" w:lineRule="auto"/>
        <w:ind w:firstLineChars="0"/>
        <w:rPr>
          <w:b/>
        </w:rPr>
      </w:pPr>
      <w:r>
        <w:rPr>
          <w:rFonts w:hint="eastAsia" w:ascii="宋体" w:hAnsi="宋体"/>
          <w:b/>
          <w:bCs/>
          <w:lang w:val="zh-CN"/>
        </w:rPr>
        <w:t>混合</w:t>
      </w:r>
      <w:r>
        <w:rPr>
          <w:rFonts w:ascii="宋体" w:hAnsi="宋体"/>
          <w:b/>
          <w:bCs/>
          <w:lang w:val="zh-CN"/>
        </w:rPr>
        <w:t>结构</w:t>
      </w:r>
    </w:p>
    <w:tbl>
      <w:tblPr>
        <w:tblStyle w:val="7"/>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4252"/>
        <w:gridCol w:w="154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jc w:val="center"/>
        </w:trPr>
        <w:tc>
          <w:tcPr>
            <w:tcW w:w="834"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序号</w:t>
            </w:r>
          </w:p>
        </w:tc>
        <w:tc>
          <w:tcPr>
            <w:tcW w:w="4252"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评价内容</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评价分值</w:t>
            </w:r>
          </w:p>
        </w:tc>
        <w:tc>
          <w:tcPr>
            <w:tcW w:w="1328"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6" w:hRule="atLeast"/>
          <w:jc w:val="center"/>
        </w:trPr>
        <w:tc>
          <w:tcPr>
            <w:tcW w:w="834" w:type="dxa"/>
            <w:shd w:val="clear" w:color="auto" w:fill="auto"/>
            <w:noWrap w:val="0"/>
            <w:vAlign w:val="center"/>
          </w:tcPr>
          <w:p>
            <w:pPr>
              <w:jc w:val="center"/>
              <w:rPr>
                <w:rFonts w:ascii="Times New Roman" w:hAnsi="Times New Roman"/>
                <w:szCs w:val="21"/>
              </w:rPr>
            </w:pPr>
            <w:r>
              <w:rPr>
                <w:rFonts w:ascii="Times New Roman" w:hAnsi="Times New Roman"/>
                <w:szCs w:val="21"/>
              </w:rPr>
              <w:t>1</w:t>
            </w:r>
          </w:p>
        </w:tc>
        <w:tc>
          <w:tcPr>
            <w:tcW w:w="4252" w:type="dxa"/>
            <w:shd w:val="clear" w:color="auto" w:fill="auto"/>
            <w:noWrap w:val="0"/>
            <w:vAlign w:val="center"/>
          </w:tcPr>
          <w:p>
            <w:pPr>
              <w:rPr>
                <w:rFonts w:ascii="Times New Roman" w:hAnsi="Times New Roman"/>
                <w:szCs w:val="21"/>
              </w:rPr>
            </w:pPr>
            <w:r>
              <w:rPr>
                <w:rFonts w:ascii="Times New Roman" w:hAnsi="Times New Roman"/>
                <w:bCs/>
                <w:lang w:val="zh-CN"/>
              </w:rPr>
              <w:t>混凝土结构部分</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lang w:val="zh-CN"/>
              </w:rPr>
              <w:t>10</w:t>
            </w:r>
          </w:p>
        </w:tc>
        <w:tc>
          <w:tcPr>
            <w:tcW w:w="1328" w:type="dxa"/>
            <w:shd w:val="clear" w:color="auto" w:fill="auto"/>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834" w:type="dxa"/>
            <w:shd w:val="clear" w:color="auto" w:fill="auto"/>
            <w:noWrap w:val="0"/>
            <w:vAlign w:val="center"/>
          </w:tcPr>
          <w:p>
            <w:pPr>
              <w:jc w:val="center"/>
              <w:rPr>
                <w:rFonts w:ascii="Times New Roman" w:hAnsi="Times New Roman"/>
                <w:szCs w:val="21"/>
              </w:rPr>
            </w:pPr>
            <w:r>
              <w:rPr>
                <w:rFonts w:ascii="Times New Roman" w:hAnsi="Times New Roman"/>
                <w:szCs w:val="21"/>
              </w:rPr>
              <w:t>2</w:t>
            </w:r>
          </w:p>
        </w:tc>
        <w:tc>
          <w:tcPr>
            <w:tcW w:w="4252" w:type="dxa"/>
            <w:shd w:val="clear" w:color="auto" w:fill="auto"/>
            <w:noWrap w:val="0"/>
            <w:vAlign w:val="center"/>
          </w:tcPr>
          <w:p>
            <w:pPr>
              <w:rPr>
                <w:rFonts w:ascii="Times New Roman" w:hAnsi="Times New Roman"/>
                <w:szCs w:val="21"/>
                <w:lang w:val="zh-CN"/>
              </w:rPr>
            </w:pPr>
            <w:r>
              <w:rPr>
                <w:rFonts w:ascii="Times New Roman" w:hAnsi="Times New Roman"/>
                <w:bCs/>
                <w:lang w:val="zh-CN"/>
              </w:rPr>
              <w:t>钢结构部分</w:t>
            </w:r>
          </w:p>
        </w:tc>
        <w:tc>
          <w:tcPr>
            <w:tcW w:w="1545" w:type="dxa"/>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lang w:val="zh-CN"/>
              </w:rPr>
              <w:t>10</w:t>
            </w:r>
          </w:p>
        </w:tc>
        <w:tc>
          <w:tcPr>
            <w:tcW w:w="1328" w:type="dxa"/>
            <w:shd w:val="clear" w:color="auto" w:fill="auto"/>
            <w:noWrap w:val="0"/>
            <w:vAlign w:val="top"/>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5086" w:type="dxa"/>
            <w:gridSpan w:val="2"/>
            <w:shd w:val="clear" w:color="auto" w:fill="auto"/>
            <w:noWrap w:val="0"/>
            <w:vAlign w:val="top"/>
          </w:tcPr>
          <w:p>
            <w:pPr>
              <w:spacing w:line="288" w:lineRule="auto"/>
              <w:jc w:val="center"/>
              <w:rPr>
                <w:rFonts w:ascii="Times New Roman" w:hAnsi="Times New Roman"/>
                <w:bCs/>
                <w:szCs w:val="21"/>
                <w:lang w:val="zh-CN"/>
              </w:rPr>
            </w:pPr>
            <w:r>
              <w:rPr>
                <w:rFonts w:ascii="Times New Roman" w:hAnsi="Times New Roman"/>
                <w:bCs/>
                <w:lang w:val="zh-CN"/>
              </w:rPr>
              <w:t>合计（取平均值）</w:t>
            </w:r>
          </w:p>
        </w:tc>
        <w:tc>
          <w:tcPr>
            <w:tcW w:w="1545"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328" w:type="dxa"/>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rPr>
        <w:t>请简要说明建筑结构材料与构件的选用情况。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line="288" w:lineRule="auto"/>
        <w:rPr>
          <w:b/>
        </w:rPr>
      </w:pPr>
    </w:p>
    <w:p>
      <w:pPr>
        <w:spacing w:line="288" w:lineRule="auto"/>
        <w:rPr>
          <w:b/>
        </w:rPr>
      </w:pP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1）结构竣工图及设计说明；</w:t>
      </w:r>
    </w:p>
    <w:p>
      <w:pPr>
        <w:rPr>
          <w:rFonts w:ascii="Times New Roman" w:hAnsi="Times New Roman"/>
        </w:rPr>
      </w:pPr>
      <w:r>
        <w:rPr>
          <w:rFonts w:hint="eastAsia" w:ascii="Times New Roman" w:hAnsi="Times New Roman"/>
        </w:rPr>
        <w:t>2） 高强钢筋、高强混凝土、高强钢材、螺栓连接点等材料用量比例计算书、材料决算清单；</w:t>
      </w:r>
    </w:p>
    <w:p>
      <w:pPr>
        <w:rPr>
          <w:rFonts w:ascii="Times New Roman" w:hAnsi="Times New Roman"/>
        </w:rPr>
      </w:pPr>
      <w:r>
        <w:rPr>
          <w:rFonts w:hint="eastAsia" w:ascii="Times New Roman" w:hAnsi="Times New Roman"/>
        </w:rPr>
        <w:t>3）与免支撑的楼板相关的施工记录文件。</w:t>
      </w:r>
    </w:p>
    <w:p>
      <w:pPr>
        <w:rPr>
          <w:rFonts w:ascii="Times New Roman" w:hAnsi="Times New Roman"/>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7.2.1</w:t>
      </w:r>
      <w:r>
        <w:rPr>
          <w:rFonts w:hint="eastAsia"/>
          <w:sz w:val="24"/>
          <w:szCs w:val="40"/>
        </w:rPr>
        <w:t>6 建筑装修选用工业化内装部品。（</w:t>
      </w:r>
      <w:r>
        <w:rPr>
          <w:sz w:val="24"/>
          <w:szCs w:val="40"/>
        </w:rPr>
        <w:t>8</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7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4394"/>
        <w:gridCol w:w="155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81" w:type="dxa"/>
            <w:shd w:val="clear" w:color="auto" w:fill="auto"/>
            <w:noWrap w:val="0"/>
            <w:vAlign w:val="center"/>
          </w:tcPr>
          <w:p>
            <w:pPr>
              <w:spacing w:line="288" w:lineRule="auto"/>
              <w:jc w:val="center"/>
              <w:rPr>
                <w:rFonts w:ascii="Times New Roman" w:hAnsi="Times New Roman"/>
                <w:b/>
                <w:bCs/>
                <w:lang w:val="zh-CN"/>
              </w:rPr>
            </w:pPr>
            <w:r>
              <w:rPr>
                <w:rFonts w:ascii="Times New Roman" w:hAnsi="Times New Roman"/>
                <w:szCs w:val="21"/>
              </w:rPr>
              <w:t>序号</w:t>
            </w:r>
          </w:p>
        </w:tc>
        <w:tc>
          <w:tcPr>
            <w:tcW w:w="4394" w:type="dxa"/>
            <w:shd w:val="clear" w:color="auto" w:fill="auto"/>
            <w:noWrap w:val="0"/>
            <w:vAlign w:val="center"/>
          </w:tcPr>
          <w:p>
            <w:pPr>
              <w:spacing w:line="288" w:lineRule="auto"/>
              <w:jc w:val="center"/>
              <w:rPr>
                <w:rFonts w:ascii="Times New Roman" w:hAnsi="Times New Roman"/>
                <w:b/>
                <w:bCs/>
                <w:lang w:val="zh-CN"/>
              </w:rPr>
            </w:pPr>
            <w:r>
              <w:rPr>
                <w:rFonts w:ascii="Times New Roman" w:hAnsi="Times New Roman"/>
                <w:szCs w:val="21"/>
              </w:rPr>
              <w:t>评价内容</w:t>
            </w:r>
          </w:p>
        </w:tc>
        <w:tc>
          <w:tcPr>
            <w:tcW w:w="1559" w:type="dxa"/>
            <w:shd w:val="clear" w:color="auto" w:fill="auto"/>
            <w:noWrap w:val="0"/>
            <w:vAlign w:val="center"/>
          </w:tcPr>
          <w:p>
            <w:pPr>
              <w:spacing w:line="288" w:lineRule="auto"/>
              <w:jc w:val="center"/>
              <w:rPr>
                <w:rFonts w:ascii="Times New Roman" w:hAnsi="Times New Roman"/>
                <w:b/>
                <w:bCs/>
                <w:lang w:val="zh-CN"/>
              </w:rPr>
            </w:pPr>
            <w:r>
              <w:rPr>
                <w:rFonts w:ascii="Times New Roman" w:hAnsi="Times New Roman"/>
                <w:szCs w:val="21"/>
              </w:rPr>
              <w:t>评价分值</w:t>
            </w:r>
          </w:p>
        </w:tc>
        <w:tc>
          <w:tcPr>
            <w:tcW w:w="1331" w:type="dxa"/>
            <w:shd w:val="clear" w:color="auto" w:fill="auto"/>
            <w:noWrap w:val="0"/>
            <w:vAlign w:val="center"/>
          </w:tcPr>
          <w:p>
            <w:pPr>
              <w:spacing w:line="288" w:lineRule="auto"/>
              <w:jc w:val="center"/>
              <w:rPr>
                <w:rFonts w:ascii="Times New Roman" w:hAnsi="Times New Roman"/>
                <w:b/>
                <w:bCs/>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36" w:hRule="atLeast"/>
          <w:jc w:val="center"/>
        </w:trPr>
        <w:tc>
          <w:tcPr>
            <w:tcW w:w="681" w:type="dxa"/>
            <w:shd w:val="clear" w:color="auto" w:fill="auto"/>
            <w:noWrap w:val="0"/>
            <w:vAlign w:val="center"/>
          </w:tcPr>
          <w:p>
            <w:pPr>
              <w:jc w:val="center"/>
              <w:rPr>
                <w:rFonts w:ascii="Times New Roman" w:hAnsi="Times New Roman"/>
                <w:szCs w:val="21"/>
              </w:rPr>
            </w:pPr>
            <w:r>
              <w:rPr>
                <w:rFonts w:ascii="Times New Roman" w:hAnsi="Times New Roman"/>
                <w:szCs w:val="21"/>
              </w:rPr>
              <w:t>1</w:t>
            </w:r>
          </w:p>
        </w:tc>
        <w:tc>
          <w:tcPr>
            <w:tcW w:w="4394" w:type="dxa"/>
            <w:shd w:val="clear" w:color="auto" w:fill="auto"/>
            <w:noWrap w:val="0"/>
            <w:vAlign w:val="center"/>
          </w:tcPr>
          <w:p>
            <w:pPr>
              <w:jc w:val="left"/>
              <w:rPr>
                <w:rFonts w:ascii="Times New Roman" w:hAnsi="Times New Roman"/>
                <w:kern w:val="0"/>
                <w:szCs w:val="21"/>
              </w:rPr>
            </w:pPr>
            <w:r>
              <w:rPr>
                <w:rFonts w:ascii="Times New Roman" w:hAnsi="Times New Roman"/>
                <w:szCs w:val="21"/>
              </w:rPr>
              <w:t>建筑装修选用工业化内装部品占同类部品用量比例达到50%以上的部品种类，达到1种，得3分；达到3种，得5分；达到3种以上，得8分：</w:t>
            </w:r>
          </w:p>
          <w:p>
            <w:pPr>
              <w:jc w:val="left"/>
              <w:rPr>
                <w:rFonts w:ascii="Times New Roman" w:hAnsi="Times New Roman"/>
                <w:bCs/>
                <w:lang w:val="zh-CN"/>
              </w:rPr>
            </w:pPr>
            <w:r>
              <w:rPr>
                <w:rFonts w:hint="eastAsia"/>
                <w:sz w:val="28"/>
              </w:rPr>
              <w:sym w:font="Wingdings 2" w:char="F0A3"/>
            </w:r>
            <w:r>
              <w:rPr>
                <w:rFonts w:ascii="Times New Roman" w:hAnsi="Times New Roman"/>
                <w:bCs/>
                <w:lang w:val="zh-CN"/>
              </w:rPr>
              <w:t>整体卫浴</w:t>
            </w:r>
          </w:p>
          <w:p>
            <w:pPr>
              <w:jc w:val="left"/>
              <w:rPr>
                <w:rFonts w:ascii="Times New Roman" w:hAnsi="Times New Roman"/>
                <w:bCs/>
                <w:lang w:val="zh-CN"/>
              </w:rPr>
            </w:pPr>
            <w:r>
              <w:rPr>
                <w:rFonts w:hint="eastAsia"/>
                <w:sz w:val="28"/>
              </w:rPr>
              <w:sym w:font="Wingdings 2" w:char="F0A3"/>
            </w:r>
            <w:r>
              <w:rPr>
                <w:rFonts w:ascii="Times New Roman" w:hAnsi="Times New Roman"/>
                <w:bCs/>
                <w:lang w:val="zh-CN"/>
              </w:rPr>
              <w:t>整体厨房</w:t>
            </w:r>
          </w:p>
          <w:p>
            <w:pPr>
              <w:jc w:val="left"/>
              <w:rPr>
                <w:rFonts w:ascii="Times New Roman" w:hAnsi="Times New Roman"/>
                <w:bCs/>
                <w:lang w:val="zh-CN"/>
              </w:rPr>
            </w:pPr>
            <w:r>
              <w:rPr>
                <w:rFonts w:hint="eastAsia"/>
                <w:sz w:val="28"/>
              </w:rPr>
              <w:sym w:font="Wingdings 2" w:char="F0A3"/>
            </w:r>
            <w:r>
              <w:rPr>
                <w:rFonts w:ascii="Times New Roman" w:hAnsi="Times New Roman"/>
                <w:bCs/>
                <w:lang w:val="zh-CN"/>
              </w:rPr>
              <w:t>装配式吊顶</w:t>
            </w:r>
          </w:p>
          <w:p>
            <w:pPr>
              <w:jc w:val="left"/>
              <w:rPr>
                <w:rFonts w:ascii="Times New Roman" w:hAnsi="Times New Roman"/>
                <w:bCs/>
                <w:lang w:val="zh-CN"/>
              </w:rPr>
            </w:pPr>
            <w:r>
              <w:rPr>
                <w:rFonts w:hint="eastAsia"/>
                <w:sz w:val="28"/>
              </w:rPr>
              <w:sym w:font="Wingdings 2" w:char="F0A3"/>
            </w:r>
            <w:r>
              <w:rPr>
                <w:rFonts w:ascii="Times New Roman" w:hAnsi="Times New Roman"/>
                <w:bCs/>
                <w:lang w:val="zh-CN"/>
              </w:rPr>
              <w:t>干式工法地面</w:t>
            </w:r>
          </w:p>
          <w:p>
            <w:pPr>
              <w:jc w:val="left"/>
              <w:rPr>
                <w:rFonts w:ascii="Times New Roman" w:hAnsi="Times New Roman"/>
                <w:bCs/>
                <w:lang w:val="zh-CN"/>
              </w:rPr>
            </w:pPr>
            <w:r>
              <w:rPr>
                <w:rFonts w:hint="eastAsia"/>
                <w:sz w:val="28"/>
              </w:rPr>
              <w:sym w:font="Wingdings 2" w:char="F0A3"/>
            </w:r>
            <w:r>
              <w:rPr>
                <w:rFonts w:ascii="Times New Roman" w:hAnsi="Times New Roman"/>
                <w:bCs/>
                <w:lang w:val="zh-CN"/>
              </w:rPr>
              <w:t>装配式内墙</w:t>
            </w:r>
          </w:p>
          <w:p>
            <w:pPr>
              <w:jc w:val="left"/>
              <w:rPr>
                <w:rFonts w:ascii="Times New Roman" w:hAnsi="Times New Roman"/>
                <w:bCs/>
                <w:lang w:val="zh-CN"/>
              </w:rPr>
            </w:pPr>
            <w:r>
              <w:rPr>
                <w:rFonts w:hint="eastAsia"/>
                <w:sz w:val="28"/>
              </w:rPr>
              <w:sym w:font="Wingdings 2" w:char="F0A3"/>
            </w:r>
            <w:r>
              <w:rPr>
                <w:rFonts w:ascii="Times New Roman" w:hAnsi="Times New Roman"/>
                <w:bCs/>
                <w:lang w:val="zh-CN"/>
              </w:rPr>
              <w:t>管线集成与设备设施</w:t>
            </w:r>
          </w:p>
          <w:p>
            <w:pPr>
              <w:jc w:val="left"/>
              <w:rPr>
                <w:rFonts w:ascii="Times New Roman" w:hAnsi="Times New Roman"/>
                <w:bCs/>
                <w:u w:val="single"/>
              </w:rPr>
            </w:pPr>
            <w:r>
              <w:rPr>
                <w:rFonts w:hint="eastAsia"/>
                <w:sz w:val="28"/>
              </w:rPr>
              <w:sym w:font="Wingdings 2" w:char="F0A3"/>
            </w:r>
            <w:r>
              <w:rPr>
                <w:rFonts w:ascii="Times New Roman" w:hAnsi="Times New Roman"/>
                <w:bCs/>
                <w:lang w:val="zh-CN"/>
              </w:rPr>
              <w:t>其他：</w:t>
            </w:r>
          </w:p>
        </w:tc>
        <w:tc>
          <w:tcPr>
            <w:tcW w:w="1559"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szCs w:val="21"/>
                <w:lang w:val="zh-CN"/>
              </w:rPr>
              <w:t>3~8</w:t>
            </w:r>
          </w:p>
        </w:tc>
        <w:tc>
          <w:tcPr>
            <w:tcW w:w="1331"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075" w:type="dxa"/>
            <w:gridSpan w:val="2"/>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合计</w:t>
            </w:r>
          </w:p>
        </w:tc>
        <w:tc>
          <w:tcPr>
            <w:tcW w:w="1559"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8</w:t>
            </w:r>
          </w:p>
        </w:tc>
        <w:tc>
          <w:tcPr>
            <w:tcW w:w="1331"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cs="宋体"/>
          <w:lang w:val="zh-CN"/>
        </w:rPr>
        <w:t>请简要说明本项目装修采用</w:t>
      </w:r>
      <w:r>
        <w:rPr>
          <w:rFonts w:hint="eastAsia"/>
        </w:rPr>
        <w:t>工业化内装部品</w:t>
      </w:r>
      <w:r>
        <w:rPr>
          <w:rFonts w:hint="eastAsia" w:cs="宋体"/>
          <w:lang w:val="zh-CN"/>
        </w:rPr>
        <w:t>的情况。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1）建筑、装修竣工图及设计说明</w:t>
      </w:r>
      <w:r>
        <w:rPr>
          <w:rFonts w:ascii="Times New Roman" w:hAnsi="Times New Roman"/>
        </w:rPr>
        <w:t>；</w:t>
      </w:r>
    </w:p>
    <w:p>
      <w:pPr>
        <w:rPr>
          <w:rFonts w:ascii="Times New Roman" w:hAnsi="Times New Roman"/>
        </w:rPr>
      </w:pPr>
      <w:r>
        <w:rPr>
          <w:rFonts w:ascii="Times New Roman" w:hAnsi="Times New Roman"/>
        </w:rPr>
        <w:t>2</w:t>
      </w:r>
      <w:r>
        <w:rPr>
          <w:rFonts w:hint="eastAsia" w:ascii="Times New Roman" w:hAnsi="Times New Roman"/>
        </w:rPr>
        <w:t>）工业化内装部品应用情况报告，应包含部品类型、用量及比例计算书。</w:t>
      </w:r>
    </w:p>
    <w:p>
      <w:pPr>
        <w:spacing w:line="288" w:lineRule="auto"/>
        <w:rPr>
          <w:rFonts w:cs="宋体"/>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sz w:val="24"/>
          <w:szCs w:val="40"/>
        </w:rPr>
        <w:t>7.2.17</w:t>
      </w:r>
      <w:r>
        <w:rPr>
          <w:rFonts w:hint="eastAsia"/>
          <w:sz w:val="24"/>
          <w:szCs w:val="40"/>
        </w:rPr>
        <w:t xml:space="preserve"> 选用可再循环材料、可再利用材料及利废建材。（</w:t>
      </w:r>
      <w:r>
        <w:rPr>
          <w:sz w:val="24"/>
          <w:szCs w:val="40"/>
        </w:rPr>
        <w:t>12</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p>
      <w:pPr>
        <w:spacing w:line="288" w:lineRule="auto"/>
      </w:pPr>
      <w:r>
        <w:t>可再循环材料和</w:t>
      </w:r>
      <w:r>
        <w:rPr>
          <w:rFonts w:hint="eastAsia"/>
        </w:rPr>
        <w:t>可再利用</w:t>
      </w:r>
      <w:r>
        <w:t>材料用量比例</w:t>
      </w:r>
    </w:p>
    <w:tbl>
      <w:tblPr>
        <w:tblStyle w:val="7"/>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984"/>
        <w:gridCol w:w="2410"/>
        <w:gridCol w:w="155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30" w:type="dxa"/>
            <w:vMerge w:val="restart"/>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szCs w:val="21"/>
              </w:rPr>
              <w:t>序号</w:t>
            </w:r>
          </w:p>
        </w:tc>
        <w:tc>
          <w:tcPr>
            <w:tcW w:w="4394" w:type="dxa"/>
            <w:gridSpan w:val="2"/>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szCs w:val="21"/>
              </w:rPr>
              <w:t>评价内容</w:t>
            </w:r>
          </w:p>
        </w:tc>
        <w:tc>
          <w:tcPr>
            <w:tcW w:w="1559" w:type="dxa"/>
            <w:vMerge w:val="restart"/>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评价分值</w:t>
            </w:r>
          </w:p>
        </w:tc>
        <w:tc>
          <w:tcPr>
            <w:tcW w:w="1295" w:type="dxa"/>
            <w:vMerge w:val="restart"/>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30" w:type="dxa"/>
            <w:vMerge w:val="continue"/>
            <w:shd w:val="clear" w:color="auto" w:fill="auto"/>
            <w:noWrap w:val="0"/>
            <w:vAlign w:val="center"/>
          </w:tcPr>
          <w:p>
            <w:pPr>
              <w:spacing w:line="288" w:lineRule="auto"/>
              <w:jc w:val="center"/>
              <w:rPr>
                <w:rFonts w:ascii="Times New Roman" w:hAnsi="Times New Roman"/>
                <w:bCs/>
                <w:szCs w:val="21"/>
                <w:lang w:val="zh-CN"/>
              </w:rPr>
            </w:pPr>
          </w:p>
        </w:tc>
        <w:tc>
          <w:tcPr>
            <w:tcW w:w="1984"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建筑类别</w:t>
            </w:r>
          </w:p>
        </w:tc>
        <w:tc>
          <w:tcPr>
            <w:tcW w:w="2410"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评价内容</w:t>
            </w:r>
          </w:p>
        </w:tc>
        <w:tc>
          <w:tcPr>
            <w:tcW w:w="1559" w:type="dxa"/>
            <w:vMerge w:val="continue"/>
            <w:shd w:val="clear" w:color="auto" w:fill="auto"/>
            <w:noWrap w:val="0"/>
            <w:vAlign w:val="center"/>
          </w:tcPr>
          <w:p>
            <w:pPr>
              <w:spacing w:line="288" w:lineRule="auto"/>
              <w:jc w:val="center"/>
              <w:rPr>
                <w:rFonts w:ascii="Times New Roman" w:hAnsi="Times New Roman"/>
                <w:bCs/>
                <w:szCs w:val="21"/>
                <w:lang w:val="zh-CN"/>
              </w:rPr>
            </w:pPr>
          </w:p>
        </w:tc>
        <w:tc>
          <w:tcPr>
            <w:tcW w:w="1295" w:type="dxa"/>
            <w:vMerge w:val="continue"/>
            <w:shd w:val="clear" w:color="auto" w:fill="auto"/>
            <w:noWrap w:val="0"/>
            <w:vAlign w:val="center"/>
          </w:tcPr>
          <w:p>
            <w:pPr>
              <w:spacing w:line="288" w:lineRule="auto"/>
              <w:jc w:val="center"/>
              <w:rPr>
                <w:rFonts w:ascii="Times New Roman" w:hAnsi="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30" w:type="dxa"/>
            <w:vMerge w:val="restart"/>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w:t>
            </w:r>
          </w:p>
        </w:tc>
        <w:tc>
          <w:tcPr>
            <w:tcW w:w="1984" w:type="dxa"/>
            <w:vMerge w:val="restart"/>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住宅建筑</w:t>
            </w:r>
          </w:p>
        </w:tc>
        <w:tc>
          <w:tcPr>
            <w:tcW w:w="2410"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559"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3</w:t>
            </w:r>
          </w:p>
        </w:tc>
        <w:tc>
          <w:tcPr>
            <w:tcW w:w="1295" w:type="dxa"/>
            <w:vMerge w:val="restart"/>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30" w:type="dxa"/>
            <w:vMerge w:val="continue"/>
            <w:shd w:val="clear" w:color="auto" w:fill="auto"/>
            <w:noWrap w:val="0"/>
            <w:vAlign w:val="center"/>
          </w:tcPr>
          <w:p>
            <w:pPr>
              <w:spacing w:line="288" w:lineRule="auto"/>
              <w:jc w:val="center"/>
              <w:rPr>
                <w:rFonts w:ascii="Times New Roman" w:hAnsi="Times New Roman"/>
                <w:bCs/>
                <w:szCs w:val="21"/>
                <w:lang w:val="zh-CN"/>
              </w:rPr>
            </w:pPr>
          </w:p>
        </w:tc>
        <w:tc>
          <w:tcPr>
            <w:tcW w:w="1984" w:type="dxa"/>
            <w:vMerge w:val="continue"/>
            <w:shd w:val="clear" w:color="auto" w:fill="auto"/>
            <w:noWrap w:val="0"/>
            <w:vAlign w:val="center"/>
          </w:tcPr>
          <w:p>
            <w:pPr>
              <w:spacing w:line="288" w:lineRule="auto"/>
              <w:jc w:val="center"/>
              <w:rPr>
                <w:rFonts w:ascii="Times New Roman" w:hAnsi="Times New Roman"/>
                <w:bCs/>
                <w:szCs w:val="21"/>
                <w:lang w:val="zh-CN"/>
              </w:rPr>
            </w:pPr>
          </w:p>
        </w:tc>
        <w:tc>
          <w:tcPr>
            <w:tcW w:w="2410"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559"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95" w:type="dxa"/>
            <w:vMerge w:val="continue"/>
            <w:shd w:val="clear" w:color="auto" w:fill="auto"/>
            <w:noWrap w:val="0"/>
            <w:vAlign w:val="center"/>
          </w:tcPr>
          <w:p>
            <w:pPr>
              <w:spacing w:line="288" w:lineRule="auto"/>
              <w:jc w:val="center"/>
              <w:rPr>
                <w:rFonts w:ascii="Times New Roman" w:hAnsi="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30" w:type="dxa"/>
            <w:vMerge w:val="restart"/>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1984" w:type="dxa"/>
            <w:vMerge w:val="restart"/>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公共建筑</w:t>
            </w:r>
          </w:p>
        </w:tc>
        <w:tc>
          <w:tcPr>
            <w:tcW w:w="2410"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559"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3</w:t>
            </w:r>
          </w:p>
        </w:tc>
        <w:tc>
          <w:tcPr>
            <w:tcW w:w="1295" w:type="dxa"/>
            <w:vMerge w:val="restart"/>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30" w:type="dxa"/>
            <w:vMerge w:val="continue"/>
            <w:shd w:val="clear" w:color="auto" w:fill="auto"/>
            <w:noWrap w:val="0"/>
            <w:vAlign w:val="center"/>
          </w:tcPr>
          <w:p>
            <w:pPr>
              <w:spacing w:line="288" w:lineRule="auto"/>
              <w:jc w:val="center"/>
              <w:rPr>
                <w:rFonts w:ascii="Times New Roman" w:hAnsi="Times New Roman"/>
                <w:bCs/>
                <w:szCs w:val="21"/>
                <w:lang w:val="zh-CN"/>
              </w:rPr>
            </w:pPr>
          </w:p>
        </w:tc>
        <w:tc>
          <w:tcPr>
            <w:tcW w:w="1984" w:type="dxa"/>
            <w:vMerge w:val="continue"/>
            <w:shd w:val="clear" w:color="auto" w:fill="auto"/>
            <w:noWrap w:val="0"/>
            <w:vAlign w:val="center"/>
          </w:tcPr>
          <w:p>
            <w:pPr>
              <w:spacing w:line="288" w:lineRule="auto"/>
              <w:jc w:val="center"/>
              <w:rPr>
                <w:rFonts w:ascii="Times New Roman" w:hAnsi="Times New Roman"/>
                <w:bCs/>
                <w:szCs w:val="21"/>
                <w:lang w:val="zh-CN"/>
              </w:rPr>
            </w:pPr>
          </w:p>
        </w:tc>
        <w:tc>
          <w:tcPr>
            <w:tcW w:w="2410"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15%</w:t>
            </w:r>
          </w:p>
        </w:tc>
        <w:tc>
          <w:tcPr>
            <w:tcW w:w="1559"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95" w:type="dxa"/>
            <w:vMerge w:val="continue"/>
            <w:shd w:val="clear" w:color="auto" w:fill="auto"/>
            <w:noWrap w:val="0"/>
            <w:vAlign w:val="center"/>
          </w:tcPr>
          <w:p>
            <w:pPr>
              <w:spacing w:line="288" w:lineRule="auto"/>
              <w:jc w:val="center"/>
              <w:rPr>
                <w:rFonts w:ascii="Times New Roman" w:hAnsi="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124" w:type="dxa"/>
            <w:gridSpan w:val="3"/>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59"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95" w:type="dxa"/>
            <w:shd w:val="clear" w:color="auto" w:fill="auto"/>
            <w:noWrap w:val="0"/>
            <w:vAlign w:val="center"/>
          </w:tcPr>
          <w:p>
            <w:pPr>
              <w:spacing w:line="288" w:lineRule="auto"/>
              <w:jc w:val="center"/>
              <w:rPr>
                <w:rFonts w:ascii="Times New Roman" w:hAnsi="Times New Roman"/>
                <w:bCs/>
                <w:szCs w:val="21"/>
                <w:lang w:val="zh-CN"/>
              </w:rPr>
            </w:pPr>
            <w:r>
              <w:rPr>
                <w:rFonts w:hint="eastAsia" w:ascii="Times New Roman" w:hAnsi="Times New Roman"/>
                <w:szCs w:val="21"/>
              </w:rPr>
              <w:t xml:space="preserve">  </w:t>
            </w:r>
          </w:p>
        </w:tc>
      </w:tr>
    </w:tbl>
    <w:p>
      <w:pPr>
        <w:spacing w:line="288" w:lineRule="auto"/>
      </w:pPr>
      <w:r>
        <w:rPr>
          <w:rFonts w:hint="eastAsia"/>
        </w:rPr>
        <w:t>利废材料选用</w:t>
      </w:r>
    </w:p>
    <w:tbl>
      <w:tblPr>
        <w:tblStyle w:val="7"/>
        <w:tblW w:w="7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4394"/>
        <w:gridCol w:w="155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81" w:type="dxa"/>
            <w:shd w:val="clear" w:color="auto" w:fill="auto"/>
            <w:noWrap w:val="0"/>
            <w:vAlign w:val="center"/>
          </w:tcPr>
          <w:p>
            <w:pPr>
              <w:spacing w:line="288" w:lineRule="auto"/>
              <w:jc w:val="center"/>
              <w:rPr>
                <w:rFonts w:ascii="Times New Roman" w:hAnsi="Times New Roman"/>
                <w:b/>
                <w:bCs/>
                <w:lang w:val="zh-CN"/>
              </w:rPr>
            </w:pPr>
            <w:r>
              <w:rPr>
                <w:rFonts w:ascii="Times New Roman" w:hAnsi="Times New Roman"/>
                <w:szCs w:val="21"/>
              </w:rPr>
              <w:t>序号</w:t>
            </w:r>
          </w:p>
        </w:tc>
        <w:tc>
          <w:tcPr>
            <w:tcW w:w="4394" w:type="dxa"/>
            <w:shd w:val="clear" w:color="auto" w:fill="auto"/>
            <w:noWrap w:val="0"/>
            <w:vAlign w:val="center"/>
          </w:tcPr>
          <w:p>
            <w:pPr>
              <w:spacing w:line="288" w:lineRule="auto"/>
              <w:jc w:val="center"/>
              <w:rPr>
                <w:rFonts w:ascii="Times New Roman" w:hAnsi="Times New Roman"/>
                <w:b/>
                <w:bCs/>
                <w:lang w:val="zh-CN"/>
              </w:rPr>
            </w:pPr>
            <w:r>
              <w:rPr>
                <w:rFonts w:ascii="Times New Roman" w:hAnsi="Times New Roman"/>
                <w:szCs w:val="21"/>
              </w:rPr>
              <w:t>评价内容</w:t>
            </w:r>
          </w:p>
        </w:tc>
        <w:tc>
          <w:tcPr>
            <w:tcW w:w="1559" w:type="dxa"/>
            <w:shd w:val="clear" w:color="auto" w:fill="auto"/>
            <w:noWrap w:val="0"/>
            <w:vAlign w:val="center"/>
          </w:tcPr>
          <w:p>
            <w:pPr>
              <w:spacing w:line="288" w:lineRule="auto"/>
              <w:jc w:val="center"/>
              <w:rPr>
                <w:rFonts w:ascii="Times New Roman" w:hAnsi="Times New Roman"/>
                <w:b/>
                <w:bCs/>
                <w:lang w:val="zh-CN"/>
              </w:rPr>
            </w:pPr>
            <w:r>
              <w:rPr>
                <w:rFonts w:ascii="Times New Roman" w:hAnsi="Times New Roman"/>
                <w:szCs w:val="21"/>
              </w:rPr>
              <w:t>评价分值</w:t>
            </w:r>
          </w:p>
        </w:tc>
        <w:tc>
          <w:tcPr>
            <w:tcW w:w="1331" w:type="dxa"/>
            <w:shd w:val="clear" w:color="auto" w:fill="auto"/>
            <w:noWrap w:val="0"/>
            <w:vAlign w:val="center"/>
          </w:tcPr>
          <w:p>
            <w:pPr>
              <w:spacing w:line="288" w:lineRule="auto"/>
              <w:jc w:val="center"/>
              <w:rPr>
                <w:rFonts w:ascii="Times New Roman" w:hAnsi="Times New Roman"/>
                <w:b/>
                <w:bCs/>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6" w:hRule="atLeast"/>
          <w:jc w:val="center"/>
        </w:trPr>
        <w:tc>
          <w:tcPr>
            <w:tcW w:w="681" w:type="dxa"/>
            <w:shd w:val="clear" w:color="auto" w:fill="auto"/>
            <w:noWrap w:val="0"/>
            <w:vAlign w:val="center"/>
          </w:tcPr>
          <w:p>
            <w:pPr>
              <w:jc w:val="center"/>
              <w:rPr>
                <w:rFonts w:ascii="Times New Roman" w:hAnsi="Times New Roman"/>
                <w:szCs w:val="21"/>
              </w:rPr>
            </w:pPr>
            <w:r>
              <w:rPr>
                <w:rFonts w:ascii="Times New Roman" w:hAnsi="Times New Roman"/>
                <w:szCs w:val="21"/>
              </w:rPr>
              <w:t>1</w:t>
            </w:r>
          </w:p>
        </w:tc>
        <w:tc>
          <w:tcPr>
            <w:tcW w:w="4394" w:type="dxa"/>
            <w:shd w:val="clear" w:color="auto" w:fill="auto"/>
            <w:noWrap w:val="0"/>
            <w:vAlign w:val="center"/>
          </w:tcPr>
          <w:p>
            <w:pPr>
              <w:jc w:val="left"/>
              <w:rPr>
                <w:rFonts w:ascii="Times New Roman" w:hAnsi="Times New Roman"/>
                <w:bCs/>
                <w:u w:val="single"/>
              </w:rPr>
            </w:pPr>
            <w:r>
              <w:rPr>
                <w:rFonts w:ascii="Times New Roman" w:hAnsi="Times New Roman"/>
                <w:bCs/>
                <w:lang w:val="zh-CN"/>
              </w:rPr>
              <w:t>采用一种</w:t>
            </w:r>
            <w:r>
              <w:rPr>
                <w:rFonts w:ascii="Times New Roman" w:hAnsi="Times New Roman"/>
              </w:rPr>
              <w:t>利废建材，其占同类建材的用量比例不低于50%</w:t>
            </w:r>
          </w:p>
        </w:tc>
        <w:tc>
          <w:tcPr>
            <w:tcW w:w="1559" w:type="dxa"/>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3</w:t>
            </w:r>
          </w:p>
        </w:tc>
        <w:tc>
          <w:tcPr>
            <w:tcW w:w="1331"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7" w:hRule="atLeast"/>
          <w:jc w:val="center"/>
        </w:trPr>
        <w:tc>
          <w:tcPr>
            <w:tcW w:w="681" w:type="dxa"/>
            <w:shd w:val="clear" w:color="auto" w:fill="auto"/>
            <w:noWrap w:val="0"/>
            <w:vAlign w:val="center"/>
          </w:tcPr>
          <w:p>
            <w:pPr>
              <w:jc w:val="center"/>
              <w:rPr>
                <w:rFonts w:ascii="Times New Roman" w:hAnsi="Times New Roman"/>
                <w:szCs w:val="21"/>
              </w:rPr>
            </w:pPr>
            <w:r>
              <w:rPr>
                <w:rFonts w:ascii="Times New Roman" w:hAnsi="Times New Roman"/>
                <w:szCs w:val="21"/>
              </w:rPr>
              <w:t>2</w:t>
            </w:r>
          </w:p>
        </w:tc>
        <w:tc>
          <w:tcPr>
            <w:tcW w:w="4394" w:type="dxa"/>
            <w:shd w:val="clear" w:color="auto" w:fill="auto"/>
            <w:noWrap w:val="0"/>
            <w:vAlign w:val="center"/>
          </w:tcPr>
          <w:p>
            <w:pPr>
              <w:jc w:val="left"/>
              <w:rPr>
                <w:rFonts w:ascii="Times New Roman" w:hAnsi="Times New Roman"/>
                <w:szCs w:val="21"/>
              </w:rPr>
            </w:pPr>
            <w:r>
              <w:rPr>
                <w:rFonts w:ascii="Times New Roman" w:hAnsi="Times New Roman"/>
                <w:bCs/>
                <w:lang w:val="zh-CN"/>
              </w:rPr>
              <w:t>采用二种及以上的</w:t>
            </w:r>
            <w:r>
              <w:rPr>
                <w:rFonts w:ascii="Times New Roman" w:hAnsi="Times New Roman"/>
              </w:rPr>
              <w:t>利废建材，每一种占同类建材的用量比例均不低于30%</w:t>
            </w:r>
          </w:p>
        </w:tc>
        <w:tc>
          <w:tcPr>
            <w:tcW w:w="1559" w:type="dxa"/>
            <w:shd w:val="clear" w:color="auto" w:fill="auto"/>
            <w:noWrap w:val="0"/>
            <w:vAlign w:val="center"/>
          </w:tcPr>
          <w:p>
            <w:pPr>
              <w:spacing w:line="288" w:lineRule="auto"/>
              <w:jc w:val="center"/>
              <w:rPr>
                <w:rFonts w:ascii="Times New Roman" w:hAnsi="Times New Roman"/>
                <w:bCs/>
                <w:szCs w:val="21"/>
                <w:lang w:val="zh-CN"/>
              </w:rPr>
            </w:pPr>
            <w:r>
              <w:rPr>
                <w:rFonts w:ascii="Times New Roman" w:hAnsi="Times New Roman"/>
                <w:bCs/>
                <w:lang w:val="zh-CN"/>
              </w:rPr>
              <w:t>6</w:t>
            </w:r>
          </w:p>
        </w:tc>
        <w:tc>
          <w:tcPr>
            <w:tcW w:w="1331"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075" w:type="dxa"/>
            <w:gridSpan w:val="2"/>
            <w:shd w:val="clear" w:color="auto" w:fill="auto"/>
            <w:noWrap w:val="0"/>
            <w:vAlign w:val="center"/>
          </w:tcPr>
          <w:p>
            <w:pPr>
              <w:spacing w:line="288" w:lineRule="auto"/>
              <w:jc w:val="center"/>
              <w:rPr>
                <w:rFonts w:ascii="Times New Roman" w:hAnsi="Times New Roman"/>
                <w:bCs/>
                <w:lang w:val="zh-CN"/>
              </w:rPr>
            </w:pPr>
            <w:r>
              <w:rPr>
                <w:rFonts w:ascii="Times New Roman" w:hAnsi="Times New Roman"/>
                <w:bCs/>
                <w:lang w:val="zh-CN"/>
              </w:rPr>
              <w:t>合计</w:t>
            </w:r>
          </w:p>
        </w:tc>
        <w:tc>
          <w:tcPr>
            <w:tcW w:w="1559"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bCs/>
                <w:lang w:val="zh-CN"/>
              </w:rPr>
              <w:t>6</w:t>
            </w:r>
          </w:p>
        </w:tc>
        <w:tc>
          <w:tcPr>
            <w:tcW w:w="1331" w:type="dxa"/>
            <w:shd w:val="clear" w:color="auto" w:fill="auto"/>
            <w:noWrap w:val="0"/>
            <w:vAlign w:val="center"/>
          </w:tcPr>
          <w:p>
            <w:pPr>
              <w:spacing w:line="288" w:lineRule="auto"/>
              <w:jc w:val="center"/>
              <w:rPr>
                <w:rFonts w:ascii="Times New Roman" w:hAnsi="Times New Roman"/>
                <w:bCs/>
                <w:lang w:val="zh-CN"/>
              </w:rPr>
            </w:pPr>
            <w:r>
              <w:rPr>
                <w:rFonts w:hint="eastAsia" w:ascii="Times New Roman" w:hAnsi="Times New Roman"/>
                <w:szCs w:val="21"/>
              </w:rPr>
              <w:t xml:space="preserve">  </w:t>
            </w:r>
          </w:p>
        </w:tc>
      </w:tr>
    </w:tbl>
    <w:p>
      <w:pPr>
        <w:spacing w:line="288" w:lineRule="auto"/>
        <w:rPr>
          <w:u w:val="single"/>
        </w:rPr>
      </w:pPr>
      <w:r>
        <w:rPr>
          <w:rFonts w:hint="eastAsia"/>
        </w:rPr>
        <w:t>本条自评总得分：</w:t>
      </w:r>
      <w:r>
        <w:rPr>
          <w:rFonts w:hint="eastAsia"/>
          <w:u w:val="single"/>
        </w:rPr>
        <w:t xml:space="preserve">   </w:t>
      </w:r>
      <w:r>
        <w:rPr>
          <w:rFonts w:hint="eastAsia"/>
        </w:rPr>
        <w:t>。</w:t>
      </w:r>
    </w:p>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rPr>
          <w:rFonts w:ascii="Times New Roman" w:hAnsi="Times New Roman"/>
        </w:rPr>
      </w:pPr>
      <w:r>
        <w:rPr>
          <w:rFonts w:ascii="Times New Roman" w:hAnsi="Times New Roman"/>
        </w:rPr>
        <w:t>1</w:t>
      </w:r>
      <w:r>
        <w:rPr>
          <w:rFonts w:ascii="Times New Roman" w:hAnsi="Times New Roman"/>
          <w:lang w:val="zh-CN"/>
        </w:rPr>
        <w:t>）建筑可循环材料使用重量：</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r>
        <w:rPr>
          <w:rFonts w:ascii="Times New Roman" w:hAnsi="Times New Roman"/>
          <w:lang w:val="zh-CN"/>
        </w:rPr>
        <w:t>吨</w:t>
      </w:r>
      <w:r>
        <w:rPr>
          <w:rFonts w:ascii="Times New Roman" w:hAnsi="Times New Roman"/>
        </w:rPr>
        <w:t>）；</w:t>
      </w:r>
      <w:r>
        <w:rPr>
          <w:rFonts w:ascii="Times New Roman" w:hAnsi="Times New Roman"/>
          <w:lang w:val="zh-CN"/>
        </w:rPr>
        <w:t>建筑可再利用材料使用重量</w:t>
      </w:r>
      <w:r>
        <w:rPr>
          <w:rFonts w:ascii="Times New Roman" w:hAnsi="Times New Roman"/>
        </w:rPr>
        <w:t>：</w:t>
      </w:r>
      <w:r>
        <w:rPr>
          <w:rFonts w:hint="eastAsia" w:ascii="Times New Roman" w:hAnsi="Times New Roman"/>
          <w:u w:val="single"/>
        </w:rPr>
        <w:t xml:space="preserve">     </w:t>
      </w:r>
      <w:r>
        <w:rPr>
          <w:rFonts w:ascii="Times New Roman" w:hAnsi="Times New Roman"/>
        </w:rPr>
        <w:t>（</w:t>
      </w:r>
      <w:r>
        <w:rPr>
          <w:rFonts w:ascii="Times New Roman" w:hAnsi="Times New Roman"/>
          <w:lang w:val="zh-CN"/>
        </w:rPr>
        <w:t>吨</w:t>
      </w:r>
      <w:r>
        <w:rPr>
          <w:rFonts w:ascii="Times New Roman" w:hAnsi="Times New Roman"/>
        </w:rPr>
        <w:t>）；本项目所有建筑材料总重量：</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r>
        <w:rPr>
          <w:rFonts w:ascii="Times New Roman" w:hAnsi="Times New Roman"/>
          <w:lang w:val="zh-CN"/>
        </w:rPr>
        <w:t>吨</w:t>
      </w:r>
      <w:r>
        <w:rPr>
          <w:rFonts w:ascii="Times New Roman" w:hAnsi="Times New Roman"/>
        </w:rPr>
        <w:t>）；可再利用材料和可再循环材料使用重量占所有建筑材料总重量的比例：</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autoSpaceDE w:val="0"/>
        <w:autoSpaceDN w:val="0"/>
        <w:adjustRightInd w:val="0"/>
        <w:jc w:val="left"/>
        <w:rPr>
          <w:rFonts w:ascii="Times New Roman" w:hAnsi="Times New Roman"/>
          <w:lang w:val="zh-CN"/>
        </w:rPr>
      </w:pPr>
      <w:r>
        <w:rPr>
          <w:rFonts w:ascii="Times New Roman" w:hAnsi="Times New Roman"/>
          <w:lang w:val="zh-CN"/>
        </w:rPr>
        <w:t>2）以废弃物为原料生产的建筑材料选用情况：</w:t>
      </w:r>
    </w:p>
    <w:tbl>
      <w:tblPr>
        <w:tblStyle w:val="7"/>
        <w:tblW w:w="4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594"/>
        <w:gridCol w:w="1594"/>
        <w:gridCol w:w="134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1" w:hRule="atLeast"/>
          <w:jc w:val="center"/>
        </w:trPr>
        <w:tc>
          <w:tcPr>
            <w:tcW w:w="818" w:type="pct"/>
            <w:shd w:val="clear" w:color="auto" w:fill="auto"/>
            <w:noWrap w:val="0"/>
            <w:vAlign w:val="center"/>
          </w:tcPr>
          <w:p>
            <w:pPr>
              <w:spacing w:before="120" w:line="400" w:lineRule="exact"/>
              <w:jc w:val="center"/>
              <w:rPr>
                <w:rFonts w:ascii="Times New Roman" w:hAnsi="Times New Roman"/>
                <w:lang w:val="zh-CN"/>
              </w:rPr>
            </w:pPr>
            <w:r>
              <w:rPr>
                <w:rFonts w:hint="eastAsia" w:ascii="Times New Roman" w:hAnsi="Times New Roman"/>
                <w:lang w:val="zh-CN"/>
              </w:rPr>
              <w:t>使用部位</w:t>
            </w:r>
          </w:p>
        </w:tc>
        <w:tc>
          <w:tcPr>
            <w:tcW w:w="1151" w:type="pct"/>
            <w:shd w:val="clear" w:color="auto" w:fill="auto"/>
            <w:noWrap w:val="0"/>
            <w:vAlign w:val="center"/>
          </w:tcPr>
          <w:p>
            <w:pPr>
              <w:spacing w:before="120" w:line="400" w:lineRule="exact"/>
              <w:jc w:val="center"/>
              <w:rPr>
                <w:rFonts w:ascii="Times New Roman" w:hAnsi="Times New Roman"/>
                <w:lang w:val="zh-CN"/>
              </w:rPr>
            </w:pPr>
            <w:r>
              <w:rPr>
                <w:rFonts w:hint="eastAsia" w:ascii="Times New Roman" w:hAnsi="Times New Roman"/>
                <w:lang w:val="zh-CN"/>
              </w:rPr>
              <w:t>材料名称</w:t>
            </w:r>
          </w:p>
        </w:tc>
        <w:tc>
          <w:tcPr>
            <w:tcW w:w="1151" w:type="pct"/>
            <w:shd w:val="clear" w:color="auto" w:fill="auto"/>
            <w:noWrap w:val="0"/>
            <w:vAlign w:val="center"/>
          </w:tcPr>
          <w:p>
            <w:pPr>
              <w:spacing w:before="120" w:line="400" w:lineRule="exact"/>
              <w:jc w:val="center"/>
              <w:rPr>
                <w:rFonts w:ascii="Times New Roman" w:hAnsi="Times New Roman"/>
                <w:lang w:val="zh-CN"/>
              </w:rPr>
            </w:pPr>
            <w:r>
              <w:rPr>
                <w:rFonts w:hint="eastAsia" w:ascii="Times New Roman" w:hAnsi="Times New Roman"/>
                <w:lang w:val="zh-CN"/>
              </w:rPr>
              <w:t>废弃物名称</w:t>
            </w:r>
          </w:p>
        </w:tc>
        <w:tc>
          <w:tcPr>
            <w:tcW w:w="974" w:type="pct"/>
            <w:shd w:val="clear" w:color="auto" w:fill="auto"/>
            <w:noWrap w:val="0"/>
            <w:vAlign w:val="center"/>
          </w:tcPr>
          <w:p>
            <w:pPr>
              <w:spacing w:before="120" w:line="400" w:lineRule="exact"/>
              <w:jc w:val="center"/>
              <w:rPr>
                <w:rFonts w:ascii="Times New Roman" w:hAnsi="Times New Roman"/>
                <w:lang w:val="zh-CN"/>
              </w:rPr>
            </w:pPr>
            <w:r>
              <w:rPr>
                <w:rFonts w:hint="eastAsia" w:ascii="Times New Roman" w:hAnsi="Times New Roman"/>
                <w:lang w:val="zh-CN"/>
              </w:rPr>
              <w:t>用量（kg）</w:t>
            </w:r>
          </w:p>
        </w:tc>
        <w:tc>
          <w:tcPr>
            <w:tcW w:w="905" w:type="pct"/>
            <w:shd w:val="clear" w:color="auto" w:fill="auto"/>
            <w:noWrap w:val="0"/>
            <w:vAlign w:val="center"/>
          </w:tcPr>
          <w:p>
            <w:pPr>
              <w:jc w:val="center"/>
              <w:rPr>
                <w:rFonts w:ascii="Times New Roman" w:hAnsi="Times New Roman"/>
                <w:szCs w:val="21"/>
              </w:rPr>
            </w:pPr>
            <w:r>
              <w:rPr>
                <w:rFonts w:hint="eastAsia" w:ascii="Times New Roman" w:hAnsi="Times New Roman"/>
                <w:szCs w:val="21"/>
              </w:rPr>
              <w:t>占同类建材的比例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 w:hRule="atLeast"/>
          <w:jc w:val="center"/>
        </w:trPr>
        <w:tc>
          <w:tcPr>
            <w:tcW w:w="818"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1151"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1151"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974"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905"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8"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1151"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1151"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974"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905"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8"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1151"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1151"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974"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c>
          <w:tcPr>
            <w:tcW w:w="905" w:type="pct"/>
            <w:shd w:val="clear" w:color="auto" w:fill="auto"/>
            <w:noWrap w:val="0"/>
            <w:vAlign w:val="top"/>
          </w:tcPr>
          <w:p>
            <w:pPr>
              <w:spacing w:before="120" w:line="400" w:lineRule="exact"/>
              <w:jc w:val="cente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hint="eastAsia" w:ascii="Times New Roman" w:hAnsi="Times New Roman"/>
          <w:szCs w:val="21"/>
        </w:rPr>
        <w:t>1）</w:t>
      </w:r>
      <w:r>
        <w:rPr>
          <w:rFonts w:ascii="Times New Roman" w:hAnsi="Times New Roman"/>
          <w:szCs w:val="21"/>
        </w:rPr>
        <w:t>建筑专业的</w:t>
      </w:r>
      <w:r>
        <w:rPr>
          <w:rFonts w:hint="eastAsia" w:ascii="Times New Roman" w:hAnsi="Times New Roman"/>
          <w:szCs w:val="21"/>
        </w:rPr>
        <w:t>竣工图及</w:t>
      </w:r>
      <w:r>
        <w:rPr>
          <w:rFonts w:ascii="Times New Roman" w:hAnsi="Times New Roman"/>
          <w:szCs w:val="21"/>
        </w:rPr>
        <w:t>设计说明</w:t>
      </w:r>
      <w:r>
        <w:rPr>
          <w:rFonts w:hint="eastAsia" w:ascii="Times New Roman" w:hAnsi="Times New Roman"/>
          <w:szCs w:val="21"/>
        </w:rPr>
        <w:t>；</w:t>
      </w:r>
    </w:p>
    <w:p>
      <w:pPr>
        <w:rPr>
          <w:rFonts w:ascii="Times New Roman" w:hAnsi="Times New Roman"/>
        </w:rPr>
      </w:pPr>
      <w:r>
        <w:rPr>
          <w:rFonts w:ascii="Times New Roman" w:hAnsi="Times New Roman"/>
        </w:rPr>
        <w:t>2</w:t>
      </w:r>
      <w:r>
        <w:rPr>
          <w:rFonts w:hint="eastAsia" w:ascii="Times New Roman" w:hAnsi="Times New Roman"/>
        </w:rPr>
        <w:t>）工程材料决算清单；</w:t>
      </w:r>
    </w:p>
    <w:p>
      <w:pPr>
        <w:rPr>
          <w:rFonts w:ascii="Times New Roman" w:hAnsi="Times New Roman"/>
        </w:rPr>
      </w:pPr>
      <w:r>
        <w:rPr>
          <w:rFonts w:ascii="Times New Roman" w:hAnsi="Times New Roman"/>
        </w:rPr>
        <w:t>3</w:t>
      </w:r>
      <w:r>
        <w:rPr>
          <w:rFonts w:hint="eastAsia" w:ascii="Times New Roman" w:hAnsi="Times New Roman"/>
        </w:rPr>
        <w:t>）可再循环材料和可再利用材料用量计算书、利废材料选用计算书、利废材料产品检测报告。</w:t>
      </w:r>
    </w:p>
    <w:p>
      <w:pPr>
        <w:widowControl/>
        <w:jc w:val="left"/>
        <w:rPr>
          <w:rFonts w:ascii="Times New Roman" w:hAnsi="Times New Roman"/>
          <w:szCs w:val="21"/>
        </w:rPr>
      </w:pPr>
      <w:r>
        <w:rPr>
          <w:rFonts w:ascii="Times New Roman" w:hAnsi="Times New Roman"/>
          <w:szCs w:val="21"/>
        </w:rPr>
        <w:br w:type="page"/>
      </w: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7.2.18选用</w:t>
      </w:r>
      <w:r>
        <w:rPr>
          <w:sz w:val="24"/>
          <w:szCs w:val="40"/>
        </w:rPr>
        <w:t>绿色建材</w:t>
      </w:r>
      <w:r>
        <w:rPr>
          <w:rFonts w:hint="eastAsia"/>
          <w:sz w:val="24"/>
          <w:szCs w:val="40"/>
        </w:rPr>
        <w:t>。（</w:t>
      </w:r>
      <w:r>
        <w:rPr>
          <w:sz w:val="24"/>
          <w:szCs w:val="40"/>
        </w:rPr>
        <w:t>12</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976"/>
        <w:gridCol w:w="184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77" w:type="dxa"/>
            <w:noWrap w:val="0"/>
            <w:vAlign w:val="center"/>
          </w:tcPr>
          <w:p>
            <w:pPr>
              <w:spacing w:line="288" w:lineRule="auto"/>
              <w:jc w:val="center"/>
              <w:rPr>
                <w:b/>
                <w:bCs/>
                <w:lang w:val="zh-CN"/>
              </w:rPr>
            </w:pPr>
            <w:r>
              <w:rPr>
                <w:rFonts w:ascii="Times New Roman" w:hAnsi="Times New Roman"/>
                <w:szCs w:val="21"/>
              </w:rPr>
              <w:t>序号</w:t>
            </w:r>
          </w:p>
        </w:tc>
        <w:tc>
          <w:tcPr>
            <w:tcW w:w="3976" w:type="dxa"/>
            <w:noWrap w:val="0"/>
            <w:vAlign w:val="center"/>
          </w:tcPr>
          <w:p>
            <w:pPr>
              <w:spacing w:line="288" w:lineRule="auto"/>
              <w:jc w:val="center"/>
              <w:rPr>
                <w:b/>
                <w:bCs/>
                <w:lang w:val="zh-CN"/>
              </w:rPr>
            </w:pPr>
            <w:r>
              <w:rPr>
                <w:rFonts w:ascii="Times New Roman" w:hAnsi="Times New Roman"/>
                <w:szCs w:val="21"/>
              </w:rPr>
              <w:t>评价内容</w:t>
            </w:r>
          </w:p>
        </w:tc>
        <w:tc>
          <w:tcPr>
            <w:tcW w:w="1843" w:type="dxa"/>
            <w:noWrap w:val="0"/>
            <w:vAlign w:val="center"/>
          </w:tcPr>
          <w:p>
            <w:pPr>
              <w:spacing w:line="288" w:lineRule="auto"/>
              <w:jc w:val="center"/>
              <w:rPr>
                <w:b/>
                <w:bCs/>
                <w:lang w:val="zh-CN"/>
              </w:rPr>
            </w:pPr>
            <w:r>
              <w:rPr>
                <w:rFonts w:ascii="Times New Roman" w:hAnsi="Times New Roman"/>
                <w:szCs w:val="21"/>
              </w:rPr>
              <w:t>评价分值</w:t>
            </w:r>
          </w:p>
        </w:tc>
        <w:tc>
          <w:tcPr>
            <w:tcW w:w="1410" w:type="dxa"/>
            <w:noWrap w:val="0"/>
            <w:vAlign w:val="center"/>
          </w:tcPr>
          <w:p>
            <w:pPr>
              <w:spacing w:line="288" w:lineRule="auto"/>
              <w:jc w:val="center"/>
              <w:rPr>
                <w:b/>
                <w:bCs/>
                <w:lang w:val="zh-CN"/>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77" w:type="dxa"/>
            <w:noWrap w:val="0"/>
            <w:vAlign w:val="center"/>
          </w:tcPr>
          <w:p>
            <w:pPr>
              <w:spacing w:line="288" w:lineRule="auto"/>
              <w:jc w:val="center"/>
              <w:rPr>
                <w:bCs/>
                <w:lang w:val="zh-CN"/>
              </w:rPr>
            </w:pPr>
            <w:r>
              <w:rPr>
                <w:rFonts w:hint="eastAsia"/>
                <w:bCs/>
                <w:lang w:val="zh-CN"/>
              </w:rPr>
              <w:t>1</w:t>
            </w:r>
          </w:p>
        </w:tc>
        <w:tc>
          <w:tcPr>
            <w:tcW w:w="3976" w:type="dxa"/>
            <w:noWrap w:val="0"/>
            <w:vAlign w:val="center"/>
          </w:tcPr>
          <w:p>
            <w:pPr>
              <w:spacing w:line="288" w:lineRule="auto"/>
              <w:jc w:val="left"/>
              <w:rPr>
                <w:bCs/>
                <w:lang w:val="zh-CN"/>
              </w:rPr>
            </w:pPr>
            <w:r>
              <w:rPr>
                <w:rFonts w:hint="eastAsia"/>
                <w:bCs/>
                <w:lang w:val="zh-CN"/>
              </w:rPr>
              <w:t>绿色建材</w:t>
            </w:r>
            <w:r>
              <w:rPr>
                <w:bCs/>
                <w:lang w:val="zh-CN"/>
              </w:rPr>
              <w:t>应用比例不低于</w:t>
            </w:r>
            <w:r>
              <w:rPr>
                <w:rFonts w:hint="eastAsia"/>
                <w:bCs/>
                <w:lang w:val="zh-CN"/>
              </w:rPr>
              <w:t>30</w:t>
            </w:r>
            <w:r>
              <w:rPr>
                <w:bCs/>
                <w:lang w:val="zh-CN"/>
              </w:rPr>
              <w:t>%</w:t>
            </w:r>
          </w:p>
        </w:tc>
        <w:tc>
          <w:tcPr>
            <w:tcW w:w="1843" w:type="dxa"/>
            <w:noWrap w:val="0"/>
            <w:vAlign w:val="center"/>
          </w:tcPr>
          <w:p>
            <w:pPr>
              <w:spacing w:line="288" w:lineRule="auto"/>
              <w:jc w:val="center"/>
              <w:rPr>
                <w:bCs/>
                <w:lang w:val="zh-CN"/>
              </w:rPr>
            </w:pPr>
            <w:r>
              <w:rPr>
                <w:bCs/>
                <w:lang w:val="zh-CN"/>
              </w:rPr>
              <w:t>4</w:t>
            </w:r>
          </w:p>
        </w:tc>
        <w:tc>
          <w:tcPr>
            <w:tcW w:w="1410" w:type="dxa"/>
            <w:vMerge w:val="restart"/>
            <w:noWrap w:val="0"/>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77" w:type="dxa"/>
            <w:noWrap w:val="0"/>
            <w:vAlign w:val="center"/>
          </w:tcPr>
          <w:p>
            <w:pPr>
              <w:spacing w:line="288" w:lineRule="auto"/>
              <w:jc w:val="center"/>
              <w:rPr>
                <w:bCs/>
                <w:lang w:val="zh-CN"/>
              </w:rPr>
            </w:pPr>
            <w:r>
              <w:rPr>
                <w:rFonts w:hint="eastAsia"/>
                <w:bCs/>
                <w:lang w:val="zh-CN"/>
              </w:rPr>
              <w:t>2</w:t>
            </w:r>
          </w:p>
        </w:tc>
        <w:tc>
          <w:tcPr>
            <w:tcW w:w="3976" w:type="dxa"/>
            <w:noWrap w:val="0"/>
            <w:vAlign w:val="center"/>
          </w:tcPr>
          <w:p>
            <w:pPr>
              <w:spacing w:line="288" w:lineRule="auto"/>
              <w:jc w:val="left"/>
              <w:rPr>
                <w:bCs/>
                <w:lang w:val="zh-CN"/>
              </w:rPr>
            </w:pPr>
            <w:r>
              <w:rPr>
                <w:rFonts w:hint="eastAsia"/>
                <w:bCs/>
                <w:lang w:val="zh-CN"/>
              </w:rPr>
              <w:t>绿色建材</w:t>
            </w:r>
            <w:r>
              <w:rPr>
                <w:bCs/>
                <w:lang w:val="zh-CN"/>
              </w:rPr>
              <w:t>应用比例不低于5</w:t>
            </w:r>
            <w:r>
              <w:rPr>
                <w:rFonts w:hint="eastAsia"/>
                <w:bCs/>
                <w:lang w:val="zh-CN"/>
              </w:rPr>
              <w:t>0</w:t>
            </w:r>
            <w:r>
              <w:rPr>
                <w:bCs/>
                <w:lang w:val="zh-CN"/>
              </w:rPr>
              <w:t>%</w:t>
            </w:r>
          </w:p>
        </w:tc>
        <w:tc>
          <w:tcPr>
            <w:tcW w:w="1843" w:type="dxa"/>
            <w:noWrap w:val="0"/>
            <w:vAlign w:val="center"/>
          </w:tcPr>
          <w:p>
            <w:pPr>
              <w:spacing w:line="288" w:lineRule="auto"/>
              <w:jc w:val="center"/>
              <w:rPr>
                <w:bCs/>
                <w:lang w:val="zh-CN"/>
              </w:rPr>
            </w:pPr>
            <w:r>
              <w:rPr>
                <w:bCs/>
                <w:lang w:val="zh-CN"/>
              </w:rPr>
              <w:t>8</w:t>
            </w:r>
          </w:p>
        </w:tc>
        <w:tc>
          <w:tcPr>
            <w:tcW w:w="1410" w:type="dxa"/>
            <w:vMerge w:val="continue"/>
            <w:noWrap w:val="0"/>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77" w:type="dxa"/>
            <w:noWrap w:val="0"/>
            <w:vAlign w:val="center"/>
          </w:tcPr>
          <w:p>
            <w:pPr>
              <w:spacing w:line="288" w:lineRule="auto"/>
              <w:jc w:val="center"/>
              <w:rPr>
                <w:bCs/>
                <w:lang w:val="zh-CN"/>
              </w:rPr>
            </w:pPr>
            <w:r>
              <w:rPr>
                <w:rFonts w:hint="eastAsia"/>
                <w:bCs/>
                <w:lang w:val="zh-CN"/>
              </w:rPr>
              <w:t>3</w:t>
            </w:r>
          </w:p>
        </w:tc>
        <w:tc>
          <w:tcPr>
            <w:tcW w:w="3976" w:type="dxa"/>
            <w:noWrap w:val="0"/>
            <w:vAlign w:val="center"/>
          </w:tcPr>
          <w:p>
            <w:pPr>
              <w:spacing w:line="288" w:lineRule="auto"/>
              <w:jc w:val="left"/>
              <w:rPr>
                <w:bCs/>
                <w:lang w:val="zh-CN"/>
              </w:rPr>
            </w:pPr>
            <w:r>
              <w:rPr>
                <w:rFonts w:hint="eastAsia"/>
                <w:bCs/>
                <w:lang w:val="zh-CN"/>
              </w:rPr>
              <w:t>绿色建材</w:t>
            </w:r>
            <w:r>
              <w:rPr>
                <w:bCs/>
                <w:lang w:val="zh-CN"/>
              </w:rPr>
              <w:t>应用比例不低于7</w:t>
            </w:r>
            <w:r>
              <w:rPr>
                <w:rFonts w:hint="eastAsia"/>
                <w:bCs/>
                <w:lang w:val="zh-CN"/>
              </w:rPr>
              <w:t>0</w:t>
            </w:r>
            <w:r>
              <w:rPr>
                <w:bCs/>
                <w:lang w:val="zh-CN"/>
              </w:rPr>
              <w:t>%</w:t>
            </w:r>
          </w:p>
        </w:tc>
        <w:tc>
          <w:tcPr>
            <w:tcW w:w="1843" w:type="dxa"/>
            <w:noWrap w:val="0"/>
            <w:vAlign w:val="center"/>
          </w:tcPr>
          <w:p>
            <w:pPr>
              <w:spacing w:line="288" w:lineRule="auto"/>
              <w:jc w:val="center"/>
              <w:rPr>
                <w:bCs/>
                <w:lang w:val="zh-CN"/>
              </w:rPr>
            </w:pPr>
            <w:r>
              <w:rPr>
                <w:bCs/>
                <w:lang w:val="zh-CN"/>
              </w:rPr>
              <w:t>12</w:t>
            </w:r>
          </w:p>
        </w:tc>
        <w:tc>
          <w:tcPr>
            <w:tcW w:w="1410" w:type="dxa"/>
            <w:vMerge w:val="continue"/>
            <w:noWrap w:val="0"/>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153" w:type="dxa"/>
            <w:gridSpan w:val="2"/>
            <w:noWrap w:val="0"/>
            <w:vAlign w:val="center"/>
          </w:tcPr>
          <w:p>
            <w:pPr>
              <w:spacing w:line="288" w:lineRule="auto"/>
              <w:jc w:val="center"/>
              <w:rPr>
                <w:bCs/>
                <w:lang w:val="zh-CN"/>
              </w:rPr>
            </w:pPr>
            <w:r>
              <w:rPr>
                <w:bCs/>
                <w:lang w:val="zh-CN"/>
              </w:rPr>
              <w:t>合计</w:t>
            </w:r>
          </w:p>
        </w:tc>
        <w:tc>
          <w:tcPr>
            <w:tcW w:w="1843" w:type="dxa"/>
            <w:noWrap w:val="0"/>
            <w:vAlign w:val="center"/>
          </w:tcPr>
          <w:p>
            <w:pPr>
              <w:spacing w:line="288" w:lineRule="auto"/>
              <w:jc w:val="center"/>
              <w:rPr>
                <w:bCs/>
                <w:lang w:val="zh-CN"/>
              </w:rPr>
            </w:pPr>
            <w:r>
              <w:rPr>
                <w:bCs/>
                <w:lang w:val="zh-CN"/>
              </w:rPr>
              <w:t>12</w:t>
            </w:r>
          </w:p>
        </w:tc>
        <w:tc>
          <w:tcPr>
            <w:tcW w:w="1410" w:type="dxa"/>
            <w:noWrap w:val="0"/>
            <w:vAlign w:val="center"/>
          </w:tcPr>
          <w:p>
            <w:pPr>
              <w:spacing w:line="288" w:lineRule="auto"/>
              <w:jc w:val="center"/>
              <w:rPr>
                <w:b/>
                <w:bCs/>
                <w:lang w:val="zh-CN"/>
              </w:rPr>
            </w:pP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cs="宋体"/>
          <w:lang w:val="zh-CN"/>
        </w:rPr>
        <w:t>请简要说明本项目</w:t>
      </w:r>
      <w:r>
        <w:t>绿色建材</w:t>
      </w:r>
      <w:r>
        <w:rPr>
          <w:rFonts w:hint="eastAsia"/>
        </w:rPr>
        <w:t>的</w:t>
      </w:r>
      <w:r>
        <w:rPr>
          <w:rFonts w:hint="eastAsia" w:cs="宋体"/>
          <w:lang w:val="zh-CN"/>
        </w:rPr>
        <w:t>应用情况。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hint="eastAsia" w:ascii="Times New Roman" w:hAnsi="Times New Roman"/>
        </w:rPr>
        <w:t>1）建筑、</w:t>
      </w:r>
      <w:r>
        <w:rPr>
          <w:rFonts w:ascii="Times New Roman" w:hAnsi="Times New Roman"/>
        </w:rPr>
        <w:t>土建</w:t>
      </w:r>
      <w:r>
        <w:rPr>
          <w:rFonts w:hint="eastAsia" w:ascii="Times New Roman" w:hAnsi="Times New Roman"/>
        </w:rPr>
        <w:t>、</w:t>
      </w:r>
      <w:r>
        <w:rPr>
          <w:rFonts w:ascii="Times New Roman" w:hAnsi="Times New Roman"/>
        </w:rPr>
        <w:t>装修专业的</w:t>
      </w:r>
      <w:r>
        <w:rPr>
          <w:rFonts w:hint="eastAsia" w:ascii="Times New Roman" w:hAnsi="Times New Roman"/>
        </w:rPr>
        <w:t>竣工图及设计说明、工程决算材料清单；</w:t>
      </w:r>
    </w:p>
    <w:p>
      <w:pPr>
        <w:rPr>
          <w:rFonts w:ascii="Times New Roman" w:hAnsi="Times New Roman"/>
        </w:rPr>
      </w:pPr>
      <w:r>
        <w:rPr>
          <w:rFonts w:hint="eastAsia" w:ascii="Times New Roman" w:hAnsi="Times New Roman"/>
        </w:rPr>
        <w:t>2）绿色建材应用比例计算分析报告、绿色</w:t>
      </w:r>
      <w:r>
        <w:rPr>
          <w:rFonts w:ascii="Times New Roman" w:hAnsi="Times New Roman"/>
        </w:rPr>
        <w:t>建材标识证书、</w:t>
      </w:r>
      <w:r>
        <w:rPr>
          <w:rFonts w:hint="eastAsia" w:ascii="Times New Roman" w:hAnsi="Times New Roman"/>
        </w:rPr>
        <w:t>相关产品性能检测报告；</w:t>
      </w:r>
    </w:p>
    <w:p>
      <w:pPr>
        <w:rPr>
          <w:rFonts w:ascii="Times New Roman" w:hAnsi="Times New Roman"/>
        </w:rPr>
      </w:pPr>
      <w:r>
        <w:rPr>
          <w:rFonts w:hint="eastAsia" w:ascii="Times New Roman" w:hAnsi="Times New Roman"/>
        </w:rPr>
        <w:t>3）施工记录</w:t>
      </w:r>
      <w:r>
        <w:rPr>
          <w:rFonts w:ascii="Times New Roman" w:hAnsi="Times New Roman"/>
        </w:rPr>
        <w:t>文件</w:t>
      </w:r>
      <w:r>
        <w:rPr>
          <w:rFonts w:hint="eastAsia" w:ascii="Times New Roman" w:hAnsi="Times New Roman"/>
        </w:rPr>
        <w:t>。</w:t>
      </w:r>
    </w:p>
    <w:p>
      <w:pPr>
        <w:spacing w:line="288" w:lineRule="auto"/>
        <w:rPr>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jc w:val="center"/>
      </w:pPr>
      <w:r>
        <w:rPr>
          <w:rFonts w:ascii="宋体" w:hAnsi="宋体"/>
          <w:b/>
          <w:bCs/>
          <w:color w:val="000000"/>
          <w:sz w:val="24"/>
          <w:szCs w:val="24"/>
        </w:rPr>
        <w:br w:type="page"/>
      </w:r>
      <w:r>
        <w:rPr>
          <w:rFonts w:hint="eastAsia" w:ascii="宋体" w:hAnsi="宋体"/>
          <w:b/>
          <w:bCs/>
          <w:color w:val="000000"/>
          <w:sz w:val="24"/>
          <w:szCs w:val="24"/>
        </w:rPr>
        <w:t>8 环境宜居</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0"/>
        <w:gridCol w:w="800"/>
        <w:gridCol w:w="5000"/>
        <w:gridCol w:w="80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shd w:val="clear" w:color="auto" w:fill="DCDCDC"/>
            <w:noWrap w:val="0"/>
            <w:vAlign w:val="center"/>
          </w:tcPr>
          <w:p>
            <w:pPr>
              <w:jc w:val="center"/>
            </w:pPr>
            <w:r>
              <w:rPr>
                <w:rFonts w:hint="eastAsia" w:ascii="宋体" w:hAnsi="宋体"/>
                <w:b/>
                <w:bCs/>
                <w:color w:val="000000"/>
                <w:sz w:val="20"/>
                <w:szCs w:val="20"/>
              </w:rPr>
              <w:t>子项</w:t>
            </w:r>
          </w:p>
        </w:tc>
        <w:tc>
          <w:tcPr>
            <w:tcW w:w="800" w:type="dxa"/>
            <w:shd w:val="clear" w:color="auto" w:fill="DCDCDC"/>
            <w:noWrap w:val="0"/>
            <w:vAlign w:val="center"/>
          </w:tcPr>
          <w:p>
            <w:pPr>
              <w:jc w:val="center"/>
            </w:pPr>
            <w:r>
              <w:rPr>
                <w:rFonts w:hint="eastAsia" w:ascii="宋体" w:hAnsi="宋体"/>
                <w:b/>
                <w:bCs/>
                <w:color w:val="000000"/>
                <w:sz w:val="22"/>
              </w:rPr>
              <w:t>条文编号</w:t>
            </w:r>
          </w:p>
        </w:tc>
        <w:tc>
          <w:tcPr>
            <w:tcW w:w="5000" w:type="dxa"/>
            <w:shd w:val="clear" w:color="auto" w:fill="DCDCDC"/>
            <w:noWrap w:val="0"/>
            <w:vAlign w:val="center"/>
          </w:tcPr>
          <w:p>
            <w:pPr>
              <w:jc w:val="center"/>
            </w:pPr>
            <w:r>
              <w:rPr>
                <w:rFonts w:hint="eastAsia" w:ascii="宋体" w:hAnsi="宋体"/>
                <w:b/>
                <w:bCs/>
                <w:color w:val="000000"/>
                <w:sz w:val="20"/>
                <w:szCs w:val="20"/>
              </w:rPr>
              <w:t>条文</w:t>
            </w:r>
          </w:p>
        </w:tc>
        <w:tc>
          <w:tcPr>
            <w:tcW w:w="800" w:type="dxa"/>
            <w:shd w:val="clear" w:color="auto" w:fill="DCDCDC"/>
            <w:noWrap w:val="0"/>
            <w:vAlign w:val="center"/>
          </w:tcPr>
          <w:p>
            <w:pPr>
              <w:jc w:val="center"/>
            </w:pPr>
            <w:r>
              <w:rPr>
                <w:rFonts w:hint="eastAsia" w:ascii="宋体" w:hAnsi="宋体"/>
                <w:b/>
                <w:bCs/>
                <w:color w:val="000000"/>
                <w:sz w:val="20"/>
                <w:szCs w:val="20"/>
              </w:rPr>
              <w:t>满分</w:t>
            </w:r>
          </w:p>
        </w:tc>
        <w:tc>
          <w:tcPr>
            <w:tcW w:w="800" w:type="dxa"/>
            <w:shd w:val="clear" w:color="auto" w:fill="DCDCDC"/>
            <w:noWrap w:val="0"/>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控制项</w:t>
            </w:r>
          </w:p>
        </w:tc>
        <w:tc>
          <w:tcPr>
            <w:tcW w:w="800" w:type="dxa"/>
            <w:noWrap w:val="0"/>
            <w:vAlign w:val="center"/>
          </w:tcPr>
          <w:p>
            <w:r>
              <w:rPr>
                <w:rFonts w:hint="eastAsia" w:ascii="宋体" w:hAnsi="宋体"/>
                <w:bCs/>
                <w:color w:val="000000"/>
                <w:sz w:val="22"/>
              </w:rPr>
              <w:t>8.1.1</w:t>
            </w:r>
          </w:p>
        </w:tc>
        <w:tc>
          <w:tcPr>
            <w:tcW w:w="5000" w:type="dxa"/>
            <w:noWrap w:val="0"/>
            <w:vAlign w:val="center"/>
          </w:tcPr>
          <w:p>
            <w:r>
              <w:rPr>
                <w:rFonts w:hint="eastAsia" w:ascii="宋体" w:hAnsi="宋体"/>
                <w:bCs/>
                <w:color w:val="000000"/>
                <w:sz w:val="22"/>
              </w:rPr>
              <w:t>满足日照标准</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8.1.2</w:t>
            </w:r>
          </w:p>
        </w:tc>
        <w:tc>
          <w:tcPr>
            <w:tcW w:w="5000" w:type="dxa"/>
            <w:noWrap w:val="0"/>
            <w:vAlign w:val="center"/>
          </w:tcPr>
          <w:p>
            <w:r>
              <w:rPr>
                <w:rFonts w:hint="eastAsia" w:ascii="宋体" w:hAnsi="宋体"/>
                <w:bCs/>
                <w:color w:val="000000"/>
                <w:sz w:val="22"/>
              </w:rPr>
              <w:t>室外热环境</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8.1.3</w:t>
            </w:r>
          </w:p>
        </w:tc>
        <w:tc>
          <w:tcPr>
            <w:tcW w:w="5000" w:type="dxa"/>
            <w:noWrap w:val="0"/>
            <w:vAlign w:val="center"/>
          </w:tcPr>
          <w:p>
            <w:r>
              <w:rPr>
                <w:rFonts w:hint="eastAsia" w:ascii="宋体" w:hAnsi="宋体"/>
                <w:bCs/>
                <w:color w:val="000000"/>
                <w:sz w:val="22"/>
              </w:rPr>
              <w:t>绿地绿化</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8.1.4</w:t>
            </w:r>
          </w:p>
        </w:tc>
        <w:tc>
          <w:tcPr>
            <w:tcW w:w="5000" w:type="dxa"/>
            <w:noWrap w:val="0"/>
            <w:vAlign w:val="center"/>
          </w:tcPr>
          <w:p>
            <w:r>
              <w:rPr>
                <w:rFonts w:hint="eastAsia" w:ascii="宋体" w:hAnsi="宋体"/>
                <w:bCs/>
                <w:color w:val="000000"/>
                <w:sz w:val="22"/>
              </w:rPr>
              <w:t>场地竖向设计</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8.1.5</w:t>
            </w:r>
          </w:p>
        </w:tc>
        <w:tc>
          <w:tcPr>
            <w:tcW w:w="5000" w:type="dxa"/>
            <w:noWrap w:val="0"/>
            <w:vAlign w:val="center"/>
          </w:tcPr>
          <w:p>
            <w:r>
              <w:rPr>
                <w:rFonts w:hint="eastAsia" w:ascii="宋体" w:hAnsi="宋体"/>
                <w:bCs/>
                <w:color w:val="000000"/>
                <w:sz w:val="22"/>
              </w:rPr>
              <w:t>标识系统</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8.1.6</w:t>
            </w:r>
          </w:p>
        </w:tc>
        <w:tc>
          <w:tcPr>
            <w:tcW w:w="5000" w:type="dxa"/>
            <w:noWrap w:val="0"/>
            <w:vAlign w:val="center"/>
          </w:tcPr>
          <w:p>
            <w:r>
              <w:rPr>
                <w:rFonts w:hint="eastAsia" w:ascii="宋体" w:hAnsi="宋体"/>
                <w:bCs/>
                <w:color w:val="000000"/>
                <w:sz w:val="22"/>
              </w:rPr>
              <w:t>无超标污染源</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8.1.7</w:t>
            </w:r>
          </w:p>
        </w:tc>
        <w:tc>
          <w:tcPr>
            <w:tcW w:w="5000" w:type="dxa"/>
            <w:noWrap w:val="0"/>
            <w:vAlign w:val="center"/>
          </w:tcPr>
          <w:p>
            <w:r>
              <w:rPr>
                <w:rFonts w:hint="eastAsia" w:ascii="宋体" w:hAnsi="宋体"/>
                <w:bCs/>
                <w:color w:val="000000"/>
                <w:sz w:val="22"/>
              </w:rPr>
              <w:t>生活垃圾处理</w:t>
            </w:r>
          </w:p>
        </w:tc>
        <w:tc>
          <w:tcPr>
            <w:tcW w:w="800" w:type="dxa"/>
            <w:noWrap w:val="0"/>
            <w:vAlign w:val="center"/>
          </w:tcPr>
          <w:p>
            <w:pPr>
              <w:jc w:val="center"/>
            </w:pPr>
            <w:r>
              <w:rPr>
                <w:rFonts w:hint="eastAsia" w:ascii="宋体" w:hAnsi="宋体"/>
                <w:bCs/>
                <w:color w:val="000000"/>
                <w:sz w:val="22"/>
              </w:rPr>
              <w:t>/</w:t>
            </w:r>
          </w:p>
        </w:tc>
        <w:tc>
          <w:tcPr>
            <w:tcW w:w="800" w:type="dxa"/>
            <w:noWrap w:val="0"/>
            <w:vAlign w:val="center"/>
          </w:tcPr>
          <w:p>
            <w:pPr>
              <w:jc w:val="center"/>
            </w:pPr>
            <w:r>
              <w:rPr>
                <w:rFonts w:hint="eastAsia" w:ascii="宋体" w:hAnsi="宋体"/>
                <w:bCs/>
                <w:color w:val="000000"/>
                <w:sz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评分项</w:t>
            </w:r>
          </w:p>
        </w:tc>
        <w:tc>
          <w:tcPr>
            <w:tcW w:w="800" w:type="dxa"/>
            <w:noWrap w:val="0"/>
            <w:vAlign w:val="center"/>
          </w:tcPr>
          <w:p>
            <w:r>
              <w:rPr>
                <w:rFonts w:hint="eastAsia" w:ascii="宋体" w:hAnsi="宋体"/>
                <w:bCs/>
                <w:color w:val="000000"/>
                <w:sz w:val="22"/>
              </w:rPr>
              <w:t>8.2.1</w:t>
            </w:r>
          </w:p>
        </w:tc>
        <w:tc>
          <w:tcPr>
            <w:tcW w:w="5000" w:type="dxa"/>
            <w:noWrap w:val="0"/>
            <w:vAlign w:val="center"/>
          </w:tcPr>
          <w:p>
            <w:r>
              <w:rPr>
                <w:rFonts w:hint="eastAsia" w:ascii="宋体" w:hAnsi="宋体"/>
                <w:bCs/>
                <w:color w:val="000000"/>
                <w:sz w:val="22"/>
              </w:rPr>
              <w:t>生态环境保护</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8.2.2</w:t>
            </w:r>
          </w:p>
        </w:tc>
        <w:tc>
          <w:tcPr>
            <w:tcW w:w="5000" w:type="dxa"/>
            <w:noWrap w:val="0"/>
            <w:vAlign w:val="center"/>
          </w:tcPr>
          <w:p>
            <w:r>
              <w:rPr>
                <w:rFonts w:hint="eastAsia" w:ascii="宋体" w:hAnsi="宋体"/>
                <w:bCs/>
                <w:color w:val="000000"/>
                <w:sz w:val="22"/>
              </w:rPr>
              <w:t>径流总量控制</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8.2.3</w:t>
            </w:r>
          </w:p>
        </w:tc>
        <w:tc>
          <w:tcPr>
            <w:tcW w:w="5000" w:type="dxa"/>
            <w:noWrap w:val="0"/>
            <w:vAlign w:val="center"/>
          </w:tcPr>
          <w:p>
            <w:r>
              <w:rPr>
                <w:rFonts w:hint="eastAsia" w:ascii="宋体" w:hAnsi="宋体"/>
                <w:bCs/>
                <w:color w:val="000000"/>
                <w:sz w:val="22"/>
              </w:rPr>
              <w:t>绿化用地</w:t>
            </w:r>
          </w:p>
        </w:tc>
        <w:tc>
          <w:tcPr>
            <w:tcW w:w="800" w:type="dxa"/>
            <w:noWrap w:val="0"/>
            <w:vAlign w:val="center"/>
          </w:tcPr>
          <w:p>
            <w:pPr>
              <w:jc w:val="center"/>
            </w:pPr>
            <w:r>
              <w:rPr>
                <w:rFonts w:hint="eastAsia" w:ascii="宋体" w:hAnsi="宋体"/>
                <w:bCs/>
                <w:color w:val="000000"/>
                <w:sz w:val="22"/>
              </w:rPr>
              <w:t>16</w:t>
            </w:r>
          </w:p>
        </w:tc>
        <w:tc>
          <w:tcPr>
            <w:tcW w:w="800" w:type="dxa"/>
            <w:noWrap w:val="0"/>
            <w:vAlign w:val="center"/>
          </w:tcPr>
          <w:p>
            <w:pPr>
              <w:jc w:val="center"/>
            </w:pPr>
            <w:r>
              <w:rPr>
                <w:rFonts w:hint="eastAsia" w:ascii="宋体" w:hAnsi="宋体"/>
                <w:bCs/>
                <w:color w:val="000000"/>
                <w:sz w:val="22"/>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8.2.4</w:t>
            </w:r>
          </w:p>
        </w:tc>
        <w:tc>
          <w:tcPr>
            <w:tcW w:w="5000" w:type="dxa"/>
            <w:noWrap w:val="0"/>
            <w:vAlign w:val="center"/>
          </w:tcPr>
          <w:p>
            <w:r>
              <w:rPr>
                <w:rFonts w:hint="eastAsia" w:ascii="宋体" w:hAnsi="宋体"/>
                <w:bCs/>
                <w:color w:val="000000"/>
                <w:sz w:val="22"/>
              </w:rPr>
              <w:t>室外吸烟区</w:t>
            </w:r>
          </w:p>
        </w:tc>
        <w:tc>
          <w:tcPr>
            <w:tcW w:w="800" w:type="dxa"/>
            <w:noWrap w:val="0"/>
            <w:vAlign w:val="center"/>
          </w:tcPr>
          <w:p>
            <w:pPr>
              <w:jc w:val="center"/>
            </w:pPr>
            <w:r>
              <w:rPr>
                <w:rFonts w:hint="eastAsia" w:ascii="宋体" w:hAnsi="宋体"/>
                <w:bCs/>
                <w:color w:val="000000"/>
                <w:sz w:val="22"/>
              </w:rPr>
              <w:t>9</w:t>
            </w:r>
          </w:p>
        </w:tc>
        <w:tc>
          <w:tcPr>
            <w:tcW w:w="800" w:type="dxa"/>
            <w:noWrap w:val="0"/>
            <w:vAlign w:val="center"/>
          </w:tcPr>
          <w:p>
            <w:pPr>
              <w:jc w:val="center"/>
            </w:pPr>
            <w:r>
              <w:rPr>
                <w:rFonts w:hint="eastAsia" w:ascii="宋体" w:hAnsi="宋体"/>
                <w:bCs/>
                <w:color w:val="000000"/>
                <w:sz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8.2.5</w:t>
            </w:r>
          </w:p>
        </w:tc>
        <w:tc>
          <w:tcPr>
            <w:tcW w:w="5000" w:type="dxa"/>
            <w:noWrap w:val="0"/>
            <w:vAlign w:val="center"/>
          </w:tcPr>
          <w:p>
            <w:r>
              <w:rPr>
                <w:rFonts w:hint="eastAsia" w:ascii="宋体" w:hAnsi="宋体"/>
                <w:bCs/>
                <w:color w:val="000000"/>
                <w:sz w:val="22"/>
              </w:rPr>
              <w:t>雨水基础设施</w:t>
            </w:r>
          </w:p>
        </w:tc>
        <w:tc>
          <w:tcPr>
            <w:tcW w:w="800" w:type="dxa"/>
            <w:noWrap w:val="0"/>
            <w:vAlign w:val="center"/>
          </w:tcPr>
          <w:p>
            <w:pPr>
              <w:jc w:val="center"/>
            </w:pPr>
            <w:r>
              <w:rPr>
                <w:rFonts w:hint="eastAsia" w:ascii="宋体" w:hAnsi="宋体"/>
                <w:bCs/>
                <w:color w:val="000000"/>
                <w:sz w:val="22"/>
              </w:rPr>
              <w:t>15</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8.2.6</w:t>
            </w:r>
          </w:p>
        </w:tc>
        <w:tc>
          <w:tcPr>
            <w:tcW w:w="5000" w:type="dxa"/>
            <w:noWrap w:val="0"/>
            <w:vAlign w:val="center"/>
          </w:tcPr>
          <w:p>
            <w:r>
              <w:rPr>
                <w:rFonts w:hint="eastAsia" w:ascii="宋体" w:hAnsi="宋体"/>
                <w:bCs/>
                <w:color w:val="000000"/>
                <w:sz w:val="22"/>
              </w:rPr>
              <w:t>环境噪声</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8.2.7</w:t>
            </w:r>
          </w:p>
        </w:tc>
        <w:tc>
          <w:tcPr>
            <w:tcW w:w="5000" w:type="dxa"/>
            <w:noWrap w:val="0"/>
            <w:vAlign w:val="center"/>
          </w:tcPr>
          <w:p>
            <w:r>
              <w:rPr>
                <w:rFonts w:hint="eastAsia" w:ascii="宋体" w:hAnsi="宋体"/>
                <w:bCs/>
                <w:color w:val="000000"/>
                <w:sz w:val="22"/>
              </w:rPr>
              <w:t>光污染控制</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8.2.8</w:t>
            </w:r>
          </w:p>
        </w:tc>
        <w:tc>
          <w:tcPr>
            <w:tcW w:w="5000" w:type="dxa"/>
            <w:noWrap w:val="0"/>
            <w:vAlign w:val="center"/>
          </w:tcPr>
          <w:p>
            <w:r>
              <w:rPr>
                <w:rFonts w:hint="eastAsia" w:ascii="宋体" w:hAnsi="宋体"/>
                <w:bCs/>
                <w:color w:val="000000"/>
                <w:sz w:val="22"/>
              </w:rPr>
              <w:t>场地风环境</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8.2.9</w:t>
            </w:r>
          </w:p>
        </w:tc>
        <w:tc>
          <w:tcPr>
            <w:tcW w:w="5000" w:type="dxa"/>
            <w:noWrap w:val="0"/>
            <w:vAlign w:val="center"/>
          </w:tcPr>
          <w:p>
            <w:r>
              <w:rPr>
                <w:rFonts w:hint="eastAsia" w:ascii="宋体" w:hAnsi="宋体"/>
                <w:bCs/>
                <w:color w:val="000000"/>
                <w:sz w:val="22"/>
              </w:rPr>
              <w:t>降低热岛强度</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gridSpan w:val="3"/>
            <w:shd w:val="clear" w:color="auto" w:fill="DCDCDC"/>
            <w:noWrap w:val="0"/>
            <w:vAlign w:val="center"/>
          </w:tcPr>
          <w:p>
            <w:pPr>
              <w:jc w:val="center"/>
            </w:pPr>
            <w:r>
              <w:rPr>
                <w:rFonts w:hint="eastAsia" w:ascii="宋体" w:hAnsi="宋体"/>
                <w:b/>
                <w:bCs/>
                <w:color w:val="000000"/>
                <w:sz w:val="20"/>
                <w:szCs w:val="20"/>
              </w:rPr>
              <w:t>合计</w:t>
            </w:r>
          </w:p>
        </w:tc>
        <w:tc>
          <w:tcPr>
            <w:tcW w:w="800" w:type="dxa"/>
            <w:noWrap w:val="0"/>
            <w:vAlign w:val="center"/>
          </w:tcPr>
          <w:p>
            <w:pPr>
              <w:jc w:val="center"/>
            </w:pPr>
            <w:r>
              <w:rPr>
                <w:rFonts w:hint="eastAsia" w:ascii="宋体" w:hAnsi="宋体"/>
                <w:bCs/>
                <w:color w:val="000000"/>
                <w:sz w:val="22"/>
              </w:rPr>
              <w:t>100.0</w:t>
            </w:r>
          </w:p>
        </w:tc>
        <w:tc>
          <w:tcPr>
            <w:tcW w:w="800" w:type="dxa"/>
            <w:noWrap w:val="0"/>
            <w:vAlign w:val="center"/>
          </w:tcPr>
          <w:p>
            <w:pPr>
              <w:jc w:val="center"/>
            </w:pPr>
            <w:r>
              <w:rPr>
                <w:rFonts w:hint="eastAsia" w:ascii="宋体" w:hAnsi="宋体"/>
                <w:bCs/>
                <w:color w:val="000000"/>
                <w:sz w:val="22"/>
              </w:rPr>
              <w:t>66.0</w:t>
            </w: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8.1.1 建筑规划布局应满足日照标准，且不得降低周边建筑的日照标准。</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项目位于</w:t>
      </w:r>
      <w:r>
        <w:rPr>
          <w:rFonts w:hint="eastAsia"/>
          <w:u w:val="single"/>
        </w:rPr>
        <w:t xml:space="preserve">          </w:t>
      </w:r>
      <w:r>
        <w:rPr>
          <w:rFonts w:hint="eastAsia"/>
        </w:rPr>
        <w:t>光气候区，所在城市为</w:t>
      </w:r>
      <w:r>
        <w:rPr>
          <w:rFonts w:hint="eastAsia"/>
          <w:u w:val="single"/>
        </w:rPr>
        <w:t xml:space="preserve">         </w:t>
      </w:r>
      <w:r>
        <w:rPr>
          <w:rFonts w:hint="eastAsia"/>
        </w:rPr>
        <w:t>，属于：</w:t>
      </w:r>
      <w:r>
        <w:rPr>
          <w:rFonts w:hint="eastAsia"/>
          <w:sz w:val="28"/>
        </w:rPr>
        <w:sym w:font="Wingdings 2" w:char="F0A3"/>
      </w:r>
      <w:r>
        <w:rPr>
          <w:rFonts w:hint="eastAsia"/>
        </w:rPr>
        <w:t xml:space="preserve">大城市 </w:t>
      </w:r>
      <w:r>
        <w:rPr>
          <w:rFonts w:hint="eastAsia"/>
          <w:sz w:val="28"/>
        </w:rPr>
        <w:sym w:font="Wingdings 2" w:char="F0A3"/>
      </w:r>
      <w:r>
        <w:rPr>
          <w:rFonts w:hint="eastAsia"/>
        </w:rPr>
        <w:t>中小城市</w:t>
      </w:r>
    </w:p>
    <w:p>
      <w:pPr>
        <w:rPr>
          <w:u w:val="single"/>
        </w:rPr>
      </w:pPr>
      <w:r>
        <w:rPr>
          <w:rFonts w:hint="eastAsia"/>
        </w:rPr>
        <w:t>项目日照时数：</w:t>
      </w:r>
      <w:r>
        <w:rPr>
          <w:rFonts w:hint="eastAsia"/>
          <w:u w:val="single"/>
        </w:rPr>
        <w:t xml:space="preserve">           </w:t>
      </w:r>
      <w:r>
        <w:rPr>
          <w:rFonts w:hint="eastAsia"/>
        </w:rPr>
        <w:t>h，相关标准的日照时数要求：</w:t>
      </w:r>
      <w:r>
        <w:rPr>
          <w:rFonts w:hint="eastAsia"/>
          <w:u w:val="single"/>
        </w:rPr>
        <w:t xml:space="preserve">          </w:t>
      </w:r>
      <w:r>
        <w:rPr>
          <w:rFonts w:hint="eastAsia"/>
        </w:rPr>
        <w:t xml:space="preserve"> h，其他规定性日照要求：</w:t>
      </w:r>
      <w:r>
        <w:rPr>
          <w:rFonts w:hint="eastAsia"/>
          <w:u w:val="single"/>
        </w:rPr>
        <w:t xml:space="preserve">          </w:t>
      </w:r>
    </w:p>
    <w:p>
      <w:r>
        <w:rPr>
          <w:rFonts w:hint="eastAsia"/>
        </w:rPr>
        <w:t>依据标准：</w:t>
      </w:r>
      <w:r>
        <w:rPr>
          <w:rFonts w:hint="eastAsia"/>
          <w:u w:val="single"/>
        </w:rPr>
        <w:t xml:space="preserve">      </w:t>
      </w:r>
      <w:r>
        <w:rPr>
          <w:u w:val="single"/>
        </w:rPr>
        <w:t xml:space="preserve">           </w:t>
      </w:r>
      <w:r>
        <w:rPr>
          <w:rFonts w:hint="eastAsia"/>
          <w:u w:val="single"/>
        </w:rPr>
        <w:t xml:space="preserve">   </w:t>
      </w:r>
      <w:r>
        <w:rPr>
          <w:rFonts w:hint="eastAsia"/>
        </w:rPr>
        <w:t>，是否达标：</w:t>
      </w:r>
      <w:r>
        <w:rPr>
          <w:rFonts w:hint="eastAsia"/>
          <w:sz w:val="28"/>
        </w:rPr>
        <w:sym w:font="Wingdings 2" w:char="F0A3"/>
      </w:r>
      <w:r>
        <w:rPr>
          <w:rFonts w:hint="eastAsia"/>
        </w:rPr>
        <w:t xml:space="preserve">是  </w:t>
      </w:r>
      <w:r>
        <w:rPr>
          <w:rFonts w:hint="eastAsia"/>
          <w:sz w:val="28"/>
        </w:rPr>
        <w:sym w:font="Wingdings 2" w:char="F0A3"/>
      </w:r>
      <w:r>
        <w:rPr>
          <w:rFonts w:hint="eastAsia"/>
        </w:rPr>
        <w:t>否，是否降低了周边建筑的日照标准：</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bCs/>
          <w:kern w:val="0"/>
        </w:rPr>
      </w:pPr>
      <w:r>
        <w:rPr>
          <w:rFonts w:hint="eastAsia"/>
          <w:bCs/>
          <w:kern w:val="0"/>
        </w:rPr>
        <w:t>1）规划批复文件；</w:t>
      </w:r>
    </w:p>
    <w:p>
      <w:pPr>
        <w:rPr>
          <w:bCs/>
          <w:kern w:val="0"/>
        </w:rPr>
      </w:pPr>
      <w:r>
        <w:rPr>
          <w:rFonts w:hint="eastAsia"/>
          <w:bCs/>
          <w:kern w:val="0"/>
        </w:rPr>
        <w:t>2）竣工总平面图</w:t>
      </w:r>
      <w:r>
        <w:rPr>
          <w:rFonts w:hint="eastAsia"/>
        </w:rPr>
        <w:t>；</w:t>
      </w:r>
    </w:p>
    <w:p>
      <w:pPr>
        <w:ind w:left="210" w:hanging="210" w:hangingChars="100"/>
      </w:pPr>
      <w:r>
        <w:rPr>
          <w:rFonts w:hint="eastAsia"/>
        </w:rPr>
        <w:t>3）日照计算分析报告，应包含建筑局部及间距说明。</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8.1.2 室外热环境应满足国家现行有关标准的要求。</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建筑室外夏季逐时湿球黑球温度(WBGT)：</w:t>
      </w:r>
      <w:r>
        <w:rPr>
          <w:rFonts w:hint="eastAsia"/>
          <w:u w:val="single"/>
        </w:rPr>
        <w:t xml:space="preserve">       </w:t>
      </w:r>
      <w:r>
        <w:rPr>
          <w:rFonts w:hint="eastAsia"/>
        </w:rPr>
        <w:t>℃，室外平均热岛强度</w:t>
      </w:r>
      <w:r>
        <w:rPr>
          <w:rFonts w:hint="eastAsia"/>
          <w:u w:val="single"/>
        </w:rPr>
        <w:t xml:space="preserve">          </w:t>
      </w:r>
      <w:r>
        <w:rPr>
          <w:rFonts w:hint="eastAsia"/>
        </w:rPr>
        <w:t>℃，夏季平均迎风面积比（ζs）：</w:t>
      </w:r>
      <w:r>
        <w:rPr>
          <w:rFonts w:hint="eastAsia"/>
          <w:u w:val="single"/>
        </w:rPr>
        <w:t xml:space="preserve">          </w:t>
      </w:r>
      <w:r>
        <w:rPr>
          <w:rFonts w:hint="eastAsia"/>
        </w:rPr>
        <w:t>，活动场地的遮阳覆盖率</w:t>
      </w:r>
      <w:r>
        <w:rPr>
          <w:rFonts w:hint="eastAsia"/>
          <w:u w:val="single"/>
        </w:rPr>
        <w:t xml:space="preserve">          </w:t>
      </w:r>
      <w:r>
        <w:rPr>
          <w:rFonts w:hint="eastAsia"/>
        </w:rPr>
        <w:t xml:space="preserve"> %</w:t>
      </w:r>
    </w:p>
    <w:p>
      <w:pPr>
        <w:rPr>
          <w:rFonts w:ascii="Times New Roman" w:hAnsi="Times New Roman"/>
          <w:szCs w:val="21"/>
        </w:rPr>
      </w:pPr>
      <w:r>
        <w:rPr>
          <w:rFonts w:hint="eastAsia"/>
          <w:lang w:val="zh-CN"/>
        </w:rPr>
        <w:t>请简要说明项目降低热岛强度，提高环境舒适度的措施。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bCs/>
          <w:kern w:val="0"/>
        </w:rPr>
      </w:pPr>
      <w:r>
        <w:rPr>
          <w:rFonts w:hint="eastAsia"/>
          <w:bCs/>
          <w:kern w:val="0"/>
        </w:rPr>
        <w:t>1）景观专业竣工图纸及设计说明，应包括室外景观总平图、乔木种植平面图、构筑物设计详图、屋面做法详图及道路铺装详图；</w:t>
      </w:r>
    </w:p>
    <w:p>
      <w:pPr>
        <w:rPr>
          <w:bCs/>
          <w:kern w:val="0"/>
        </w:rPr>
      </w:pPr>
      <w:r>
        <w:rPr>
          <w:rFonts w:hint="eastAsia"/>
          <w:bCs/>
          <w:kern w:val="0"/>
        </w:rPr>
        <w:t>2）场地热环境计算报告</w:t>
      </w:r>
      <w:r>
        <w:rPr>
          <w:rFonts w:hint="eastAsia"/>
        </w:rPr>
        <w:t>。</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8.1.3 配建的绿地应符合所在地城乡规划的要求，应合理选择绿化方式，植物种植应适应当地气候和土壤，且应无毒害、易维护，种植区域覆土深度和排水能力应满足植物生产需求，并应采用复层绿化方式。</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项目所在地为：</w:t>
      </w:r>
      <w:r>
        <w:rPr>
          <w:rFonts w:hint="eastAsia"/>
          <w:sz w:val="28"/>
        </w:rPr>
        <w:sym w:font="Wingdings 2" w:char="F0A3"/>
      </w:r>
      <w:r>
        <w:rPr>
          <w:rFonts w:hint="eastAsia"/>
        </w:rPr>
        <w:t xml:space="preserve">华北 </w:t>
      </w:r>
      <w:r>
        <w:rPr>
          <w:rFonts w:hint="eastAsia"/>
          <w:sz w:val="28"/>
        </w:rPr>
        <w:sym w:font="Wingdings 2" w:char="F0A3"/>
      </w:r>
      <w:r>
        <w:rPr>
          <w:rFonts w:hint="eastAsia"/>
        </w:rPr>
        <w:t xml:space="preserve">东北 </w:t>
      </w:r>
      <w:r>
        <w:rPr>
          <w:rFonts w:hint="eastAsia"/>
          <w:sz w:val="28"/>
        </w:rPr>
        <w:sym w:font="Wingdings 2" w:char="F0A3"/>
      </w:r>
      <w:r>
        <w:rPr>
          <w:rFonts w:hint="eastAsia"/>
        </w:rPr>
        <w:t xml:space="preserve">西北 </w:t>
      </w:r>
      <w:r>
        <w:rPr>
          <w:rFonts w:hint="eastAsia"/>
          <w:sz w:val="28"/>
        </w:rPr>
        <w:sym w:font="Wingdings 2" w:char="F0A3"/>
      </w:r>
      <w:r>
        <w:rPr>
          <w:rFonts w:hint="eastAsia"/>
        </w:rPr>
        <w:t>华中</w:t>
      </w:r>
      <w:r>
        <w:rPr>
          <w:rFonts w:hint="eastAsia"/>
          <w:szCs w:val="21"/>
        </w:rPr>
        <w:t xml:space="preserve"> </w:t>
      </w:r>
      <w:r>
        <w:rPr>
          <w:rFonts w:hint="eastAsia"/>
          <w:sz w:val="28"/>
        </w:rPr>
        <w:sym w:font="Wingdings 2" w:char="F0A3"/>
      </w:r>
      <w:r>
        <w:rPr>
          <w:rFonts w:hint="eastAsia"/>
        </w:rPr>
        <w:t xml:space="preserve">华东 </w:t>
      </w:r>
      <w:r>
        <w:rPr>
          <w:rFonts w:hint="eastAsia"/>
          <w:sz w:val="28"/>
        </w:rPr>
        <w:sym w:font="Wingdings 2" w:char="F0A3"/>
      </w:r>
      <w:r>
        <w:rPr>
          <w:rFonts w:hint="eastAsia"/>
        </w:rPr>
        <w:t xml:space="preserve">华南 </w:t>
      </w:r>
      <w:r>
        <w:rPr>
          <w:rFonts w:hint="eastAsia"/>
          <w:sz w:val="28"/>
        </w:rPr>
        <w:sym w:font="Wingdings 2" w:char="F0A3"/>
      </w:r>
      <w:r>
        <w:rPr>
          <w:rFonts w:hint="eastAsia"/>
        </w:rPr>
        <w:t>西南</w:t>
      </w:r>
    </w:p>
    <w:p>
      <w:r>
        <w:rPr>
          <w:rFonts w:hint="eastAsia"/>
          <w:lang w:val="zh-CN"/>
        </w:rPr>
        <w:t>是否主要选用</w:t>
      </w:r>
      <w:r>
        <w:rPr>
          <w:rFonts w:hint="eastAsia"/>
        </w:rPr>
        <w:t>乡土植物：</w:t>
      </w:r>
      <w:r>
        <w:rPr>
          <w:rFonts w:hint="eastAsia"/>
          <w:sz w:val="28"/>
        </w:rPr>
        <w:sym w:font="Wingdings 2" w:char="F0A3"/>
      </w:r>
      <w:r>
        <w:rPr>
          <w:rFonts w:hint="eastAsia"/>
        </w:rPr>
        <w:t xml:space="preserve">是 </w:t>
      </w:r>
      <w:r>
        <w:rPr>
          <w:rFonts w:hint="eastAsia"/>
          <w:sz w:val="28"/>
        </w:rPr>
        <w:sym w:font="Wingdings 2" w:char="F0A3"/>
      </w:r>
      <w:r>
        <w:rPr>
          <w:rFonts w:hint="eastAsia"/>
        </w:rPr>
        <w:t>否，是否采用复层绿化：</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r>
        <w:rPr>
          <w:rFonts w:hint="eastAsia"/>
        </w:rPr>
        <w:t>地下室顶板上覆土深度</w:t>
      </w:r>
      <w:r>
        <w:rPr>
          <w:rFonts w:hint="eastAsia"/>
          <w:u w:val="single"/>
        </w:rPr>
        <w:t xml:space="preserve">     </w:t>
      </w:r>
      <w:r>
        <w:rPr>
          <w:rFonts w:hint="eastAsia"/>
        </w:rPr>
        <w:t>m，当地园林绿化部门要求</w:t>
      </w:r>
      <w:r>
        <w:rPr>
          <w:rFonts w:hint="eastAsia"/>
          <w:u w:val="single"/>
        </w:rPr>
        <w:t xml:space="preserve">     </w:t>
      </w:r>
      <w:r>
        <w:rPr>
          <w:rFonts w:hint="eastAsia"/>
        </w:rPr>
        <w:t>m，是否设有疏水板及导水管等：</w:t>
      </w:r>
      <w:r>
        <w:rPr>
          <w:rFonts w:hint="eastAsia"/>
          <w:sz w:val="28"/>
        </w:rPr>
        <w:sym w:font="Wingdings 2" w:char="F0A3"/>
      </w:r>
      <w:r>
        <w:rPr>
          <w:rFonts w:hint="eastAsia"/>
          <w:lang w:val="zh-CN"/>
        </w:rPr>
        <w:t xml:space="preserve">是 </w:t>
      </w:r>
      <w:r>
        <w:rPr>
          <w:rFonts w:hint="eastAsia"/>
          <w:sz w:val="28"/>
        </w:rPr>
        <w:sym w:font="Wingdings 2" w:char="F0A3"/>
      </w:r>
      <w:r>
        <w:rPr>
          <w:rFonts w:hint="eastAsia"/>
          <w:lang w:val="zh-CN"/>
        </w:rPr>
        <w:t>否。</w:t>
      </w:r>
    </w:p>
    <w:p>
      <w:pPr>
        <w:rPr>
          <w:lang w:val="zh-CN"/>
        </w:rPr>
      </w:pPr>
      <w:r>
        <w:rPr>
          <w:rFonts w:hint="eastAsia"/>
          <w:lang w:val="zh-CN"/>
        </w:rPr>
        <w:t>屋顶可绿化面积</w:t>
      </w:r>
      <w:r>
        <w:rPr>
          <w:rFonts w:hint="eastAsia"/>
          <w:u w:val="single"/>
        </w:rPr>
        <w:t xml:space="preserve">        </w:t>
      </w:r>
      <w:r>
        <w:rPr>
          <w:rFonts w:hint="eastAsia"/>
          <w:lang w:val="zh-CN"/>
        </w:rPr>
        <w:t>m</w:t>
      </w:r>
      <w:r>
        <w:rPr>
          <w:rFonts w:hint="eastAsia"/>
          <w:vertAlign w:val="superscript"/>
          <w:lang w:val="zh-CN"/>
        </w:rPr>
        <w:t>2</w:t>
      </w:r>
      <w:r>
        <w:rPr>
          <w:rFonts w:hint="eastAsia"/>
          <w:lang w:val="zh-CN"/>
        </w:rPr>
        <w:t>，屋顶绿化面积</w:t>
      </w:r>
      <w:r>
        <w:rPr>
          <w:rFonts w:hint="eastAsia"/>
          <w:u w:val="single"/>
        </w:rPr>
        <w:t xml:space="preserve">       </w:t>
      </w:r>
      <w:r>
        <w:rPr>
          <w:rFonts w:hint="eastAsia"/>
          <w:lang w:val="zh-CN"/>
        </w:rPr>
        <w:t>m</w:t>
      </w:r>
      <w:r>
        <w:rPr>
          <w:rFonts w:hint="eastAsia"/>
          <w:vertAlign w:val="superscript"/>
          <w:lang w:val="zh-CN"/>
        </w:rPr>
        <w:t>2</w:t>
      </w:r>
      <w:r>
        <w:rPr>
          <w:rFonts w:hint="eastAsia"/>
          <w:lang w:val="zh-CN"/>
        </w:rPr>
        <w:t>，屋顶绿化面积比</w:t>
      </w:r>
      <w:r>
        <w:rPr>
          <w:rFonts w:hint="eastAsia"/>
          <w:u w:val="single"/>
        </w:rPr>
        <w:t xml:space="preserve">     </w:t>
      </w:r>
      <w:r>
        <w:rPr>
          <w:rFonts w:hint="eastAsia"/>
          <w:lang w:val="zh-CN"/>
        </w:rPr>
        <w:t>%。</w:t>
      </w:r>
    </w:p>
    <w:p>
      <w:pPr>
        <w:rPr>
          <w:rFonts w:ascii="Times New Roman" w:hAnsi="Times New Roman"/>
          <w:szCs w:val="21"/>
        </w:rPr>
      </w:pPr>
      <w:r>
        <w:rPr>
          <w:rFonts w:hint="eastAsia"/>
          <w:lang w:val="zh-CN"/>
        </w:rPr>
        <w:t>请简要说明项目选择的绿化方式、植物类型。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本项目选用适应深圳气候土壤条件的本地植物，栽植乔、灌、草结合构成多层次的植物</w:t>
            </w:r>
          </w:p>
          <w:p>
            <w:pPr>
              <w:rPr>
                <w:rFonts w:ascii="Times New Roman" w:hAnsi="Times New Roman"/>
                <w:kern w:val="0"/>
                <w:sz w:val="20"/>
                <w:szCs w:val="21"/>
              </w:rPr>
            </w:pPr>
            <w:r>
              <w:rPr>
                <w:rFonts w:hint="eastAsia" w:ascii="Times New Roman" w:hAnsi="Times New Roman"/>
                <w:kern w:val="0"/>
                <w:sz w:val="20"/>
                <w:szCs w:val="21"/>
              </w:rPr>
              <w:t>群落,且采用屋顶绿化。</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ind w:left="210" w:hanging="210" w:hangingChars="100"/>
      </w:pPr>
      <w:r>
        <w:rPr>
          <w:rFonts w:hint="eastAsia"/>
        </w:rPr>
        <w:t>1）景观专业竣工图纸及设计说明，应包括苗木表、乔木种植平面图；</w:t>
      </w:r>
    </w:p>
    <w:p>
      <w:pPr>
        <w:ind w:left="210" w:hanging="210" w:hangingChars="100"/>
      </w:pPr>
      <w:r>
        <w:rPr>
          <w:rFonts w:hint="eastAsia"/>
        </w:rPr>
        <w:t>2）建筑专业及给排水专业竣工图纸及设计说明，应包括屋顶绿化、垂直绿化的绿化区域及面积、覆土深度、排水能力的内容；</w:t>
      </w:r>
    </w:p>
    <w:p>
      <w:pPr>
        <w:ind w:left="210" w:hanging="210" w:hangingChars="100"/>
      </w:pPr>
      <w:r>
        <w:rPr>
          <w:rFonts w:hint="eastAsia"/>
        </w:rPr>
        <w:t>3）职务订购合同、苗木出圃证明文件。</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8.1.4 场地的竖向设计应有利于雨水的收集或排放，应有效组织雨水的下渗、滞蓄或再利用；对大于10hm2的场地应进行雨水控制利用专项设计。</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项目位于</w:t>
      </w:r>
      <w:r>
        <w:rPr>
          <w:rFonts w:hint="eastAsia"/>
          <w:u w:val="single"/>
        </w:rPr>
        <w:t xml:space="preserve">       </w:t>
      </w:r>
      <w:r>
        <w:rPr>
          <w:rFonts w:hint="eastAsia"/>
        </w:rPr>
        <w:t>，当地年均降雨量</w:t>
      </w:r>
      <w:r>
        <w:rPr>
          <w:rFonts w:hint="eastAsia"/>
          <w:u w:val="single"/>
        </w:rPr>
        <w:t xml:space="preserve">     </w:t>
      </w:r>
      <w:r>
        <w:t>mm</w:t>
      </w:r>
      <w:r>
        <w:rPr>
          <w:rFonts w:hint="eastAsia"/>
        </w:rPr>
        <w:t>，项目用地面积</w:t>
      </w:r>
      <w:r>
        <w:rPr>
          <w:rFonts w:hint="eastAsia"/>
          <w:u w:val="single"/>
        </w:rPr>
        <w:t xml:space="preserve">       </w:t>
      </w:r>
      <w:r>
        <w:rPr>
          <w:rFonts w:hint="eastAsia"/>
        </w:rPr>
        <w:t>m</w:t>
      </w:r>
      <w:r>
        <w:rPr>
          <w:rFonts w:hint="eastAsia"/>
          <w:vertAlign w:val="superscript"/>
        </w:rPr>
        <w:t>2</w:t>
      </w:r>
      <w:r>
        <w:rPr>
          <w:rFonts w:hint="eastAsia"/>
        </w:rPr>
        <w:t>，</w:t>
      </w:r>
    </w:p>
    <w:p>
      <w:r>
        <w:rPr>
          <w:rFonts w:hint="eastAsia"/>
        </w:rPr>
        <w:t>是否进行雨水专项规划设计：</w:t>
      </w:r>
      <w:r>
        <w:rPr>
          <w:rFonts w:hint="eastAsia"/>
          <w:sz w:val="28"/>
        </w:rPr>
        <w:sym w:font="Wingdings 2" w:char="F0A3"/>
      </w:r>
      <w:r>
        <w:rPr>
          <w:rFonts w:hint="eastAsia"/>
          <w:lang w:val="zh-CN"/>
        </w:rPr>
        <w:t xml:space="preserve">是 </w:t>
      </w:r>
      <w:r>
        <w:rPr>
          <w:rFonts w:hint="eastAsia"/>
          <w:sz w:val="28"/>
        </w:rPr>
        <w:sym w:font="Wingdings 2" w:char="F0A3"/>
      </w:r>
      <w:r>
        <w:rPr>
          <w:rFonts w:hint="eastAsia"/>
          <w:lang w:val="zh-CN"/>
        </w:rPr>
        <w:t>否</w:t>
      </w:r>
    </w:p>
    <w:p>
      <w:pPr>
        <w:rPr>
          <w:rFonts w:ascii="Times New Roman" w:hAnsi="Times New Roman"/>
          <w:szCs w:val="21"/>
        </w:rPr>
      </w:pPr>
      <w:r>
        <w:rPr>
          <w:rFonts w:hint="eastAsia"/>
        </w:rPr>
        <w:t>请简要说明项目竖向雨水设计情况，如有雨水专项规划设计内容，</w:t>
      </w:r>
      <w:r>
        <w:rPr>
          <w:rFonts w:hint="eastAsia" w:cs="宋体"/>
          <w:kern w:val="0"/>
        </w:rPr>
        <w:t>应着重说明雨水利用、径流减排、污染控制等各子系统的关联性</w:t>
      </w:r>
      <w:r>
        <w:rPr>
          <w:rFonts w:hint="eastAsia"/>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雨水通过管网汇集，通过截污挂篮、弃流过滤收集至蓄水池，利用雨水处理设备对水质进行消毒和初过滤，然后送至景观水池。景观水池设循环泵和循环给水管，利用地埋一体机实现水质的精细过滤，进行自循环净化处理。</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ind w:left="210" w:hanging="210" w:hangingChars="100"/>
      </w:pPr>
      <w:r>
        <w:rPr>
          <w:rFonts w:hint="eastAsia"/>
        </w:rPr>
        <w:t>1）场地地形图、场地竖向设计图纸及设计说明；</w:t>
      </w:r>
    </w:p>
    <w:p>
      <w:r>
        <w:rPr>
          <w:rFonts w:hint="eastAsia"/>
        </w:rPr>
        <w:t>2）</w:t>
      </w:r>
      <w:r>
        <w:rPr>
          <w:rFonts w:hint="eastAsia"/>
          <w:kern w:val="0"/>
        </w:rPr>
        <w:t>年径流总量控制率计算书、设计控制雨量计算书；</w:t>
      </w:r>
      <w:r>
        <w:t xml:space="preserve"> </w:t>
      </w:r>
    </w:p>
    <w:p>
      <w:r>
        <w:rPr>
          <w:rFonts w:hint="eastAsia"/>
        </w:rPr>
        <w:t>3）雨水控制利用专项规划设计文件。</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8.1.5 建筑内外均应设置便于识别和使用的标识系统。</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标识系统是否具备如下特点：</w:t>
      </w:r>
    </w:p>
    <w:p>
      <w:pPr>
        <w:pStyle w:val="12"/>
        <w:numPr>
          <w:ilvl w:val="0"/>
          <w:numId w:val="4"/>
        </w:numPr>
        <w:ind w:left="0" w:firstLine="0" w:firstLineChars="0"/>
      </w:pPr>
      <w:r>
        <w:rPr>
          <w:rFonts w:hint="eastAsia" w:ascii="Calibri" w:hAnsi="Calibri"/>
          <w:szCs w:val="22"/>
        </w:rPr>
        <w:t>同一种类型标识信息区分信息的重要程度，在统一版面布置；</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 xml:space="preserve"> </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pStyle w:val="12"/>
        <w:numPr>
          <w:ilvl w:val="0"/>
          <w:numId w:val="4"/>
        </w:numPr>
        <w:ind w:left="0" w:firstLine="0" w:firstLineChars="0"/>
      </w:pPr>
      <w:r>
        <w:rPr>
          <w:rFonts w:hint="eastAsia" w:ascii="Calibri" w:hAnsi="Calibri"/>
          <w:szCs w:val="22"/>
        </w:rPr>
        <w:t>不同类型标识信息版面单独设置；</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 xml:space="preserve"> </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pStyle w:val="12"/>
        <w:numPr>
          <w:ilvl w:val="0"/>
          <w:numId w:val="4"/>
        </w:numPr>
        <w:ind w:left="0" w:firstLine="0" w:firstLineChars="0"/>
      </w:pPr>
      <w:r>
        <w:rPr>
          <w:rFonts w:hint="eastAsia" w:ascii="Calibri" w:hAnsi="Calibri"/>
          <w:szCs w:val="22"/>
        </w:rPr>
        <w:t>有无障碍设施空间环境中，设置有无障碍信息；</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 xml:space="preserve"> </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pStyle w:val="12"/>
        <w:numPr>
          <w:ilvl w:val="0"/>
          <w:numId w:val="4"/>
        </w:numPr>
        <w:ind w:left="0" w:firstLine="0" w:firstLineChars="0"/>
      </w:pPr>
      <w:r>
        <w:rPr>
          <w:rFonts w:hint="eastAsia" w:ascii="Calibri" w:hAnsi="Calibri"/>
          <w:szCs w:val="22"/>
        </w:rPr>
        <w:t>导向标识信息系统应具有便于及时更新与扩充内容的可调整性。</w:t>
      </w:r>
      <w:r>
        <w:rPr>
          <w:rFonts w:ascii="Calibri" w:hAnsi="Calibri"/>
          <w:szCs w:val="22"/>
        </w:rPr>
        <w:tab/>
      </w:r>
      <w:r>
        <w:rPr>
          <w:rFonts w:ascii="Calibri" w:hAnsi="Calibri"/>
          <w:szCs w:val="22"/>
        </w:rPr>
        <w:t xml:space="preserve">     </w:t>
      </w:r>
      <w:r>
        <w:rPr>
          <w:rFonts w:hint="eastAsia"/>
          <w:sz w:val="28"/>
        </w:rPr>
        <w:sym w:font="Wingdings 2" w:char="F0A3"/>
      </w:r>
      <w:r>
        <w:rPr>
          <w:rFonts w:hint="eastAsia"/>
        </w:rPr>
        <w:t xml:space="preserve">是 </w:t>
      </w:r>
      <w:r>
        <w:rPr>
          <w:rFonts w:hint="eastAsia"/>
          <w:sz w:val="28"/>
        </w:rPr>
        <w:sym w:font="Wingdings 2" w:char="F0A3"/>
      </w:r>
      <w:r>
        <w:rPr>
          <w:rFonts w:hint="eastAsia"/>
        </w:rPr>
        <w:t>否</w:t>
      </w:r>
      <w:r>
        <w:t xml:space="preserve"> </w:t>
      </w:r>
    </w:p>
    <w:p>
      <w:pPr>
        <w:rPr>
          <w:rFonts w:ascii="Times New Roman" w:hAnsi="Times New Roman"/>
          <w:szCs w:val="21"/>
        </w:rPr>
      </w:pPr>
      <w:r>
        <w:rPr>
          <w:rFonts w:hint="eastAsia"/>
        </w:rPr>
        <w:t>请简要说明标识系统的类型、位置和使用效果。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t>1</w:t>
      </w:r>
      <w:r>
        <w:rPr>
          <w:rFonts w:hint="eastAsia"/>
        </w:rPr>
        <w:t>）竣工总平面图；</w:t>
      </w:r>
    </w:p>
    <w:p>
      <w:r>
        <w:rPr>
          <w:rFonts w:hint="eastAsia"/>
        </w:rPr>
        <w:t>2）标识系统设计文件。</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8.1.6 场地内不应有排放超标的污染源。</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场地内是否有以下建筑或设施：</w:t>
      </w:r>
      <w:r>
        <w:rPr>
          <w:rFonts w:hint="eastAsia"/>
          <w:sz w:val="28"/>
        </w:rPr>
        <w:sym w:font="Wingdings 2" w:char="F0A3"/>
      </w:r>
      <w:r>
        <w:rPr>
          <w:rFonts w:hint="eastAsia"/>
        </w:rPr>
        <w:t xml:space="preserve">餐饮类建筑 </w:t>
      </w:r>
      <w:r>
        <w:rPr>
          <w:rFonts w:hint="eastAsia"/>
          <w:sz w:val="28"/>
        </w:rPr>
        <w:sym w:font="Wingdings 2" w:char="F0A3"/>
      </w:r>
      <w:r>
        <w:rPr>
          <w:rFonts w:hint="eastAsia"/>
        </w:rPr>
        <w:t xml:space="preserve">锅炉房 </w:t>
      </w:r>
      <w:r>
        <w:rPr>
          <w:rFonts w:hint="eastAsia"/>
          <w:sz w:val="28"/>
        </w:rPr>
        <w:sym w:font="Wingdings 2" w:char="F0A3"/>
      </w:r>
      <w:r>
        <w:rPr>
          <w:rFonts w:hint="eastAsia"/>
        </w:rPr>
        <w:t xml:space="preserve">垃圾运转站 </w:t>
      </w:r>
      <w:r>
        <w:rPr>
          <w:rFonts w:hint="eastAsia"/>
          <w:sz w:val="28"/>
        </w:rPr>
        <w:sym w:font="Wingdings 2" w:char="F0A3"/>
      </w:r>
      <w:r>
        <w:rPr>
          <w:rFonts w:hint="eastAsia"/>
        </w:rPr>
        <w:t>其他易产生烟、气、尘、噪声的建筑或设施</w:t>
      </w:r>
      <w:r>
        <w:rPr>
          <w:u w:val="single"/>
        </w:rPr>
        <w:t xml:space="preserve">     </w:t>
      </w:r>
      <w:r>
        <w:rPr>
          <w:rFonts w:hint="eastAsia"/>
        </w:rPr>
        <w:t xml:space="preserve"> </w:t>
      </w:r>
      <w:r>
        <w:rPr>
          <w:rFonts w:hint="eastAsia"/>
          <w:sz w:val="28"/>
        </w:rPr>
        <w:sym w:font="Wingdings 2" w:char="F0A3"/>
      </w:r>
      <w:r>
        <w:rPr>
          <w:rFonts w:hint="eastAsia"/>
        </w:rPr>
        <w:t>以上皆无</w:t>
      </w:r>
    </w:p>
    <w:p>
      <w:pPr>
        <w:rPr>
          <w:rFonts w:ascii="Times New Roman" w:hAnsi="Times New Roman"/>
          <w:szCs w:val="21"/>
        </w:rPr>
      </w:pPr>
      <w:r>
        <w:rPr>
          <w:rFonts w:hint="eastAsia"/>
        </w:rPr>
        <w:t>如有以上建筑或设施，请简要说明避免排放超标的控制措施。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根据本项目内部功能布局，项目建成后对环境空气质量可能会造成影响的主要污染源有</w:t>
            </w:r>
          </w:p>
          <w:p>
            <w:pPr>
              <w:rPr>
                <w:rFonts w:ascii="Times New Roman" w:hAnsi="Times New Roman"/>
                <w:kern w:val="0"/>
                <w:sz w:val="20"/>
                <w:szCs w:val="21"/>
              </w:rPr>
            </w:pPr>
            <w:r>
              <w:rPr>
                <w:rFonts w:hint="eastAsia" w:ascii="Times New Roman" w:hAnsi="Times New Roman"/>
                <w:kern w:val="0"/>
                <w:sz w:val="20"/>
                <w:szCs w:val="21"/>
              </w:rPr>
              <w:t>备用发电机燃油尾气、机动车尾气、固体废弃物、废水和噪声。</w:t>
            </w:r>
          </w:p>
          <w:p>
            <w:pPr>
              <w:ind w:firstLine="400" w:firstLineChars="200"/>
              <w:rPr>
                <w:rFonts w:ascii="Times New Roman" w:hAnsi="Times New Roman"/>
                <w:kern w:val="0"/>
                <w:sz w:val="20"/>
                <w:szCs w:val="21"/>
              </w:rPr>
            </w:pPr>
            <w:r>
              <w:rPr>
                <w:rFonts w:hint="eastAsia" w:ascii="Times New Roman" w:hAnsi="Times New Roman"/>
                <w:kern w:val="0"/>
                <w:sz w:val="20"/>
                <w:szCs w:val="21"/>
              </w:rPr>
              <w:t>1、废气：本项目地下车库有少量的汽车尾气产生，地下车库设计有完善的抽风设施，经通</w:t>
            </w:r>
          </w:p>
          <w:p>
            <w:pPr>
              <w:ind w:firstLine="400" w:firstLineChars="200"/>
              <w:rPr>
                <w:rFonts w:ascii="Times New Roman" w:hAnsi="Times New Roman"/>
                <w:kern w:val="0"/>
                <w:sz w:val="20"/>
                <w:szCs w:val="21"/>
              </w:rPr>
            </w:pPr>
            <w:r>
              <w:rPr>
                <w:rFonts w:hint="eastAsia" w:ascii="Times New Roman" w:hAnsi="Times New Roman"/>
                <w:kern w:val="0"/>
                <w:sz w:val="20"/>
                <w:szCs w:val="21"/>
              </w:rPr>
              <w:t>风设施抽至排风井引出地面排放。备用柴油发电机运行过程中产生燃油废气，发电机房设置</w:t>
            </w:r>
          </w:p>
          <w:p>
            <w:pPr>
              <w:ind w:firstLine="400" w:firstLineChars="200"/>
              <w:rPr>
                <w:rFonts w:ascii="Times New Roman" w:hAnsi="Times New Roman"/>
                <w:kern w:val="0"/>
                <w:sz w:val="20"/>
                <w:szCs w:val="21"/>
              </w:rPr>
            </w:pPr>
            <w:r>
              <w:rPr>
                <w:rFonts w:hint="eastAsia" w:ascii="Times New Roman" w:hAnsi="Times New Roman"/>
                <w:kern w:val="0"/>
                <w:sz w:val="20"/>
                <w:szCs w:val="21"/>
              </w:rPr>
              <w:t>于地下专用设备房内并设置洗烟措施，建筑内部设置专用排烟道。</w:t>
            </w:r>
          </w:p>
          <w:p>
            <w:pPr>
              <w:ind w:firstLine="400" w:firstLineChars="200"/>
              <w:rPr>
                <w:rFonts w:ascii="Times New Roman" w:hAnsi="Times New Roman"/>
                <w:kern w:val="0"/>
                <w:sz w:val="20"/>
                <w:szCs w:val="21"/>
              </w:rPr>
            </w:pPr>
            <w:r>
              <w:rPr>
                <w:rFonts w:hint="eastAsia" w:ascii="Times New Roman" w:hAnsi="Times New Roman"/>
                <w:kern w:val="0"/>
                <w:sz w:val="20"/>
                <w:szCs w:val="21"/>
              </w:rPr>
              <w:t>2、固定废弃物：本项目固体废弃物主要为生活垃圾，及时收集后至垃圾处理站后由环卫部</w:t>
            </w:r>
          </w:p>
          <w:p>
            <w:pPr>
              <w:ind w:firstLine="400" w:firstLineChars="200"/>
              <w:rPr>
                <w:rFonts w:ascii="Times New Roman" w:hAnsi="Times New Roman"/>
                <w:kern w:val="0"/>
                <w:sz w:val="20"/>
                <w:szCs w:val="21"/>
              </w:rPr>
            </w:pPr>
            <w:r>
              <w:rPr>
                <w:rFonts w:hint="eastAsia" w:ascii="Times New Roman" w:hAnsi="Times New Roman"/>
                <w:kern w:val="0"/>
                <w:sz w:val="20"/>
                <w:szCs w:val="21"/>
              </w:rPr>
              <w:t>门统一及时清运处理，对周围环境影响较小。</w:t>
            </w:r>
          </w:p>
          <w:p>
            <w:pPr>
              <w:ind w:firstLine="400" w:firstLineChars="200"/>
              <w:rPr>
                <w:rFonts w:ascii="Times New Roman" w:hAnsi="Times New Roman"/>
                <w:kern w:val="0"/>
                <w:sz w:val="20"/>
                <w:szCs w:val="21"/>
              </w:rPr>
            </w:pPr>
            <w:r>
              <w:rPr>
                <w:rFonts w:hint="eastAsia" w:ascii="Times New Roman" w:hAnsi="Times New Roman"/>
                <w:kern w:val="0"/>
                <w:sz w:val="20"/>
                <w:szCs w:val="21"/>
              </w:rPr>
              <w:t>3、废水：本项目产生的废水主要为生活污水、车库冲洗废水等，项目所在区域属于横岭污</w:t>
            </w:r>
          </w:p>
          <w:p>
            <w:pPr>
              <w:ind w:firstLine="400" w:firstLineChars="200"/>
              <w:rPr>
                <w:rFonts w:ascii="Times New Roman" w:hAnsi="Times New Roman"/>
                <w:kern w:val="0"/>
                <w:sz w:val="20"/>
                <w:szCs w:val="21"/>
              </w:rPr>
            </w:pPr>
            <w:r>
              <w:rPr>
                <w:rFonts w:hint="eastAsia" w:ascii="Times New Roman" w:hAnsi="Times New Roman"/>
                <w:kern w:val="0"/>
                <w:sz w:val="20"/>
                <w:szCs w:val="21"/>
              </w:rPr>
              <w:t>水处理厂的受纳范围，生活污水经化粪池处理、地下车库冲洗废水经隔油沉砂池处理后进入</w:t>
            </w:r>
          </w:p>
          <w:p>
            <w:pPr>
              <w:ind w:firstLine="400" w:firstLineChars="200"/>
              <w:rPr>
                <w:rFonts w:ascii="Times New Roman" w:hAnsi="Times New Roman"/>
                <w:kern w:val="0"/>
                <w:sz w:val="20"/>
                <w:szCs w:val="21"/>
              </w:rPr>
            </w:pPr>
            <w:r>
              <w:rPr>
                <w:rFonts w:hint="eastAsia" w:ascii="Times New Roman" w:hAnsi="Times New Roman"/>
                <w:kern w:val="0"/>
                <w:sz w:val="20"/>
                <w:szCs w:val="21"/>
              </w:rPr>
              <w:t>市政污水管网排入污水处理厂进行处理。</w:t>
            </w:r>
          </w:p>
          <w:p>
            <w:pPr>
              <w:ind w:firstLine="400" w:firstLineChars="200"/>
              <w:rPr>
                <w:rFonts w:ascii="Times New Roman" w:hAnsi="Times New Roman"/>
                <w:kern w:val="0"/>
                <w:sz w:val="20"/>
                <w:szCs w:val="21"/>
              </w:rPr>
            </w:pPr>
            <w:r>
              <w:rPr>
                <w:rFonts w:hint="eastAsia" w:ascii="Times New Roman" w:hAnsi="Times New Roman"/>
                <w:kern w:val="0"/>
                <w:sz w:val="20"/>
                <w:szCs w:val="21"/>
              </w:rPr>
              <w:t>4、噪声：项目噪声影响来源于各风机、备用发电机等设备噪声、停车场汽车噪声以及商业</w:t>
            </w:r>
          </w:p>
          <w:p>
            <w:pPr>
              <w:ind w:firstLine="400" w:firstLineChars="200"/>
              <w:rPr>
                <w:rFonts w:ascii="Times New Roman" w:hAnsi="Times New Roman"/>
                <w:kern w:val="0"/>
                <w:sz w:val="20"/>
                <w:szCs w:val="21"/>
              </w:rPr>
            </w:pPr>
            <w:r>
              <w:rPr>
                <w:rFonts w:hint="eastAsia" w:ascii="Times New Roman" w:hAnsi="Times New Roman"/>
                <w:kern w:val="0"/>
                <w:sz w:val="20"/>
                <w:szCs w:val="21"/>
              </w:rPr>
              <w:t>噪声，通过完善停车场的车辆管理制度、采取有效的噪声防治措施降低环境影响，不会对项</w:t>
            </w:r>
          </w:p>
          <w:p>
            <w:pPr>
              <w:ind w:firstLine="400" w:firstLineChars="200"/>
              <w:rPr>
                <w:rFonts w:ascii="Times New Roman" w:hAnsi="Times New Roman"/>
                <w:kern w:val="0"/>
                <w:sz w:val="20"/>
                <w:szCs w:val="21"/>
              </w:rPr>
            </w:pPr>
            <w:r>
              <w:rPr>
                <w:rFonts w:hint="eastAsia" w:ascii="Times New Roman" w:hAnsi="Times New Roman"/>
                <w:kern w:val="0"/>
                <w:sz w:val="20"/>
                <w:szCs w:val="21"/>
              </w:rPr>
              <w:t>目内部环境和周边声环境产生明显影响。</w:t>
            </w:r>
          </w:p>
          <w:p>
            <w:pPr>
              <w:ind w:firstLine="400" w:firstLineChars="200"/>
              <w:rPr>
                <w:rFonts w:ascii="Times New Roman" w:hAnsi="Times New Roman"/>
                <w:kern w:val="0"/>
                <w:sz w:val="20"/>
                <w:szCs w:val="21"/>
              </w:rPr>
            </w:pPr>
            <w:r>
              <w:rPr>
                <w:rFonts w:hint="eastAsia" w:ascii="Times New Roman" w:hAnsi="Times New Roman"/>
                <w:kern w:val="0"/>
                <w:sz w:val="20"/>
                <w:szCs w:val="21"/>
              </w:rPr>
              <w:t>各种污染物（如废气烟气、废水污水、垃圾、建筑材料所含污染物等）均采取了措施控</w:t>
            </w:r>
          </w:p>
          <w:p>
            <w:pPr>
              <w:ind w:firstLine="400" w:firstLineChars="200"/>
              <w:rPr>
                <w:rFonts w:ascii="Times New Roman" w:hAnsi="Times New Roman"/>
                <w:kern w:val="0"/>
                <w:sz w:val="20"/>
                <w:szCs w:val="21"/>
              </w:rPr>
            </w:pPr>
            <w:r>
              <w:rPr>
                <w:rFonts w:hint="eastAsia" w:ascii="Times New Roman" w:hAnsi="Times New Roman"/>
                <w:kern w:val="0"/>
                <w:sz w:val="20"/>
                <w:szCs w:val="21"/>
              </w:rPr>
              <w:t>制。</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t>1</w:t>
      </w:r>
      <w:r>
        <w:rPr>
          <w:rFonts w:hint="eastAsia"/>
        </w:rPr>
        <w:t>）环评报告书（表）或</w:t>
      </w:r>
      <w:r>
        <w:t>环境影响自评估报告</w:t>
      </w:r>
      <w:r>
        <w:rPr>
          <w:rFonts w:hint="eastAsia"/>
        </w:rPr>
        <w:t>；</w:t>
      </w:r>
    </w:p>
    <w:p>
      <w:r>
        <w:rPr>
          <w:rFonts w:hint="eastAsia"/>
        </w:rPr>
        <w:t>2）治理措施分析报告，应包括对污染物防治的措施分析及落实情况；</w:t>
      </w:r>
    </w:p>
    <w:p>
      <w:r>
        <w:rPr>
          <w:rFonts w:hint="eastAsia"/>
        </w:rPr>
        <w:t>3）检测报告。</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8.1.7 生活垃圾应分类收集，垃圾容器和收集点的设置应合理并应与周围景观协调。</w:t>
      </w:r>
    </w:p>
    <w:p>
      <w:pPr>
        <w:spacing w:before="156" w:beforeLines="50" w:after="156" w:afterLines="50"/>
        <w:rPr>
          <w:rFonts w:ascii="Times New Roman" w:hAnsi="Times New Roman"/>
          <w:b/>
          <w:szCs w:val="21"/>
        </w:rPr>
      </w:pPr>
      <w:r>
        <w:rPr>
          <w:rFonts w:ascii="Times New Roman" w:hAnsi="Times New Roman"/>
          <w:b/>
          <w:szCs w:val="21"/>
        </w:rPr>
        <w:t>1 达标自评</w:t>
      </w:r>
    </w:p>
    <w:p>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项目是否制定垃圾管理制度：</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r>
        <w:rPr>
          <w:rFonts w:hint="eastAsia"/>
        </w:rPr>
        <w:t>垃圾管理制度中是否明确对可回收垃圾、厨余垃圾、有害垃圾等进行分类收集：</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r>
        <w:rPr>
          <w:rFonts w:hint="eastAsia"/>
        </w:rPr>
        <w:t>项目场地是否设置分类垃圾容器或收集站（点）：</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r>
        <w:rPr>
          <w:rFonts w:hint="eastAsia"/>
        </w:rPr>
        <w:t>垃圾设施是否与景观协调：</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pPr>
        <w:rPr>
          <w:rFonts w:ascii="Times New Roman" w:hAnsi="Times New Roman"/>
          <w:szCs w:val="21"/>
        </w:rPr>
      </w:pPr>
      <w:r>
        <w:rPr>
          <w:rFonts w:hint="eastAsia"/>
        </w:rPr>
        <w:t>请简要说明项目垃圾管理制度的内容，应包括垃圾容器和收集点的设置数量和位置，以及清运和处理措施。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场地内固体废弃物主要通过场地内设置有盖垃圾收集桶及物业的及时清运保证室外环境的清洁。</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t>1</w:t>
      </w:r>
      <w:r>
        <w:rPr>
          <w:rFonts w:hint="eastAsia"/>
        </w:rPr>
        <w:t>）环境卫生专业设计说明</w:t>
      </w:r>
    </w:p>
    <w:p>
      <w:r>
        <w:rPr>
          <w:rFonts w:hint="eastAsia"/>
        </w:rPr>
        <w:t>2）设备材料表；</w:t>
      </w:r>
    </w:p>
    <w:p>
      <w:r>
        <w:rPr>
          <w:rFonts w:hint="eastAsia"/>
        </w:rPr>
        <w:t>3）垃圾设施布置图；</w:t>
      </w:r>
    </w:p>
    <w:p>
      <w:r>
        <w:rPr>
          <w:rFonts w:hint="eastAsia"/>
        </w:rPr>
        <w:t>4）垃圾管理制度，应明确垃圾分类方式。</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8.2.1</w:t>
      </w:r>
      <w:r>
        <w:rPr>
          <w:rFonts w:hint="eastAsia"/>
          <w:sz w:val="24"/>
          <w:szCs w:val="40"/>
        </w:rPr>
        <w:tab/>
      </w:r>
      <w:r>
        <w:rPr>
          <w:rFonts w:hint="eastAsia"/>
          <w:sz w:val="24"/>
          <w:szCs w:val="40"/>
        </w:rPr>
        <w:t>充分保护或修复场地生态环境，合理布局建筑及景观。（10分）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103"/>
        <w:gridCol w:w="170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6" w:hRule="atLeast"/>
          <w:jc w:val="center"/>
        </w:trPr>
        <w:tc>
          <w:tcPr>
            <w:tcW w:w="780" w:type="dxa"/>
            <w:noWrap w:val="0"/>
            <w:vAlign w:val="center"/>
          </w:tcPr>
          <w:p>
            <w:pPr>
              <w:jc w:val="center"/>
              <w:rPr>
                <w:rFonts w:ascii="Times New Roman" w:hAnsi="Times New Roman"/>
                <w:lang w:val="zh-CN"/>
              </w:rPr>
            </w:pPr>
            <w:r>
              <w:rPr>
                <w:rFonts w:ascii="Times New Roman" w:hAnsi="Times New Roman"/>
                <w:lang w:val="zh-CN"/>
              </w:rPr>
              <w:t>序号</w:t>
            </w:r>
          </w:p>
        </w:tc>
        <w:tc>
          <w:tcPr>
            <w:tcW w:w="5103"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28"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jc w:val="center"/>
        </w:trPr>
        <w:tc>
          <w:tcPr>
            <w:tcW w:w="780" w:type="dxa"/>
            <w:noWrap w:val="0"/>
            <w:vAlign w:val="center"/>
          </w:tcPr>
          <w:p>
            <w:pPr>
              <w:jc w:val="center"/>
              <w:rPr>
                <w:rFonts w:ascii="Times New Roman" w:hAnsi="Times New Roman"/>
              </w:rPr>
            </w:pPr>
            <w:r>
              <w:rPr>
                <w:rFonts w:ascii="Times New Roman" w:hAnsi="Times New Roman"/>
              </w:rPr>
              <w:t>1</w:t>
            </w:r>
          </w:p>
        </w:tc>
        <w:tc>
          <w:tcPr>
            <w:tcW w:w="5103" w:type="dxa"/>
            <w:noWrap w:val="0"/>
            <w:vAlign w:val="center"/>
          </w:tcPr>
          <w:p>
            <w:pPr>
              <w:jc w:val="left"/>
              <w:rPr>
                <w:rFonts w:ascii="Times New Roman" w:hAnsi="Times New Roman"/>
              </w:rPr>
            </w:pPr>
            <w:r>
              <w:rPr>
                <w:rFonts w:ascii="Times New Roman" w:hAnsi="Times New Roman"/>
              </w:rPr>
              <w:t>保护场地内原有的自然水域、湿地、植被等，保持场地内的生态系统与场地外生态系统的连贯性</w:t>
            </w:r>
          </w:p>
        </w:tc>
        <w:tc>
          <w:tcPr>
            <w:tcW w:w="1701" w:type="dxa"/>
            <w:noWrap w:val="0"/>
            <w:vAlign w:val="center"/>
          </w:tcPr>
          <w:p>
            <w:pPr>
              <w:jc w:val="center"/>
              <w:rPr>
                <w:rFonts w:ascii="Times New Roman" w:hAnsi="Times New Roman"/>
              </w:rPr>
            </w:pPr>
            <w:r>
              <w:rPr>
                <w:rFonts w:ascii="Times New Roman" w:hAnsi="Times New Roman"/>
              </w:rPr>
              <w:t>10</w:t>
            </w:r>
          </w:p>
        </w:tc>
        <w:tc>
          <w:tcPr>
            <w:tcW w:w="1628" w:type="dxa"/>
            <w:vMerge w:val="restart"/>
            <w:noWrap w:val="0"/>
            <w:vAlign w:val="center"/>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1" w:hRule="atLeast"/>
          <w:jc w:val="center"/>
        </w:trPr>
        <w:tc>
          <w:tcPr>
            <w:tcW w:w="780" w:type="dxa"/>
            <w:noWrap w:val="0"/>
            <w:vAlign w:val="center"/>
          </w:tcPr>
          <w:p>
            <w:pPr>
              <w:jc w:val="center"/>
              <w:rPr>
                <w:rFonts w:ascii="Times New Roman" w:hAnsi="Times New Roman"/>
              </w:rPr>
            </w:pPr>
            <w:r>
              <w:rPr>
                <w:rFonts w:ascii="Times New Roman" w:hAnsi="Times New Roman"/>
              </w:rPr>
              <w:t>2</w:t>
            </w:r>
          </w:p>
        </w:tc>
        <w:tc>
          <w:tcPr>
            <w:tcW w:w="5103" w:type="dxa"/>
            <w:noWrap w:val="0"/>
            <w:vAlign w:val="center"/>
          </w:tcPr>
          <w:p>
            <w:pPr>
              <w:jc w:val="left"/>
              <w:rPr>
                <w:rFonts w:ascii="Times New Roman" w:hAnsi="Times New Roman"/>
              </w:rPr>
            </w:pPr>
            <w:r>
              <w:rPr>
                <w:rFonts w:ascii="Times New Roman" w:hAnsi="Times New Roman"/>
              </w:rPr>
              <w:t>采取净地表层土回收利用等生态补偿措施</w:t>
            </w:r>
          </w:p>
        </w:tc>
        <w:tc>
          <w:tcPr>
            <w:tcW w:w="1701" w:type="dxa"/>
            <w:noWrap w:val="0"/>
            <w:vAlign w:val="center"/>
          </w:tcPr>
          <w:p>
            <w:pPr>
              <w:jc w:val="center"/>
              <w:rPr>
                <w:rFonts w:ascii="Times New Roman" w:hAnsi="Times New Roman"/>
              </w:rPr>
            </w:pPr>
            <w:r>
              <w:rPr>
                <w:rFonts w:ascii="Times New Roman" w:hAnsi="Times New Roman"/>
              </w:rPr>
              <w:t>10</w:t>
            </w:r>
          </w:p>
        </w:tc>
        <w:tc>
          <w:tcPr>
            <w:tcW w:w="1628" w:type="dxa"/>
            <w:vMerge w:val="continue"/>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780" w:type="dxa"/>
            <w:noWrap w:val="0"/>
            <w:vAlign w:val="center"/>
          </w:tcPr>
          <w:p>
            <w:pPr>
              <w:jc w:val="center"/>
              <w:rPr>
                <w:rFonts w:ascii="Times New Roman" w:hAnsi="Times New Roman"/>
              </w:rPr>
            </w:pPr>
            <w:r>
              <w:rPr>
                <w:rFonts w:ascii="Times New Roman" w:hAnsi="Times New Roman"/>
              </w:rPr>
              <w:t>3</w:t>
            </w:r>
          </w:p>
        </w:tc>
        <w:tc>
          <w:tcPr>
            <w:tcW w:w="5103" w:type="dxa"/>
            <w:noWrap w:val="0"/>
            <w:vAlign w:val="center"/>
          </w:tcPr>
          <w:p>
            <w:pPr>
              <w:jc w:val="left"/>
              <w:rPr>
                <w:rFonts w:ascii="Times New Roman" w:hAnsi="Times New Roman"/>
                <w:kern w:val="0"/>
              </w:rPr>
            </w:pPr>
            <w:r>
              <w:rPr>
                <w:rFonts w:ascii="Times New Roman" w:hAnsi="Times New Roman"/>
                <w:kern w:val="0"/>
              </w:rPr>
              <w:t>根据场地实际状况，采取其他生态恢复或补偿措施</w:t>
            </w:r>
          </w:p>
        </w:tc>
        <w:tc>
          <w:tcPr>
            <w:tcW w:w="1701" w:type="dxa"/>
            <w:noWrap w:val="0"/>
            <w:vAlign w:val="center"/>
          </w:tcPr>
          <w:p>
            <w:pPr>
              <w:jc w:val="center"/>
              <w:rPr>
                <w:rFonts w:ascii="Times New Roman" w:hAnsi="Times New Roman"/>
              </w:rPr>
            </w:pPr>
            <w:r>
              <w:rPr>
                <w:rFonts w:ascii="Times New Roman" w:hAnsi="Times New Roman"/>
              </w:rPr>
              <w:t>10</w:t>
            </w:r>
          </w:p>
        </w:tc>
        <w:tc>
          <w:tcPr>
            <w:tcW w:w="1628" w:type="dxa"/>
            <w:vMerge w:val="continue"/>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5883" w:type="dxa"/>
            <w:gridSpan w:val="2"/>
            <w:noWrap w:val="0"/>
            <w:vAlign w:val="center"/>
          </w:tcPr>
          <w:p>
            <w:pPr>
              <w:jc w:val="center"/>
              <w:rPr>
                <w:rFonts w:ascii="Times New Roman" w:hAnsi="Times New Roman"/>
                <w:kern w:val="0"/>
              </w:rPr>
            </w:pPr>
            <w:r>
              <w:rPr>
                <w:rFonts w:ascii="Times New Roman" w:hAnsi="Times New Roman"/>
                <w:kern w:val="0"/>
              </w:rPr>
              <w:t>合计</w:t>
            </w:r>
          </w:p>
        </w:tc>
        <w:tc>
          <w:tcPr>
            <w:tcW w:w="1701" w:type="dxa"/>
            <w:noWrap w:val="0"/>
            <w:vAlign w:val="center"/>
          </w:tcPr>
          <w:p>
            <w:pPr>
              <w:jc w:val="center"/>
              <w:rPr>
                <w:rFonts w:ascii="Times New Roman" w:hAnsi="Times New Roman"/>
              </w:rPr>
            </w:pPr>
            <w:r>
              <w:rPr>
                <w:rFonts w:ascii="Times New Roman" w:hAnsi="Times New Roman"/>
              </w:rPr>
              <w:t>10</w:t>
            </w:r>
          </w:p>
        </w:tc>
        <w:tc>
          <w:tcPr>
            <w:tcW w:w="1628" w:type="dxa"/>
            <w:noWrap w:val="0"/>
            <w:vAlign w:val="center"/>
          </w:tcPr>
          <w:p>
            <w:pPr>
              <w:jc w:val="center"/>
              <w:rPr>
                <w:rFonts w:ascii="Times New Roman" w:hAnsi="Times New Roma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jc w:val="left"/>
        <w:rPr>
          <w:lang w:val="zh-CN"/>
        </w:rPr>
      </w:pPr>
      <w:r>
        <w:rPr>
          <w:rFonts w:hint="eastAsia"/>
          <w:lang w:val="zh-CN"/>
        </w:rPr>
        <w:t>保护或修复场地生态环境的措施</w:t>
      </w:r>
    </w:p>
    <w:p>
      <w:pPr>
        <w:jc w:val="left"/>
        <w:rPr>
          <w:u w:val="single"/>
          <w:lang w:val="zh-CN"/>
        </w:rPr>
      </w:pPr>
      <w:r>
        <w:rPr>
          <w:rFonts w:hint="eastAsia"/>
          <w:lang w:val="zh-CN"/>
        </w:rPr>
        <w:t>为：</w:t>
      </w:r>
      <w:r>
        <w:rPr>
          <w:rFonts w:hint="eastAsia"/>
          <w:u w:val="single"/>
          <w:lang w:val="zh-CN"/>
        </w:rPr>
        <w:t xml:space="preserve"> </w:t>
      </w:r>
      <w:r>
        <w:rPr>
          <w:u w:val="single"/>
          <w:lang w:val="zh-CN"/>
        </w:rPr>
        <w:t xml:space="preserve">          </w:t>
      </w:r>
      <w:r>
        <w:rPr>
          <w:rFonts w:hint="eastAsia"/>
          <w:lang w:val="zh-CN"/>
        </w:rPr>
        <w:t>。</w:t>
      </w:r>
    </w:p>
    <w:p>
      <w:pPr>
        <w:rPr>
          <w:rFonts w:ascii="Times New Roman" w:hAnsi="Times New Roman"/>
          <w:szCs w:val="21"/>
        </w:rPr>
      </w:pPr>
      <w:r>
        <w:rPr>
          <w:rFonts w:hint="eastAsia"/>
          <w:lang w:val="zh-CN"/>
        </w:rPr>
        <w:t>请简要说明项目保护或修复场地生态环境的具体内容。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现有场地平整，且不含自然水域、湿地等地形，且对原有表层土进行保护利用。</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rPr>
          <w:rFonts w:hint="eastAsia"/>
        </w:rPr>
        <w:t>1）场地地形图、竣工总平面图；</w:t>
      </w:r>
    </w:p>
    <w:p>
      <w:r>
        <w:rPr>
          <w:rFonts w:hint="eastAsia"/>
        </w:rPr>
        <w:t>2）竖向设计图；景观专业竣工图纸及设计说明；</w:t>
      </w:r>
    </w:p>
    <w:p>
      <w:r>
        <w:rPr>
          <w:rFonts w:hint="eastAsia"/>
        </w:rPr>
        <w:t>3）生态补偿方案，应包括植被保护方案及记录、水面保留方案、表层土利用相关内容、表层土收集利用量计算书；</w:t>
      </w:r>
    </w:p>
    <w:p>
      <w:r>
        <w:rPr>
          <w:rFonts w:hint="eastAsia"/>
        </w:rPr>
        <w:t>4）施工记录、影像资料文件。</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8.2.2 规划场地地表和屋面雨水径流，对场地雨水实施外排总量控制。（10分）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4962"/>
        <w:gridCol w:w="1701"/>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7" w:hRule="atLeast"/>
          <w:jc w:val="center"/>
        </w:trPr>
        <w:tc>
          <w:tcPr>
            <w:tcW w:w="922" w:type="dxa"/>
            <w:noWrap w:val="0"/>
            <w:vAlign w:val="center"/>
          </w:tcPr>
          <w:p>
            <w:pPr>
              <w:jc w:val="center"/>
              <w:rPr>
                <w:rFonts w:ascii="Times New Roman" w:hAnsi="Times New Roman"/>
                <w:lang w:val="zh-CN"/>
              </w:rPr>
            </w:pPr>
            <w:r>
              <w:rPr>
                <w:rFonts w:ascii="Times New Roman" w:hAnsi="Times New Roman"/>
                <w:lang w:val="zh-CN"/>
              </w:rPr>
              <w:t>序号</w:t>
            </w:r>
          </w:p>
        </w:tc>
        <w:tc>
          <w:tcPr>
            <w:tcW w:w="4962"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29"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noWrap w:val="0"/>
            <w:vAlign w:val="center"/>
          </w:tcPr>
          <w:p>
            <w:pPr>
              <w:jc w:val="center"/>
              <w:rPr>
                <w:rFonts w:ascii="Times New Roman" w:hAnsi="Times New Roman"/>
              </w:rPr>
            </w:pPr>
            <w:r>
              <w:rPr>
                <w:rFonts w:ascii="Times New Roman" w:hAnsi="Times New Roman"/>
              </w:rPr>
              <w:t>1</w:t>
            </w:r>
          </w:p>
        </w:tc>
        <w:tc>
          <w:tcPr>
            <w:tcW w:w="4962" w:type="dxa"/>
            <w:noWrap w:val="0"/>
            <w:vAlign w:val="center"/>
          </w:tcPr>
          <w:p>
            <w:pPr>
              <w:jc w:val="left"/>
              <w:rPr>
                <w:rFonts w:ascii="Times New Roman" w:hAnsi="Times New Roman"/>
              </w:rPr>
            </w:pPr>
            <w:r>
              <w:rPr>
                <w:rFonts w:ascii="Times New Roman" w:hAnsi="Times New Roman"/>
              </w:rPr>
              <w:t>场地年径流总量控制率达到55%</w:t>
            </w:r>
          </w:p>
        </w:tc>
        <w:tc>
          <w:tcPr>
            <w:tcW w:w="1701" w:type="dxa"/>
            <w:noWrap w:val="0"/>
            <w:vAlign w:val="center"/>
          </w:tcPr>
          <w:p>
            <w:pPr>
              <w:jc w:val="center"/>
              <w:rPr>
                <w:rFonts w:ascii="Times New Roman" w:hAnsi="Times New Roman"/>
                <w:lang w:val="zh-CN"/>
              </w:rPr>
            </w:pPr>
            <w:r>
              <w:rPr>
                <w:rFonts w:ascii="Times New Roman" w:hAnsi="Times New Roman"/>
                <w:lang w:val="zh-CN"/>
              </w:rPr>
              <w:t>5</w:t>
            </w:r>
          </w:p>
        </w:tc>
        <w:tc>
          <w:tcPr>
            <w:tcW w:w="1629" w:type="dxa"/>
            <w:vMerge w:val="restart"/>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noWrap w:val="0"/>
            <w:vAlign w:val="center"/>
          </w:tcPr>
          <w:p>
            <w:pPr>
              <w:jc w:val="center"/>
              <w:rPr>
                <w:rFonts w:ascii="Times New Roman" w:hAnsi="Times New Roman"/>
              </w:rPr>
            </w:pPr>
            <w:r>
              <w:rPr>
                <w:rFonts w:ascii="Times New Roman" w:hAnsi="Times New Roman"/>
              </w:rPr>
              <w:t>2</w:t>
            </w:r>
          </w:p>
        </w:tc>
        <w:tc>
          <w:tcPr>
            <w:tcW w:w="4962" w:type="dxa"/>
            <w:noWrap w:val="0"/>
            <w:vAlign w:val="center"/>
          </w:tcPr>
          <w:p>
            <w:pPr>
              <w:jc w:val="left"/>
              <w:rPr>
                <w:rFonts w:ascii="Times New Roman" w:hAnsi="Times New Roman"/>
              </w:rPr>
            </w:pPr>
            <w:r>
              <w:rPr>
                <w:rFonts w:ascii="Times New Roman" w:hAnsi="Times New Roman"/>
              </w:rPr>
              <w:t>场地年径流总量控制率达到70%</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629" w:type="dxa"/>
            <w:vMerge w:val="continue"/>
            <w:noWrap w:val="0"/>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5884" w:type="dxa"/>
            <w:gridSpan w:val="2"/>
            <w:noWrap w:val="0"/>
            <w:vAlign w:val="center"/>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629"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u w:val="single"/>
        </w:rPr>
      </w:pPr>
      <w:r>
        <w:rPr>
          <w:rFonts w:hint="eastAsia"/>
        </w:rPr>
        <w:t>项目所在地</w:t>
      </w:r>
      <w:r>
        <w:rPr>
          <w:rFonts w:hint="eastAsia"/>
          <w:u w:val="single"/>
        </w:rPr>
        <w:t xml:space="preserve">   </w:t>
      </w:r>
      <w:r>
        <w:rPr>
          <w:u w:val="single"/>
        </w:rPr>
        <w:t xml:space="preserve">        </w:t>
      </w:r>
      <w:r>
        <w:rPr>
          <w:rFonts w:hint="eastAsia"/>
          <w:u w:val="single"/>
        </w:rPr>
        <w:t xml:space="preserve">    </w:t>
      </w:r>
      <w:r>
        <w:rPr>
          <w:rFonts w:hint="eastAsia"/>
        </w:rPr>
        <w:t>，当地年均降雨量</w:t>
      </w:r>
      <w:r>
        <w:rPr>
          <w:rFonts w:hint="eastAsia"/>
          <w:u w:val="single"/>
        </w:rPr>
        <w:t xml:space="preserve">  </w:t>
      </w:r>
      <w:r>
        <w:rPr>
          <w:u w:val="single"/>
        </w:rPr>
        <w:t xml:space="preserve">     </w:t>
      </w:r>
      <w:r>
        <w:rPr>
          <w:rFonts w:hint="eastAsia"/>
          <w:u w:val="single"/>
        </w:rPr>
        <w:t xml:space="preserve">     </w:t>
      </w:r>
      <w:r>
        <w:t>mm</w:t>
      </w:r>
    </w:p>
    <w:p>
      <w:pPr>
        <w:rPr>
          <w:u w:val="single"/>
        </w:rPr>
      </w:pPr>
      <w:r>
        <w:rPr>
          <w:rFonts w:hint="eastAsia"/>
        </w:rPr>
        <w:t>场地年综合径流系数</w:t>
      </w:r>
      <w:r>
        <w:rPr>
          <w:rFonts w:hint="eastAsia"/>
          <w:u w:val="single"/>
        </w:rPr>
        <w:t xml:space="preserve">       </w:t>
      </w:r>
      <w:r>
        <w:rPr>
          <w:rFonts w:hint="eastAsia"/>
        </w:rPr>
        <w:t>，场地年径流总量控制率</w:t>
      </w:r>
      <w:r>
        <w:rPr>
          <w:rFonts w:hint="eastAsia"/>
          <w:u w:val="single"/>
        </w:rPr>
        <w:t xml:space="preserve">      </w:t>
      </w:r>
      <w:r>
        <w:rPr>
          <w:rFonts w:hint="eastAsia"/>
        </w:rPr>
        <w:t>%</w:t>
      </w:r>
    </w:p>
    <w:p>
      <w:pPr>
        <w:rPr>
          <w:rFonts w:ascii="Times New Roman" w:hAnsi="Times New Roman"/>
          <w:szCs w:val="21"/>
        </w:rPr>
      </w:pPr>
      <w:r>
        <w:rPr>
          <w:rFonts w:hint="eastAsia"/>
        </w:rPr>
        <w:t>请简要说明雨水外排控制措施。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雨水通过管网汇集，通过截污挂篮、弃流过滤收集至蓄水池，利用雨水处理设备对水质进行消毒和初过滤，然后送至景观水池。景观水池设循环泵和循环给水管，利用地埋一体机实现水质的精细过滤，进行自循环净化处理。</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rPr>
          <w:rFonts w:hint="eastAsia"/>
        </w:rPr>
        <w:t>1）景观专业竣工图纸及设计说明，应包括总平面竖向图、场地铺装平面图、种植图、雨水生态调蓄、处理设施详图；</w:t>
      </w:r>
    </w:p>
    <w:p>
      <w:r>
        <w:rPr>
          <w:rFonts w:hint="eastAsia"/>
        </w:rPr>
        <w:t>2）给排水专业竣工图纸及设计说明，应包括室外雨水平面图、雨水利用设施工艺图或调蓄设施详图；</w:t>
      </w:r>
    </w:p>
    <w:p>
      <w:r>
        <w:rPr>
          <w:rFonts w:hint="eastAsia"/>
        </w:rPr>
        <w:t>3）雨水外排控制专项规划设计实施文件，应包括年径流总量控制率计算书、设计控制雨量计算书、场地雨水综合利用方案等。</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8.2.3 充分利用场地空间设置绿化用地。（16分）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60"/>
        <w:gridCol w:w="1417"/>
        <w:gridCol w:w="1985"/>
        <w:gridCol w:w="170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904" w:type="dxa"/>
            <w:noWrap w:val="0"/>
            <w:vAlign w:val="center"/>
          </w:tcPr>
          <w:p>
            <w:pPr>
              <w:jc w:val="center"/>
              <w:rPr>
                <w:rFonts w:ascii="Times New Roman" w:hAnsi="Times New Roman"/>
                <w:szCs w:val="21"/>
              </w:rPr>
            </w:pPr>
            <w:r>
              <w:rPr>
                <w:rFonts w:ascii="Times New Roman" w:hAnsi="Times New Roman"/>
                <w:szCs w:val="21"/>
              </w:rPr>
              <w:t>类型</w:t>
            </w:r>
          </w:p>
        </w:tc>
        <w:tc>
          <w:tcPr>
            <w:tcW w:w="4962" w:type="dxa"/>
            <w:gridSpan w:val="3"/>
            <w:noWrap w:val="0"/>
            <w:vAlign w:val="center"/>
          </w:tcPr>
          <w:p>
            <w:pPr>
              <w:jc w:val="center"/>
              <w:rPr>
                <w:rFonts w:ascii="Times New Roman" w:hAnsi="Times New Roman"/>
                <w:szCs w:val="21"/>
              </w:rPr>
            </w:pPr>
            <w:r>
              <w:rPr>
                <w:rFonts w:ascii="Times New Roman" w:hAnsi="Times New Roman"/>
                <w:szCs w:val="21"/>
              </w:rPr>
              <w:t>评价内容</w:t>
            </w:r>
          </w:p>
        </w:tc>
        <w:tc>
          <w:tcPr>
            <w:tcW w:w="1701" w:type="dxa"/>
            <w:noWrap w:val="0"/>
            <w:vAlign w:val="center"/>
          </w:tcPr>
          <w:p>
            <w:pPr>
              <w:jc w:val="center"/>
              <w:rPr>
                <w:rFonts w:ascii="Times New Roman" w:hAnsi="Times New Roman"/>
                <w:szCs w:val="21"/>
              </w:rPr>
            </w:pPr>
            <w:r>
              <w:rPr>
                <w:rFonts w:ascii="Times New Roman" w:hAnsi="Times New Roman"/>
                <w:szCs w:val="21"/>
              </w:rPr>
              <w:t>评价分值</w:t>
            </w:r>
          </w:p>
        </w:tc>
        <w:tc>
          <w:tcPr>
            <w:tcW w:w="1610" w:type="dxa"/>
            <w:noWrap w:val="0"/>
            <w:vAlign w:val="center"/>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restart"/>
            <w:noWrap w:val="0"/>
            <w:vAlign w:val="center"/>
          </w:tcPr>
          <w:p>
            <w:pPr>
              <w:jc w:val="center"/>
              <w:rPr>
                <w:rFonts w:ascii="Times New Roman" w:hAnsi="Times New Roman"/>
                <w:szCs w:val="21"/>
              </w:rPr>
            </w:pPr>
            <w:r>
              <w:rPr>
                <w:rFonts w:hint="eastAsia" w:ascii="MS Mincho" w:hAnsi="MS Mincho" w:eastAsia="MS Mincho" w:cs="MS Mincho"/>
                <w:szCs w:val="21"/>
              </w:rPr>
              <w:t>☐</w:t>
            </w:r>
          </w:p>
          <w:p>
            <w:pPr>
              <w:jc w:val="center"/>
              <w:rPr>
                <w:rFonts w:ascii="Times New Roman" w:hAnsi="Times New Roman"/>
                <w:szCs w:val="21"/>
              </w:rPr>
            </w:pPr>
            <w:r>
              <w:rPr>
                <w:rFonts w:ascii="Times New Roman" w:hAnsi="Times New Roman"/>
                <w:szCs w:val="21"/>
              </w:rPr>
              <w:t>居建</w:t>
            </w:r>
          </w:p>
        </w:tc>
        <w:tc>
          <w:tcPr>
            <w:tcW w:w="4962" w:type="dxa"/>
            <w:gridSpan w:val="3"/>
            <w:noWrap w:val="0"/>
            <w:vAlign w:val="center"/>
          </w:tcPr>
          <w:p>
            <w:pPr>
              <w:jc w:val="center"/>
              <w:rPr>
                <w:rFonts w:ascii="Times New Roman" w:hAnsi="Times New Roman"/>
                <w:szCs w:val="21"/>
              </w:rPr>
            </w:pPr>
            <w:r>
              <w:rPr>
                <w:rFonts w:ascii="Times New Roman" w:hAnsi="Times New Roman"/>
                <w:szCs w:val="21"/>
              </w:rPr>
              <w:t>绿地率≥规划指标105%</w:t>
            </w:r>
          </w:p>
        </w:tc>
        <w:tc>
          <w:tcPr>
            <w:tcW w:w="1701" w:type="dxa"/>
            <w:noWrap w:val="0"/>
            <w:vAlign w:val="center"/>
          </w:tcPr>
          <w:p>
            <w:pPr>
              <w:jc w:val="center"/>
              <w:rPr>
                <w:rFonts w:ascii="Times New Roman" w:hAnsi="Times New Roman"/>
                <w:szCs w:val="21"/>
              </w:rPr>
            </w:pPr>
            <w:r>
              <w:rPr>
                <w:rFonts w:ascii="Times New Roman" w:hAnsi="Times New Roman"/>
                <w:szCs w:val="21"/>
              </w:rPr>
              <w:t>10</w:t>
            </w:r>
          </w:p>
        </w:tc>
        <w:tc>
          <w:tcPr>
            <w:tcW w:w="1610" w:type="dxa"/>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continue"/>
            <w:noWrap w:val="0"/>
            <w:vAlign w:val="center"/>
          </w:tcPr>
          <w:p>
            <w:pPr>
              <w:jc w:val="center"/>
              <w:rPr>
                <w:rFonts w:ascii="Times New Roman" w:hAnsi="Times New Roman"/>
                <w:szCs w:val="21"/>
              </w:rPr>
            </w:pPr>
          </w:p>
        </w:tc>
        <w:tc>
          <w:tcPr>
            <w:tcW w:w="1560" w:type="dxa"/>
            <w:vMerge w:val="restart"/>
            <w:noWrap w:val="0"/>
            <w:vAlign w:val="center"/>
          </w:tcPr>
          <w:p>
            <w:pPr>
              <w:jc w:val="center"/>
              <w:rPr>
                <w:rFonts w:ascii="Times New Roman" w:hAnsi="Times New Roman"/>
                <w:szCs w:val="21"/>
              </w:rPr>
            </w:pPr>
            <w:r>
              <w:rPr>
                <w:rFonts w:ascii="Times New Roman" w:hAnsi="Times New Roman"/>
                <w:szCs w:val="21"/>
              </w:rPr>
              <w:t>项目所在居住街坊内人均集中绿地面积</w:t>
            </w:r>
            <w:r>
              <w:rPr>
                <w:rFonts w:ascii="Times New Roman" w:hAnsi="Times New Roman"/>
                <w:i/>
                <w:szCs w:val="21"/>
              </w:rPr>
              <w:t>Ag</w:t>
            </w:r>
          </w:p>
        </w:tc>
        <w:tc>
          <w:tcPr>
            <w:tcW w:w="1417" w:type="dxa"/>
            <w:vMerge w:val="restart"/>
            <w:noWrap w:val="0"/>
            <w:vAlign w:val="center"/>
          </w:tcPr>
          <w:p>
            <w:pPr>
              <w:jc w:val="center"/>
              <w:rPr>
                <w:rFonts w:ascii="Times New Roman" w:hAnsi="Times New Roman"/>
                <w:color w:val="808080"/>
                <w:szCs w:val="21"/>
              </w:rPr>
            </w:pPr>
            <w:r>
              <w:rPr>
                <w:rFonts w:hint="eastAsia"/>
                <w:sz w:val="28"/>
              </w:rPr>
              <w:sym w:font="Wingdings 2" w:char="F0A3"/>
            </w:r>
            <w:r>
              <w:rPr>
                <w:rFonts w:ascii="Times New Roman" w:hAnsi="Times New Roman"/>
                <w:szCs w:val="21"/>
              </w:rPr>
              <w:t>新区建设</w:t>
            </w:r>
          </w:p>
        </w:tc>
        <w:tc>
          <w:tcPr>
            <w:tcW w:w="1985" w:type="dxa"/>
            <w:noWrap w:val="0"/>
            <w:vAlign w:val="center"/>
          </w:tcPr>
          <w:p>
            <w:pPr>
              <w:jc w:val="center"/>
              <w:rPr>
                <w:rFonts w:ascii="Times New Roman" w:hAnsi="Times New Roman"/>
                <w:szCs w:val="21"/>
              </w:rPr>
            </w:pPr>
            <w:r>
              <w:rPr>
                <w:rFonts w:ascii="Times New Roman" w:hAnsi="Times New Roman"/>
                <w:szCs w:val="21"/>
              </w:rPr>
              <w:t>0.50</w:t>
            </w:r>
          </w:p>
        </w:tc>
        <w:tc>
          <w:tcPr>
            <w:tcW w:w="1701" w:type="dxa"/>
            <w:noWrap w:val="0"/>
            <w:vAlign w:val="center"/>
          </w:tcPr>
          <w:p>
            <w:pPr>
              <w:jc w:val="center"/>
              <w:rPr>
                <w:rFonts w:ascii="Times New Roman" w:hAnsi="Times New Roman"/>
                <w:szCs w:val="21"/>
              </w:rPr>
            </w:pPr>
            <w:r>
              <w:rPr>
                <w:rFonts w:ascii="Times New Roman" w:hAnsi="Times New Roman"/>
                <w:szCs w:val="21"/>
              </w:rPr>
              <w:t>2</w:t>
            </w:r>
          </w:p>
        </w:tc>
        <w:tc>
          <w:tcPr>
            <w:tcW w:w="1610" w:type="dxa"/>
            <w:vMerge w:val="restar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continue"/>
            <w:noWrap w:val="0"/>
            <w:vAlign w:val="center"/>
          </w:tcPr>
          <w:p>
            <w:pPr>
              <w:jc w:val="center"/>
              <w:rPr>
                <w:rFonts w:ascii="Times New Roman" w:hAnsi="Times New Roman"/>
                <w:szCs w:val="21"/>
              </w:rPr>
            </w:pPr>
          </w:p>
        </w:tc>
        <w:tc>
          <w:tcPr>
            <w:tcW w:w="1560" w:type="dxa"/>
            <w:vMerge w:val="continue"/>
            <w:noWrap w:val="0"/>
            <w:vAlign w:val="center"/>
          </w:tcPr>
          <w:p>
            <w:pPr>
              <w:jc w:val="center"/>
              <w:rPr>
                <w:rFonts w:ascii="Times New Roman" w:hAnsi="Times New Roman"/>
                <w:szCs w:val="21"/>
              </w:rPr>
            </w:pPr>
          </w:p>
        </w:tc>
        <w:tc>
          <w:tcPr>
            <w:tcW w:w="1417" w:type="dxa"/>
            <w:vMerge w:val="continue"/>
            <w:noWrap w:val="0"/>
            <w:vAlign w:val="center"/>
          </w:tcPr>
          <w:p>
            <w:pPr>
              <w:jc w:val="center"/>
              <w:rPr>
                <w:rFonts w:ascii="Times New Roman" w:hAnsi="Times New Roman"/>
                <w:color w:val="808080"/>
                <w:szCs w:val="21"/>
              </w:rPr>
            </w:pPr>
          </w:p>
        </w:tc>
        <w:tc>
          <w:tcPr>
            <w:tcW w:w="1985" w:type="dxa"/>
            <w:noWrap w:val="0"/>
            <w:vAlign w:val="center"/>
          </w:tcPr>
          <w:p>
            <w:pPr>
              <w:jc w:val="center"/>
              <w:rPr>
                <w:rFonts w:ascii="Times New Roman" w:hAnsi="Times New Roman"/>
                <w:szCs w:val="21"/>
              </w:rPr>
            </w:pPr>
            <w:r>
              <w:rPr>
                <w:rFonts w:ascii="Times New Roman" w:hAnsi="Times New Roman"/>
                <w:szCs w:val="21"/>
              </w:rPr>
              <w:t>0.50＜</w:t>
            </w:r>
            <w:r>
              <w:rPr>
                <w:rFonts w:ascii="Times New Roman" w:hAnsi="Times New Roman"/>
                <w:i/>
                <w:szCs w:val="21"/>
              </w:rPr>
              <w:t>Ag</w:t>
            </w:r>
            <w:r>
              <w:rPr>
                <w:rFonts w:ascii="Times New Roman" w:hAnsi="Times New Roman"/>
                <w:szCs w:val="21"/>
              </w:rPr>
              <w:t>＜0.60</w:t>
            </w:r>
          </w:p>
        </w:tc>
        <w:tc>
          <w:tcPr>
            <w:tcW w:w="1701" w:type="dxa"/>
            <w:noWrap w:val="0"/>
            <w:vAlign w:val="center"/>
          </w:tcPr>
          <w:p>
            <w:pPr>
              <w:jc w:val="center"/>
              <w:rPr>
                <w:rFonts w:ascii="Times New Roman" w:hAnsi="Times New Roman"/>
                <w:szCs w:val="21"/>
              </w:rPr>
            </w:pPr>
            <w:r>
              <w:rPr>
                <w:rFonts w:ascii="Times New Roman" w:hAnsi="Times New Roman"/>
                <w:szCs w:val="21"/>
              </w:rPr>
              <w:t>4</w:t>
            </w:r>
          </w:p>
        </w:tc>
        <w:tc>
          <w:tcPr>
            <w:tcW w:w="1610"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continue"/>
            <w:noWrap w:val="0"/>
            <w:vAlign w:val="center"/>
          </w:tcPr>
          <w:p>
            <w:pPr>
              <w:jc w:val="center"/>
              <w:rPr>
                <w:rFonts w:ascii="Times New Roman" w:hAnsi="Times New Roman"/>
                <w:szCs w:val="21"/>
              </w:rPr>
            </w:pPr>
          </w:p>
        </w:tc>
        <w:tc>
          <w:tcPr>
            <w:tcW w:w="1560" w:type="dxa"/>
            <w:vMerge w:val="continue"/>
            <w:noWrap w:val="0"/>
            <w:vAlign w:val="center"/>
          </w:tcPr>
          <w:p>
            <w:pPr>
              <w:jc w:val="center"/>
              <w:rPr>
                <w:rFonts w:ascii="Times New Roman" w:hAnsi="Times New Roman"/>
                <w:szCs w:val="21"/>
              </w:rPr>
            </w:pPr>
          </w:p>
        </w:tc>
        <w:tc>
          <w:tcPr>
            <w:tcW w:w="1417" w:type="dxa"/>
            <w:vMerge w:val="continue"/>
            <w:noWrap w:val="0"/>
            <w:vAlign w:val="center"/>
          </w:tcPr>
          <w:p>
            <w:pPr>
              <w:jc w:val="center"/>
              <w:rPr>
                <w:rFonts w:ascii="Times New Roman" w:hAnsi="Times New Roman"/>
                <w:szCs w:val="21"/>
              </w:rPr>
            </w:pPr>
          </w:p>
        </w:tc>
        <w:tc>
          <w:tcPr>
            <w:tcW w:w="1985" w:type="dxa"/>
            <w:noWrap w:val="0"/>
            <w:vAlign w:val="center"/>
          </w:tcPr>
          <w:p>
            <w:pPr>
              <w:jc w:val="center"/>
              <w:rPr>
                <w:rFonts w:ascii="Times New Roman" w:hAnsi="Times New Roman"/>
                <w:szCs w:val="21"/>
              </w:rPr>
            </w:pPr>
            <w:r>
              <w:rPr>
                <w:rFonts w:ascii="Times New Roman" w:hAnsi="Times New Roman"/>
                <w:i/>
                <w:szCs w:val="21"/>
              </w:rPr>
              <w:t>Ag</w:t>
            </w:r>
            <w:r>
              <w:rPr>
                <w:rFonts w:ascii="Times New Roman" w:hAnsi="Times New Roman"/>
                <w:szCs w:val="21"/>
              </w:rPr>
              <w:t>≥0.60</w:t>
            </w:r>
          </w:p>
        </w:tc>
        <w:tc>
          <w:tcPr>
            <w:tcW w:w="1701" w:type="dxa"/>
            <w:noWrap w:val="0"/>
            <w:vAlign w:val="center"/>
          </w:tcPr>
          <w:p>
            <w:pPr>
              <w:jc w:val="center"/>
              <w:rPr>
                <w:rFonts w:ascii="Times New Roman" w:hAnsi="Times New Roman"/>
                <w:szCs w:val="21"/>
              </w:rPr>
            </w:pPr>
            <w:r>
              <w:rPr>
                <w:rFonts w:ascii="Times New Roman" w:hAnsi="Times New Roman"/>
                <w:szCs w:val="21"/>
              </w:rPr>
              <w:t>6</w:t>
            </w:r>
          </w:p>
        </w:tc>
        <w:tc>
          <w:tcPr>
            <w:tcW w:w="1610"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continue"/>
            <w:noWrap w:val="0"/>
            <w:vAlign w:val="center"/>
          </w:tcPr>
          <w:p>
            <w:pPr>
              <w:jc w:val="center"/>
              <w:rPr>
                <w:rFonts w:ascii="Times New Roman" w:hAnsi="Times New Roman"/>
                <w:szCs w:val="21"/>
              </w:rPr>
            </w:pPr>
          </w:p>
        </w:tc>
        <w:tc>
          <w:tcPr>
            <w:tcW w:w="1560" w:type="dxa"/>
            <w:vMerge w:val="continue"/>
            <w:noWrap w:val="0"/>
            <w:vAlign w:val="center"/>
          </w:tcPr>
          <w:p>
            <w:pPr>
              <w:jc w:val="center"/>
              <w:rPr>
                <w:rFonts w:ascii="Times New Roman" w:hAnsi="Times New Roman"/>
                <w:szCs w:val="21"/>
              </w:rPr>
            </w:pPr>
          </w:p>
        </w:tc>
        <w:tc>
          <w:tcPr>
            <w:tcW w:w="1417" w:type="dxa"/>
            <w:vMerge w:val="restart"/>
            <w:noWrap w:val="0"/>
            <w:vAlign w:val="center"/>
          </w:tcPr>
          <w:p>
            <w:pPr>
              <w:jc w:val="center"/>
              <w:rPr>
                <w:rFonts w:ascii="Times New Roman" w:hAnsi="Times New Roman"/>
                <w:szCs w:val="21"/>
              </w:rPr>
            </w:pPr>
            <w:r>
              <w:rPr>
                <w:rFonts w:hint="eastAsia"/>
                <w:sz w:val="28"/>
              </w:rPr>
              <w:sym w:font="Wingdings 2" w:char="F0A3"/>
            </w:r>
            <w:r>
              <w:rPr>
                <w:rFonts w:ascii="Times New Roman" w:hAnsi="Times New Roman"/>
                <w:szCs w:val="21"/>
              </w:rPr>
              <w:t>旧区改造</w:t>
            </w:r>
          </w:p>
        </w:tc>
        <w:tc>
          <w:tcPr>
            <w:tcW w:w="1985" w:type="dxa"/>
            <w:noWrap w:val="0"/>
            <w:vAlign w:val="center"/>
          </w:tcPr>
          <w:p>
            <w:pPr>
              <w:jc w:val="center"/>
              <w:rPr>
                <w:rFonts w:ascii="Times New Roman" w:hAnsi="Times New Roman"/>
                <w:szCs w:val="21"/>
              </w:rPr>
            </w:pPr>
            <w:r>
              <w:rPr>
                <w:rFonts w:ascii="Times New Roman" w:hAnsi="Times New Roman"/>
                <w:szCs w:val="21"/>
              </w:rPr>
              <w:t>0.35</w:t>
            </w:r>
          </w:p>
        </w:tc>
        <w:tc>
          <w:tcPr>
            <w:tcW w:w="1701" w:type="dxa"/>
            <w:noWrap w:val="0"/>
            <w:vAlign w:val="center"/>
          </w:tcPr>
          <w:p>
            <w:pPr>
              <w:jc w:val="center"/>
              <w:rPr>
                <w:rFonts w:ascii="Times New Roman" w:hAnsi="Times New Roman"/>
                <w:szCs w:val="21"/>
              </w:rPr>
            </w:pPr>
            <w:r>
              <w:rPr>
                <w:rFonts w:ascii="Times New Roman" w:hAnsi="Times New Roman"/>
                <w:szCs w:val="21"/>
              </w:rPr>
              <w:t>2</w:t>
            </w:r>
          </w:p>
        </w:tc>
        <w:tc>
          <w:tcPr>
            <w:tcW w:w="1610" w:type="dxa"/>
            <w:vMerge w:val="restar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continue"/>
            <w:noWrap w:val="0"/>
            <w:vAlign w:val="center"/>
          </w:tcPr>
          <w:p>
            <w:pPr>
              <w:jc w:val="center"/>
              <w:rPr>
                <w:rFonts w:ascii="Times New Roman" w:hAnsi="Times New Roman"/>
                <w:szCs w:val="21"/>
              </w:rPr>
            </w:pPr>
          </w:p>
        </w:tc>
        <w:tc>
          <w:tcPr>
            <w:tcW w:w="1560" w:type="dxa"/>
            <w:vMerge w:val="continue"/>
            <w:noWrap w:val="0"/>
            <w:vAlign w:val="center"/>
          </w:tcPr>
          <w:p>
            <w:pPr>
              <w:jc w:val="center"/>
              <w:rPr>
                <w:rFonts w:ascii="Times New Roman" w:hAnsi="Times New Roman"/>
                <w:szCs w:val="21"/>
              </w:rPr>
            </w:pPr>
          </w:p>
        </w:tc>
        <w:tc>
          <w:tcPr>
            <w:tcW w:w="1417" w:type="dxa"/>
            <w:vMerge w:val="continue"/>
            <w:noWrap w:val="0"/>
            <w:vAlign w:val="center"/>
          </w:tcPr>
          <w:p>
            <w:pPr>
              <w:jc w:val="center"/>
              <w:rPr>
                <w:rFonts w:ascii="Times New Roman" w:hAnsi="Times New Roman"/>
                <w:color w:val="808080"/>
                <w:szCs w:val="21"/>
              </w:rPr>
            </w:pPr>
          </w:p>
        </w:tc>
        <w:tc>
          <w:tcPr>
            <w:tcW w:w="1985" w:type="dxa"/>
            <w:noWrap w:val="0"/>
            <w:vAlign w:val="center"/>
          </w:tcPr>
          <w:p>
            <w:pPr>
              <w:jc w:val="center"/>
              <w:rPr>
                <w:rFonts w:ascii="Times New Roman" w:hAnsi="Times New Roman"/>
                <w:szCs w:val="21"/>
              </w:rPr>
            </w:pPr>
            <w:r>
              <w:rPr>
                <w:rFonts w:ascii="Times New Roman" w:hAnsi="Times New Roman"/>
                <w:szCs w:val="21"/>
              </w:rPr>
              <w:t>0.35＜</w:t>
            </w:r>
            <w:r>
              <w:rPr>
                <w:rFonts w:ascii="Times New Roman" w:hAnsi="Times New Roman"/>
                <w:i/>
                <w:szCs w:val="21"/>
              </w:rPr>
              <w:t>Ag</w:t>
            </w:r>
            <w:r>
              <w:rPr>
                <w:rFonts w:ascii="Times New Roman" w:hAnsi="Times New Roman"/>
                <w:szCs w:val="21"/>
              </w:rPr>
              <w:t>＜0.45</w:t>
            </w:r>
          </w:p>
        </w:tc>
        <w:tc>
          <w:tcPr>
            <w:tcW w:w="1701" w:type="dxa"/>
            <w:noWrap w:val="0"/>
            <w:vAlign w:val="center"/>
          </w:tcPr>
          <w:p>
            <w:pPr>
              <w:jc w:val="center"/>
              <w:rPr>
                <w:rFonts w:ascii="Times New Roman" w:hAnsi="Times New Roman"/>
                <w:szCs w:val="21"/>
              </w:rPr>
            </w:pPr>
            <w:r>
              <w:rPr>
                <w:rFonts w:ascii="Times New Roman" w:hAnsi="Times New Roman"/>
                <w:szCs w:val="21"/>
              </w:rPr>
              <w:t>4</w:t>
            </w:r>
          </w:p>
        </w:tc>
        <w:tc>
          <w:tcPr>
            <w:tcW w:w="1610"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continue"/>
            <w:noWrap w:val="0"/>
            <w:vAlign w:val="center"/>
          </w:tcPr>
          <w:p>
            <w:pPr>
              <w:jc w:val="center"/>
              <w:rPr>
                <w:rFonts w:ascii="Times New Roman" w:hAnsi="Times New Roman"/>
                <w:szCs w:val="21"/>
              </w:rPr>
            </w:pPr>
          </w:p>
        </w:tc>
        <w:tc>
          <w:tcPr>
            <w:tcW w:w="1560" w:type="dxa"/>
            <w:vMerge w:val="continue"/>
            <w:noWrap w:val="0"/>
            <w:vAlign w:val="center"/>
          </w:tcPr>
          <w:p>
            <w:pPr>
              <w:jc w:val="center"/>
              <w:rPr>
                <w:rFonts w:ascii="Times New Roman" w:hAnsi="Times New Roman"/>
                <w:szCs w:val="21"/>
              </w:rPr>
            </w:pPr>
          </w:p>
        </w:tc>
        <w:tc>
          <w:tcPr>
            <w:tcW w:w="1417" w:type="dxa"/>
            <w:vMerge w:val="continue"/>
            <w:noWrap w:val="0"/>
            <w:vAlign w:val="center"/>
          </w:tcPr>
          <w:p>
            <w:pPr>
              <w:jc w:val="center"/>
              <w:rPr>
                <w:rFonts w:ascii="Times New Roman" w:hAnsi="Times New Roman"/>
                <w:color w:val="808080"/>
                <w:szCs w:val="21"/>
              </w:rPr>
            </w:pPr>
          </w:p>
        </w:tc>
        <w:tc>
          <w:tcPr>
            <w:tcW w:w="1985" w:type="dxa"/>
            <w:noWrap w:val="0"/>
            <w:vAlign w:val="center"/>
          </w:tcPr>
          <w:p>
            <w:pPr>
              <w:jc w:val="center"/>
              <w:rPr>
                <w:rFonts w:ascii="Times New Roman" w:hAnsi="Times New Roman"/>
                <w:szCs w:val="21"/>
              </w:rPr>
            </w:pPr>
            <w:r>
              <w:rPr>
                <w:rFonts w:ascii="Times New Roman" w:hAnsi="Times New Roman"/>
                <w:i/>
                <w:szCs w:val="21"/>
              </w:rPr>
              <w:t>Ag</w:t>
            </w:r>
            <w:r>
              <w:rPr>
                <w:rFonts w:ascii="Times New Roman" w:hAnsi="Times New Roman"/>
                <w:szCs w:val="21"/>
              </w:rPr>
              <w:t>≥0.45</w:t>
            </w:r>
          </w:p>
        </w:tc>
        <w:tc>
          <w:tcPr>
            <w:tcW w:w="1701" w:type="dxa"/>
            <w:noWrap w:val="0"/>
            <w:vAlign w:val="center"/>
          </w:tcPr>
          <w:p>
            <w:pPr>
              <w:jc w:val="center"/>
              <w:rPr>
                <w:rFonts w:ascii="Times New Roman" w:hAnsi="Times New Roman"/>
                <w:szCs w:val="21"/>
              </w:rPr>
            </w:pPr>
            <w:r>
              <w:rPr>
                <w:rFonts w:ascii="Times New Roman" w:hAnsi="Times New Roman"/>
                <w:szCs w:val="21"/>
              </w:rPr>
              <w:t>6</w:t>
            </w:r>
          </w:p>
        </w:tc>
        <w:tc>
          <w:tcPr>
            <w:tcW w:w="1610"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restart"/>
            <w:noWrap w:val="0"/>
            <w:vAlign w:val="center"/>
          </w:tcPr>
          <w:p>
            <w:pPr>
              <w:jc w:val="center"/>
              <w:rPr>
                <w:rFonts w:ascii="Times New Roman" w:hAnsi="Times New Roman"/>
                <w:szCs w:val="21"/>
              </w:rPr>
            </w:pPr>
            <w:r>
              <w:rPr>
                <w:rFonts w:hint="eastAsia"/>
                <w:sz w:val="28"/>
              </w:rPr>
              <w:sym w:font="Wingdings 2" w:char="F0A3"/>
            </w:r>
          </w:p>
          <w:p>
            <w:pPr>
              <w:jc w:val="center"/>
              <w:rPr>
                <w:rFonts w:ascii="Times New Roman" w:hAnsi="Times New Roman"/>
                <w:iCs/>
                <w:szCs w:val="21"/>
              </w:rPr>
            </w:pPr>
            <w:r>
              <w:rPr>
                <w:rFonts w:ascii="Times New Roman" w:hAnsi="Times New Roman"/>
                <w:szCs w:val="21"/>
              </w:rPr>
              <w:t>公建</w:t>
            </w:r>
          </w:p>
        </w:tc>
        <w:tc>
          <w:tcPr>
            <w:tcW w:w="4962" w:type="dxa"/>
            <w:gridSpan w:val="3"/>
            <w:noWrap w:val="0"/>
            <w:vAlign w:val="center"/>
          </w:tcPr>
          <w:p>
            <w:pPr>
              <w:jc w:val="center"/>
              <w:rPr>
                <w:rFonts w:ascii="Times New Roman" w:hAnsi="Times New Roman"/>
                <w:szCs w:val="21"/>
              </w:rPr>
            </w:pPr>
            <w:r>
              <w:rPr>
                <w:rFonts w:ascii="Times New Roman" w:hAnsi="Times New Roman"/>
                <w:szCs w:val="21"/>
              </w:rPr>
              <w:t>绿地率≥规划指标105%</w:t>
            </w:r>
          </w:p>
        </w:tc>
        <w:tc>
          <w:tcPr>
            <w:tcW w:w="1701" w:type="dxa"/>
            <w:noWrap w:val="0"/>
            <w:vAlign w:val="center"/>
          </w:tcPr>
          <w:p>
            <w:pPr>
              <w:jc w:val="center"/>
              <w:rPr>
                <w:rFonts w:ascii="Times New Roman" w:hAnsi="Times New Roman"/>
                <w:szCs w:val="21"/>
              </w:rPr>
            </w:pPr>
            <w:r>
              <w:rPr>
                <w:rFonts w:ascii="Times New Roman" w:hAnsi="Times New Roman"/>
                <w:szCs w:val="21"/>
              </w:rPr>
              <w:t>10</w:t>
            </w:r>
          </w:p>
        </w:tc>
        <w:tc>
          <w:tcPr>
            <w:tcW w:w="1610" w:type="dxa"/>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904" w:type="dxa"/>
            <w:vMerge w:val="continue"/>
            <w:noWrap w:val="0"/>
            <w:vAlign w:val="center"/>
          </w:tcPr>
          <w:p>
            <w:pPr>
              <w:jc w:val="center"/>
              <w:rPr>
                <w:rFonts w:ascii="Times New Roman" w:hAnsi="Times New Roman"/>
                <w:szCs w:val="21"/>
              </w:rPr>
            </w:pPr>
          </w:p>
        </w:tc>
        <w:tc>
          <w:tcPr>
            <w:tcW w:w="4962" w:type="dxa"/>
            <w:gridSpan w:val="3"/>
            <w:noWrap w:val="0"/>
            <w:vAlign w:val="center"/>
          </w:tcPr>
          <w:p>
            <w:pPr>
              <w:jc w:val="center"/>
              <w:rPr>
                <w:rFonts w:ascii="Times New Roman" w:hAnsi="Times New Roman"/>
                <w:szCs w:val="21"/>
              </w:rPr>
            </w:pPr>
            <w:r>
              <w:rPr>
                <w:rFonts w:ascii="Times New Roman" w:hAnsi="Times New Roman"/>
                <w:szCs w:val="21"/>
              </w:rPr>
              <w:t>绿地向公众开放</w:t>
            </w:r>
          </w:p>
        </w:tc>
        <w:tc>
          <w:tcPr>
            <w:tcW w:w="1701" w:type="dxa"/>
            <w:noWrap w:val="0"/>
            <w:vAlign w:val="center"/>
          </w:tcPr>
          <w:p>
            <w:pPr>
              <w:jc w:val="center"/>
              <w:rPr>
                <w:rFonts w:ascii="Times New Roman" w:hAnsi="Times New Roman"/>
                <w:szCs w:val="21"/>
              </w:rPr>
            </w:pPr>
            <w:r>
              <w:rPr>
                <w:rFonts w:ascii="Times New Roman" w:hAnsi="Times New Roman"/>
                <w:szCs w:val="21"/>
              </w:rPr>
              <w:t>6</w:t>
            </w:r>
          </w:p>
        </w:tc>
        <w:tc>
          <w:tcPr>
            <w:tcW w:w="1610" w:type="dxa"/>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 w:hRule="atLeast"/>
          <w:jc w:val="center"/>
        </w:trPr>
        <w:tc>
          <w:tcPr>
            <w:tcW w:w="5866" w:type="dxa"/>
            <w:gridSpan w:val="4"/>
            <w:noWrap w:val="0"/>
            <w:vAlign w:val="center"/>
          </w:tcPr>
          <w:p>
            <w:pPr>
              <w:jc w:val="center"/>
              <w:rPr>
                <w:rFonts w:ascii="Times New Roman" w:hAnsi="Times New Roman"/>
                <w:szCs w:val="21"/>
              </w:rPr>
            </w:pPr>
            <w:r>
              <w:rPr>
                <w:rFonts w:ascii="Times New Roman" w:hAnsi="Times New Roman"/>
                <w:szCs w:val="21"/>
              </w:rPr>
              <w:t>合计</w:t>
            </w:r>
          </w:p>
        </w:tc>
        <w:tc>
          <w:tcPr>
            <w:tcW w:w="1701" w:type="dxa"/>
            <w:noWrap w:val="0"/>
            <w:vAlign w:val="center"/>
          </w:tcPr>
          <w:p>
            <w:pPr>
              <w:jc w:val="center"/>
              <w:rPr>
                <w:rFonts w:ascii="Times New Roman" w:hAnsi="Times New Roman"/>
                <w:szCs w:val="21"/>
              </w:rPr>
            </w:pPr>
            <w:r>
              <w:rPr>
                <w:rFonts w:ascii="Times New Roman" w:hAnsi="Times New Roman"/>
                <w:szCs w:val="21"/>
              </w:rPr>
              <w:t>16</w:t>
            </w:r>
          </w:p>
        </w:tc>
        <w:tc>
          <w:tcPr>
            <w:tcW w:w="1610" w:type="dxa"/>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469"/>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4" w:hRule="atLeast"/>
          <w:jc w:val="center"/>
        </w:trPr>
        <w:tc>
          <w:tcPr>
            <w:tcW w:w="1915"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lang w:val="zh-CN"/>
              </w:rPr>
              <w:t>项目类型</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sz w:val="28"/>
              </w:rPr>
              <w:sym w:font="Wingdings 2" w:char="F0A3"/>
            </w:r>
            <w:r>
              <w:rPr>
                <w:rFonts w:hint="eastAsia"/>
              </w:rPr>
              <w:t>居住建筑</w:t>
            </w:r>
          </w:p>
        </w:tc>
        <w:tc>
          <w:tcPr>
            <w:tcW w:w="3829"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sz w:val="28"/>
              </w:rPr>
              <w:sym w:font="Wingdings 2" w:char="F0A3"/>
            </w:r>
            <w:r>
              <w:rPr>
                <w:rFonts w:hint="eastAsia"/>
                <w:lang w:val="zh-CN"/>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9" w:hRule="atLeast"/>
          <w:jc w:val="center"/>
        </w:trPr>
        <w:tc>
          <w:tcPr>
            <w:tcW w:w="1915"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lang w:val="zh-CN"/>
              </w:rPr>
              <w:t>绿地面积（m</w:t>
            </w:r>
            <w:r>
              <w:rPr>
                <w:rFonts w:hint="eastAsia"/>
                <w:vertAlign w:val="superscript"/>
                <w:lang w:val="zh-CN"/>
              </w:rPr>
              <w:t>2</w:t>
            </w:r>
            <w:r>
              <w:rPr>
                <w:rFonts w:hint="eastAsia"/>
                <w:lang w:val="zh-CN"/>
              </w:rPr>
              <w:t>）</w:t>
            </w:r>
          </w:p>
        </w:tc>
        <w:tc>
          <w:tcPr>
            <w:tcW w:w="3469"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ascii="Times New Roman" w:hAnsi="Times New Roman"/>
                <w:szCs w:val="21"/>
              </w:rPr>
              <w:t xml:space="preserve">  </w:t>
            </w:r>
          </w:p>
        </w:tc>
        <w:tc>
          <w:tcPr>
            <w:tcW w:w="3829"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9" w:hRule="atLeast"/>
          <w:jc w:val="center"/>
        </w:trPr>
        <w:tc>
          <w:tcPr>
            <w:tcW w:w="1915"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lang w:val="zh-CN"/>
              </w:rPr>
              <w:t>用地面积（m</w:t>
            </w:r>
            <w:r>
              <w:rPr>
                <w:rFonts w:hint="eastAsia"/>
                <w:vertAlign w:val="superscript"/>
                <w:lang w:val="zh-CN"/>
              </w:rPr>
              <w:t>2</w:t>
            </w:r>
            <w:r>
              <w:rPr>
                <w:rFonts w:hint="eastAsia"/>
                <w:lang w:val="zh-CN"/>
              </w:rPr>
              <w:t>）</w:t>
            </w:r>
          </w:p>
        </w:tc>
        <w:tc>
          <w:tcPr>
            <w:tcW w:w="3469"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ascii="Times New Roman" w:hAnsi="Times New Roman"/>
                <w:szCs w:val="21"/>
              </w:rPr>
              <w:t xml:space="preserve">  </w:t>
            </w:r>
          </w:p>
        </w:tc>
        <w:tc>
          <w:tcPr>
            <w:tcW w:w="3829"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9" w:hRule="atLeast"/>
          <w:jc w:val="center"/>
        </w:trPr>
        <w:tc>
          <w:tcPr>
            <w:tcW w:w="1915"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lang w:val="zh-CN"/>
              </w:rPr>
              <w:t>绿地率（%）</w:t>
            </w:r>
          </w:p>
        </w:tc>
        <w:tc>
          <w:tcPr>
            <w:tcW w:w="3469"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ascii="Times New Roman" w:hAnsi="Times New Roman"/>
                <w:szCs w:val="21"/>
              </w:rPr>
              <w:t xml:space="preserve">  </w:t>
            </w:r>
          </w:p>
        </w:tc>
        <w:tc>
          <w:tcPr>
            <w:tcW w:w="3829"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9" w:hRule="atLeast"/>
          <w:jc w:val="center"/>
        </w:trPr>
        <w:tc>
          <w:tcPr>
            <w:tcW w:w="1915"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lang w:val="zh-CN"/>
              </w:rPr>
              <w:t>其他</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lang w:val="zh-CN"/>
              </w:rPr>
              <w:t>总公共绿地面积</w:t>
            </w:r>
            <w:r>
              <w:rPr>
                <w:kern w:val="0"/>
                <w:u w:val="single"/>
              </w:rPr>
              <w:t xml:space="preserve">      </w:t>
            </w:r>
            <w:r>
              <w:rPr>
                <w:rFonts w:hint="eastAsia"/>
                <w:lang w:val="zh-CN"/>
              </w:rPr>
              <w:t>m</w:t>
            </w:r>
            <w:r>
              <w:rPr>
                <w:rFonts w:hint="eastAsia"/>
                <w:vertAlign w:val="superscript"/>
                <w:lang w:val="zh-CN"/>
              </w:rPr>
              <w:t>2</w:t>
            </w:r>
          </w:p>
        </w:tc>
        <w:tc>
          <w:tcPr>
            <w:tcW w:w="3829" w:type="dxa"/>
            <w:tcBorders>
              <w:top w:val="single" w:color="auto" w:sz="4" w:space="0"/>
              <w:left w:val="single" w:color="auto" w:sz="4" w:space="0"/>
              <w:bottom w:val="single" w:color="auto" w:sz="4" w:space="0"/>
              <w:right w:val="single" w:color="auto" w:sz="4" w:space="0"/>
            </w:tcBorders>
            <w:noWrap w:val="0"/>
            <w:vAlign w:val="center"/>
          </w:tcPr>
          <w:p>
            <w:pPr>
              <w:jc w:val="left"/>
              <w:rPr>
                <w:lang w:val="zh-CN"/>
              </w:rPr>
            </w:pPr>
            <w:r>
              <w:rPr>
                <w:rFonts w:hint="eastAsia"/>
                <w:lang w:val="zh-CN"/>
              </w:rPr>
              <w:t>绿地是否向社会公众开放：</w:t>
            </w:r>
            <w:r>
              <w:rPr>
                <w:rFonts w:hint="eastAsia"/>
                <w:sz w:val="28"/>
              </w:rPr>
              <w:sym w:font="Wingdings 2" w:char="F0A3"/>
            </w:r>
            <w:r>
              <w:rPr>
                <w:rFonts w:hint="eastAsia"/>
                <w:lang w:val="zh-CN"/>
              </w:rPr>
              <w:t>是</w:t>
            </w:r>
            <w:r>
              <w:rPr>
                <w:lang w:val="zh-CN"/>
              </w:rPr>
              <w:t xml:space="preserve"> </w:t>
            </w:r>
            <w:r>
              <w:rPr>
                <w:rFonts w:hint="eastAsia"/>
                <w:sz w:val="28"/>
              </w:rPr>
              <w:sym w:font="Wingdings 2" w:char="F0A3"/>
            </w:r>
            <w:r>
              <w:rPr>
                <w:rFonts w:hint="eastAsia"/>
                <w:lang w:val="zh-CN"/>
              </w:rPr>
              <w:t>否</w:t>
            </w:r>
          </w:p>
          <w:p>
            <w:pPr>
              <w:jc w:val="left"/>
              <w:rPr>
                <w:lang w:val="zh-CN"/>
              </w:rPr>
            </w:pPr>
            <w:r>
              <w:rPr>
                <w:rFonts w:hint="eastAsia"/>
                <w:lang w:val="zh-CN"/>
              </w:rPr>
              <w:t>开放时间：</w:t>
            </w:r>
            <w:r>
              <w:rPr>
                <w:kern w:val="0"/>
                <w:u w:val="single"/>
              </w:rPr>
              <w:t xml:space="preserve">   </w:t>
            </w:r>
            <w:r>
              <w:rPr>
                <w:rStyle w:val="16"/>
                <w:rFonts w:hint="eastAsia"/>
              </w:rPr>
              <w:t>单击此处输入文字。</w:t>
            </w:r>
            <w:r>
              <w:rPr>
                <w:rFonts w:hint="eastAsia"/>
                <w:kern w:val="0"/>
                <w:u w:val="single"/>
              </w:rPr>
              <w:t xml:space="preserve">        </w:t>
            </w:r>
            <w:r>
              <w:rPr>
                <w:kern w:val="0"/>
                <w:u w:val="single"/>
              </w:rPr>
              <w:t xml:space="preserve">   </w:t>
            </w:r>
            <w:r>
              <w:rPr>
                <w:rFonts w:hint="eastAsia"/>
                <w:lang w:val="zh-CN"/>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rPr>
      </w:pPr>
      <w:r>
        <w:rPr>
          <w:rFonts w:ascii="Times New Roman" w:hAnsi="Times New Roman"/>
        </w:rPr>
        <w:t>1）项目竣工总平面图及设计说明、景观专业竣工图及设计说明；</w:t>
      </w:r>
    </w:p>
    <w:p>
      <w:pPr>
        <w:rPr>
          <w:rFonts w:ascii="Times New Roman" w:hAnsi="Times New Roman"/>
        </w:rPr>
      </w:pPr>
      <w:r>
        <w:rPr>
          <w:rFonts w:ascii="Times New Roman" w:hAnsi="Times New Roman"/>
        </w:rPr>
        <w:t>2）平面日照等时线模拟图，应体现绿地的日照和阴影情况；</w:t>
      </w:r>
    </w:p>
    <w:p>
      <w:pPr>
        <w:rPr>
          <w:rFonts w:ascii="Times New Roman" w:hAnsi="Times New Roman"/>
        </w:rPr>
      </w:pPr>
      <w:r>
        <w:rPr>
          <w:rFonts w:ascii="Times New Roman" w:hAnsi="Times New Roman"/>
        </w:rPr>
        <w:t>3）人均公共绿地面积计算书，应体现公共绿地的位置、面积分析和清单列表，以及计算结果；</w:t>
      </w:r>
    </w:p>
    <w:p>
      <w:pPr>
        <w:rPr>
          <w:rFonts w:ascii="Times New Roman" w:hAnsi="Times New Roman"/>
        </w:rPr>
      </w:pPr>
      <w:r>
        <w:rPr>
          <w:rFonts w:ascii="Times New Roman" w:hAnsi="Times New Roman"/>
        </w:rPr>
        <w:t>4）体现绿地向社会公众开放的相关文件，应包括</w:t>
      </w:r>
      <w:r>
        <w:rPr>
          <w:rFonts w:ascii="Times New Roman" w:hAnsi="Times New Roman"/>
          <w:kern w:val="0"/>
        </w:rPr>
        <w:t>设计理念、具体措施及运行管理记录</w:t>
      </w:r>
      <w:r>
        <w:rPr>
          <w:rFonts w:ascii="Times New Roman" w:hAnsi="Times New Roman"/>
        </w:rPr>
        <w:t>。</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8.2.4 室外吸烟区位置布局合理。（9分）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4962"/>
        <w:gridCol w:w="1701"/>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7" w:hRule="atLeast"/>
          <w:jc w:val="center"/>
        </w:trPr>
        <w:tc>
          <w:tcPr>
            <w:tcW w:w="922" w:type="dxa"/>
            <w:noWrap w:val="0"/>
            <w:vAlign w:val="top"/>
          </w:tcPr>
          <w:p>
            <w:pPr>
              <w:jc w:val="center"/>
              <w:rPr>
                <w:lang w:val="zh-CN"/>
              </w:rPr>
            </w:pPr>
            <w:r>
              <w:rPr>
                <w:rFonts w:hint="eastAsia"/>
                <w:lang w:val="zh-CN"/>
              </w:rPr>
              <w:t>序号</w:t>
            </w:r>
          </w:p>
        </w:tc>
        <w:tc>
          <w:tcPr>
            <w:tcW w:w="4962" w:type="dxa"/>
            <w:noWrap w:val="0"/>
            <w:vAlign w:val="top"/>
          </w:tcPr>
          <w:p>
            <w:pPr>
              <w:jc w:val="center"/>
              <w:rPr>
                <w:lang w:val="zh-CN"/>
              </w:rPr>
            </w:pPr>
            <w:r>
              <w:rPr>
                <w:rFonts w:hint="eastAsia"/>
                <w:lang w:val="zh-CN"/>
              </w:rPr>
              <w:t>评价内容</w:t>
            </w:r>
          </w:p>
        </w:tc>
        <w:tc>
          <w:tcPr>
            <w:tcW w:w="1701" w:type="dxa"/>
            <w:noWrap w:val="0"/>
            <w:vAlign w:val="top"/>
          </w:tcPr>
          <w:p>
            <w:pPr>
              <w:jc w:val="center"/>
              <w:rPr>
                <w:lang w:val="zh-CN"/>
              </w:rPr>
            </w:pPr>
            <w:r>
              <w:rPr>
                <w:rFonts w:hint="eastAsia"/>
                <w:lang w:val="zh-CN"/>
              </w:rPr>
              <w:t>评价分值</w:t>
            </w:r>
          </w:p>
        </w:tc>
        <w:tc>
          <w:tcPr>
            <w:tcW w:w="1629" w:type="dxa"/>
            <w:noWrap w:val="0"/>
            <w:vAlign w:val="center"/>
          </w:tcPr>
          <w:p>
            <w:pPr>
              <w:jc w:val="center"/>
              <w:rPr>
                <w:lang w:val="zh-CN"/>
              </w:rPr>
            </w:pPr>
            <w:r>
              <w:rPr>
                <w:rFonts w:hint="eastAsia"/>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noWrap w:val="0"/>
            <w:vAlign w:val="center"/>
          </w:tcPr>
          <w:p>
            <w:pPr>
              <w:jc w:val="center"/>
            </w:pPr>
            <w:r>
              <w:rPr>
                <w:rFonts w:hint="eastAsia"/>
              </w:rPr>
              <w:t>1</w:t>
            </w:r>
          </w:p>
        </w:tc>
        <w:tc>
          <w:tcPr>
            <w:tcW w:w="4962" w:type="dxa"/>
            <w:noWrap w:val="0"/>
            <w:vAlign w:val="center"/>
          </w:tcPr>
          <w:p>
            <w:r>
              <w:rPr>
                <w:rFonts w:hint="eastAsia"/>
              </w:rPr>
              <w:t>室外吸烟区布置在建筑主出入口的主导风的下风向，与所有建筑出入口、新风进气口和可开启窗扇的距离不少于8m，且距离儿童和老人活动场地不少于8m</w:t>
            </w:r>
          </w:p>
        </w:tc>
        <w:tc>
          <w:tcPr>
            <w:tcW w:w="1701" w:type="dxa"/>
            <w:noWrap w:val="0"/>
            <w:vAlign w:val="center"/>
          </w:tcPr>
          <w:p>
            <w:pPr>
              <w:jc w:val="center"/>
              <w:rPr>
                <w:lang w:val="zh-CN"/>
              </w:rPr>
            </w:pPr>
            <w:r>
              <w:rPr>
                <w:rFonts w:hint="eastAsia"/>
                <w:lang w:val="zh-CN"/>
              </w:rPr>
              <w:t>5</w:t>
            </w:r>
          </w:p>
        </w:tc>
        <w:tc>
          <w:tcPr>
            <w:tcW w:w="1629" w:type="dxa"/>
            <w:noWrap w:val="0"/>
            <w:vAlign w:val="center"/>
          </w:tcPr>
          <w:p>
            <w:pPr>
              <w:jc w:val="center"/>
              <w:rPr>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noWrap w:val="0"/>
            <w:vAlign w:val="center"/>
          </w:tcPr>
          <w:p>
            <w:pPr>
              <w:jc w:val="center"/>
            </w:pPr>
            <w:r>
              <w:rPr>
                <w:rFonts w:hint="eastAsia"/>
              </w:rPr>
              <w:t>2</w:t>
            </w:r>
          </w:p>
        </w:tc>
        <w:tc>
          <w:tcPr>
            <w:tcW w:w="4962" w:type="dxa"/>
            <w:noWrap w:val="0"/>
            <w:vAlign w:val="center"/>
          </w:tcPr>
          <w:p>
            <w:r>
              <w:rPr>
                <w:rFonts w:hint="eastAsia"/>
              </w:rPr>
              <w:t>室外吸烟区与绿植结合布置，并合理配置坐椅和带烟头收集的垃圾筒，从建筑主出入口至室外吸烟区的导向标识完整、定位标识醒目，吸烟区设置吸烟有害健康的警示标识</w:t>
            </w:r>
          </w:p>
        </w:tc>
        <w:tc>
          <w:tcPr>
            <w:tcW w:w="1701" w:type="dxa"/>
            <w:noWrap w:val="0"/>
            <w:vAlign w:val="center"/>
          </w:tcPr>
          <w:p>
            <w:pPr>
              <w:jc w:val="center"/>
              <w:rPr>
                <w:lang w:val="zh-CN"/>
              </w:rPr>
            </w:pPr>
            <w:r>
              <w:rPr>
                <w:rFonts w:hint="eastAsia"/>
                <w:lang w:val="zh-CN"/>
              </w:rPr>
              <w:t>4</w:t>
            </w:r>
          </w:p>
        </w:tc>
        <w:tc>
          <w:tcPr>
            <w:tcW w:w="1629" w:type="dxa"/>
            <w:noWrap w:val="0"/>
            <w:vAlign w:val="center"/>
          </w:tcPr>
          <w:p>
            <w:pPr>
              <w:jc w:val="center"/>
              <w:rPr>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5884" w:type="dxa"/>
            <w:gridSpan w:val="2"/>
            <w:noWrap w:val="0"/>
            <w:vAlign w:val="top"/>
          </w:tcPr>
          <w:p>
            <w:pPr>
              <w:jc w:val="center"/>
            </w:pPr>
            <w:r>
              <w:rPr>
                <w:rFonts w:hint="eastAsia"/>
              </w:rPr>
              <w:t>合计</w:t>
            </w:r>
          </w:p>
        </w:tc>
        <w:tc>
          <w:tcPr>
            <w:tcW w:w="1701" w:type="dxa"/>
            <w:noWrap w:val="0"/>
            <w:vAlign w:val="center"/>
          </w:tcPr>
          <w:p>
            <w:pPr>
              <w:jc w:val="center"/>
              <w:rPr>
                <w:lang w:val="zh-CN"/>
              </w:rPr>
            </w:pPr>
            <w:r>
              <w:rPr>
                <w:rFonts w:hint="eastAsia"/>
                <w:lang w:val="zh-CN"/>
              </w:rPr>
              <w:t>9</w:t>
            </w:r>
          </w:p>
        </w:tc>
        <w:tc>
          <w:tcPr>
            <w:tcW w:w="1629" w:type="dxa"/>
            <w:noWrap w:val="0"/>
            <w:vAlign w:val="center"/>
          </w:tcPr>
          <w:p>
            <w:pPr>
              <w:jc w:val="center"/>
              <w:rPr>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lang w:val="zh-CN"/>
        </w:rPr>
      </w:pPr>
      <w:r>
        <w:rPr>
          <w:rFonts w:hint="eastAsia"/>
          <w:lang w:val="zh-CN"/>
        </w:rPr>
        <w:t>室外吸烟区布置在</w:t>
      </w:r>
      <w:r>
        <w:rPr>
          <w:rFonts w:hint="eastAsia"/>
          <w:u w:val="single"/>
          <w:lang w:val="zh-CN"/>
        </w:rPr>
        <w:t xml:space="preserve">           </w:t>
      </w:r>
      <w:r>
        <w:rPr>
          <w:rFonts w:hint="eastAsia"/>
          <w:lang w:val="zh-CN"/>
        </w:rPr>
        <w:t>，距离建筑出入口、新风进气口、可开启窗扇的</w:t>
      </w:r>
      <w:r>
        <w:rPr>
          <w:rFonts w:hint="eastAsia"/>
          <w:u w:val="single"/>
          <w:lang w:val="zh-CN"/>
        </w:rPr>
        <w:t xml:space="preserve">      </w:t>
      </w:r>
      <w:r>
        <w:rPr>
          <w:u w:val="single"/>
          <w:lang w:val="zh-CN"/>
        </w:rPr>
        <w:t xml:space="preserve"> </w:t>
      </w:r>
      <w:r>
        <w:rPr>
          <w:rFonts w:hint="eastAsia"/>
          <w:lang w:val="zh-CN"/>
        </w:rPr>
        <w:t>米，距离儿童和老人活动场所</w:t>
      </w:r>
      <w:r>
        <w:rPr>
          <w:rFonts w:hint="eastAsia"/>
          <w:u w:val="single"/>
          <w:lang w:val="zh-CN"/>
        </w:rPr>
        <w:t xml:space="preserve">     </w:t>
      </w:r>
      <w:r>
        <w:rPr>
          <w:rFonts w:hint="eastAsia"/>
          <w:lang w:val="zh-CN"/>
        </w:rPr>
        <w:t>米，具备</w:t>
      </w:r>
      <w:r>
        <w:rPr>
          <w:rFonts w:hint="eastAsia"/>
        </w:rPr>
        <w:t xml:space="preserve"> </w:t>
      </w:r>
      <w:r>
        <w:rPr>
          <w:rFonts w:hint="eastAsia"/>
          <w:sz w:val="28"/>
        </w:rPr>
        <w:sym w:font="Wingdings 2" w:char="F0A3"/>
      </w:r>
      <w:r>
        <w:rPr>
          <w:rFonts w:hint="eastAsia"/>
          <w:lang w:val="zh-CN"/>
        </w:rPr>
        <w:t>专用垃圾桶、</w:t>
      </w:r>
      <w:r>
        <w:rPr>
          <w:rFonts w:hint="eastAsia"/>
        </w:rPr>
        <w:t xml:space="preserve"> </w:t>
      </w:r>
      <w:r>
        <w:rPr>
          <w:rFonts w:hint="eastAsia"/>
          <w:sz w:val="28"/>
        </w:rPr>
        <w:sym w:font="Wingdings 2" w:char="F0A3"/>
      </w:r>
      <w:r>
        <w:rPr>
          <w:rFonts w:hint="eastAsia"/>
          <w:lang w:val="zh-CN"/>
        </w:rPr>
        <w:t>导向标识、</w:t>
      </w:r>
      <w:r>
        <w:rPr>
          <w:rFonts w:hint="eastAsia"/>
        </w:rPr>
        <w:t xml:space="preserve"> </w:t>
      </w:r>
      <w:r>
        <w:rPr>
          <w:rFonts w:hint="eastAsia"/>
          <w:sz w:val="28"/>
        </w:rPr>
        <w:sym w:font="Wingdings 2" w:char="F0A3"/>
      </w:r>
      <w:r>
        <w:rPr>
          <w:rFonts w:hint="eastAsia"/>
          <w:lang w:val="zh-CN"/>
        </w:rPr>
        <w:t>警示标识。</w:t>
      </w:r>
    </w:p>
    <w:p>
      <w:pPr>
        <w:rPr>
          <w:rFonts w:ascii="Times New Roman" w:hAnsi="Times New Roman"/>
          <w:szCs w:val="21"/>
        </w:rPr>
      </w:pPr>
      <w:r>
        <w:rPr>
          <w:rFonts w:hint="eastAsia"/>
          <w:lang w:val="zh-CN"/>
        </w:rPr>
        <w:t>请简要说明室外吸烟区的布置情况。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t>1</w:t>
      </w:r>
      <w:r>
        <w:rPr>
          <w:rFonts w:hint="eastAsia"/>
        </w:rPr>
        <w:t>）竣工总平面图；</w:t>
      </w:r>
    </w:p>
    <w:p>
      <w:r>
        <w:rPr>
          <w:rFonts w:hint="eastAsia"/>
        </w:rPr>
        <w:t>2）景观专业竣工图纸及设计说明，应包括吸烟区布置情况。</w:t>
      </w:r>
    </w:p>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8.2.5 利用场地空间设置绿色雨水基础设施。（15分）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828"/>
        <w:gridCol w:w="1275"/>
        <w:gridCol w:w="170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7" w:hRule="atLeast"/>
          <w:jc w:val="center"/>
        </w:trPr>
        <w:tc>
          <w:tcPr>
            <w:tcW w:w="905" w:type="dxa"/>
            <w:noWrap w:val="0"/>
            <w:vAlign w:val="center"/>
          </w:tcPr>
          <w:p>
            <w:pPr>
              <w:jc w:val="center"/>
              <w:rPr>
                <w:rFonts w:ascii="Times New Roman" w:hAnsi="Times New Roman"/>
                <w:lang w:val="zh-CN"/>
              </w:rPr>
            </w:pPr>
            <w:r>
              <w:rPr>
                <w:rFonts w:ascii="Times New Roman" w:hAnsi="Times New Roman"/>
                <w:lang w:val="zh-CN"/>
              </w:rPr>
              <w:t>序号</w:t>
            </w:r>
          </w:p>
        </w:tc>
        <w:tc>
          <w:tcPr>
            <w:tcW w:w="5103" w:type="dxa"/>
            <w:gridSpan w:val="2"/>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471"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3" w:hRule="atLeast"/>
          <w:jc w:val="center"/>
        </w:trPr>
        <w:tc>
          <w:tcPr>
            <w:tcW w:w="905" w:type="dxa"/>
            <w:vMerge w:val="restart"/>
            <w:noWrap w:val="0"/>
            <w:vAlign w:val="center"/>
          </w:tcPr>
          <w:p>
            <w:pPr>
              <w:jc w:val="center"/>
              <w:rPr>
                <w:rFonts w:ascii="Times New Roman" w:hAnsi="Times New Roman"/>
              </w:rPr>
            </w:pPr>
            <w:r>
              <w:rPr>
                <w:rFonts w:ascii="Times New Roman" w:hAnsi="Times New Roman"/>
              </w:rPr>
              <w:t>1</w:t>
            </w:r>
          </w:p>
        </w:tc>
        <w:tc>
          <w:tcPr>
            <w:tcW w:w="3828" w:type="dxa"/>
            <w:vMerge w:val="restart"/>
            <w:noWrap w:val="0"/>
            <w:vAlign w:val="center"/>
          </w:tcPr>
          <w:p>
            <w:pPr>
              <w:jc w:val="left"/>
              <w:rPr>
                <w:rFonts w:ascii="Times New Roman" w:hAnsi="Times New Roman"/>
              </w:rPr>
            </w:pPr>
            <w:r>
              <w:rPr>
                <w:rFonts w:ascii="Times New Roman" w:hAnsi="Times New Roman"/>
              </w:rPr>
              <w:t>下凹式绿地、雨水花园等有调蓄雨水功能的绿地和水体的面积之和占绿地面积的比例</w:t>
            </w:r>
          </w:p>
        </w:tc>
        <w:tc>
          <w:tcPr>
            <w:tcW w:w="1275" w:type="dxa"/>
            <w:noWrap w:val="0"/>
            <w:vAlign w:val="center"/>
          </w:tcPr>
          <w:p>
            <w:pPr>
              <w:jc w:val="left"/>
              <w:rPr>
                <w:rFonts w:ascii="Times New Roman" w:hAnsi="Times New Roman"/>
              </w:rPr>
            </w:pPr>
            <w:r>
              <w:rPr>
                <w:rFonts w:ascii="Times New Roman" w:hAnsi="Times New Roman"/>
              </w:rPr>
              <w:t>达到40%</w:t>
            </w:r>
          </w:p>
        </w:tc>
        <w:tc>
          <w:tcPr>
            <w:tcW w:w="1701" w:type="dxa"/>
            <w:noWrap w:val="0"/>
            <w:vAlign w:val="center"/>
          </w:tcPr>
          <w:p>
            <w:pPr>
              <w:jc w:val="center"/>
              <w:rPr>
                <w:rFonts w:ascii="Times New Roman" w:hAnsi="Times New Roman"/>
                <w:lang w:val="zh-CN"/>
              </w:rPr>
            </w:pPr>
            <w:r>
              <w:rPr>
                <w:rFonts w:ascii="Times New Roman" w:hAnsi="Times New Roman"/>
                <w:lang w:val="zh-CN"/>
              </w:rPr>
              <w:t>3</w:t>
            </w:r>
          </w:p>
        </w:tc>
        <w:tc>
          <w:tcPr>
            <w:tcW w:w="1471" w:type="dxa"/>
            <w:vMerge w:val="restart"/>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jc w:val="center"/>
        </w:trPr>
        <w:tc>
          <w:tcPr>
            <w:tcW w:w="905" w:type="dxa"/>
            <w:vMerge w:val="continue"/>
            <w:noWrap w:val="0"/>
            <w:vAlign w:val="center"/>
          </w:tcPr>
          <w:p>
            <w:pPr>
              <w:jc w:val="center"/>
              <w:rPr>
                <w:rFonts w:ascii="Times New Roman" w:hAnsi="Times New Roman"/>
              </w:rPr>
            </w:pPr>
          </w:p>
        </w:tc>
        <w:tc>
          <w:tcPr>
            <w:tcW w:w="3828" w:type="dxa"/>
            <w:vMerge w:val="continue"/>
            <w:noWrap w:val="0"/>
            <w:vAlign w:val="center"/>
          </w:tcPr>
          <w:p>
            <w:pPr>
              <w:jc w:val="left"/>
              <w:rPr>
                <w:rFonts w:ascii="Times New Roman" w:hAnsi="Times New Roman"/>
              </w:rPr>
            </w:pPr>
          </w:p>
        </w:tc>
        <w:tc>
          <w:tcPr>
            <w:tcW w:w="1275" w:type="dxa"/>
            <w:noWrap w:val="0"/>
            <w:vAlign w:val="center"/>
          </w:tcPr>
          <w:p>
            <w:pPr>
              <w:jc w:val="left"/>
              <w:rPr>
                <w:rFonts w:ascii="Times New Roman" w:hAnsi="Times New Roman"/>
              </w:rPr>
            </w:pPr>
            <w:r>
              <w:rPr>
                <w:rFonts w:ascii="Times New Roman" w:hAnsi="Times New Roman"/>
              </w:rPr>
              <w:t>达到60%</w:t>
            </w:r>
          </w:p>
        </w:tc>
        <w:tc>
          <w:tcPr>
            <w:tcW w:w="1701" w:type="dxa"/>
            <w:noWrap w:val="0"/>
            <w:vAlign w:val="center"/>
          </w:tcPr>
          <w:p>
            <w:pPr>
              <w:jc w:val="center"/>
              <w:rPr>
                <w:rFonts w:ascii="Times New Roman" w:hAnsi="Times New Roman"/>
                <w:lang w:val="zh-CN"/>
              </w:rPr>
            </w:pPr>
            <w:r>
              <w:rPr>
                <w:rFonts w:ascii="Times New Roman" w:hAnsi="Times New Roman"/>
                <w:lang w:val="zh-CN"/>
              </w:rPr>
              <w:t>5</w:t>
            </w:r>
          </w:p>
        </w:tc>
        <w:tc>
          <w:tcPr>
            <w:tcW w:w="1471" w:type="dxa"/>
            <w:vMerge w:val="continue"/>
            <w:noWrap w:val="0"/>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05" w:type="dxa"/>
            <w:noWrap w:val="0"/>
            <w:vAlign w:val="center"/>
          </w:tcPr>
          <w:p>
            <w:pPr>
              <w:jc w:val="center"/>
              <w:rPr>
                <w:rFonts w:ascii="Times New Roman" w:hAnsi="Times New Roman"/>
              </w:rPr>
            </w:pPr>
            <w:r>
              <w:rPr>
                <w:rFonts w:ascii="Times New Roman" w:hAnsi="Times New Roman"/>
              </w:rPr>
              <w:t>2</w:t>
            </w:r>
          </w:p>
        </w:tc>
        <w:tc>
          <w:tcPr>
            <w:tcW w:w="5103" w:type="dxa"/>
            <w:gridSpan w:val="2"/>
            <w:noWrap w:val="0"/>
            <w:vAlign w:val="center"/>
          </w:tcPr>
          <w:p>
            <w:pPr>
              <w:jc w:val="left"/>
              <w:rPr>
                <w:rFonts w:ascii="Times New Roman" w:hAnsi="Times New Roman"/>
              </w:rPr>
            </w:pPr>
            <w:r>
              <w:rPr>
                <w:rFonts w:ascii="Times New Roman" w:hAnsi="Times New Roman"/>
              </w:rPr>
              <w:t>衔接和引导不少于80%的屋面雨水进入地面生态设施</w:t>
            </w:r>
          </w:p>
        </w:tc>
        <w:tc>
          <w:tcPr>
            <w:tcW w:w="1701" w:type="dxa"/>
            <w:noWrap w:val="0"/>
            <w:vAlign w:val="center"/>
          </w:tcPr>
          <w:p>
            <w:pPr>
              <w:jc w:val="center"/>
              <w:rPr>
                <w:rFonts w:ascii="Times New Roman" w:hAnsi="Times New Roman"/>
                <w:lang w:val="zh-CN"/>
              </w:rPr>
            </w:pPr>
            <w:r>
              <w:rPr>
                <w:rFonts w:ascii="Times New Roman" w:hAnsi="Times New Roman"/>
                <w:lang w:val="zh-CN"/>
              </w:rPr>
              <w:t>3</w:t>
            </w:r>
          </w:p>
        </w:tc>
        <w:tc>
          <w:tcPr>
            <w:tcW w:w="1471" w:type="dxa"/>
            <w:noWrap w:val="0"/>
            <w:vAlign w:val="top"/>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05" w:type="dxa"/>
            <w:noWrap w:val="0"/>
            <w:vAlign w:val="center"/>
          </w:tcPr>
          <w:p>
            <w:pPr>
              <w:jc w:val="center"/>
              <w:rPr>
                <w:rFonts w:ascii="Times New Roman" w:hAnsi="Times New Roman"/>
              </w:rPr>
            </w:pPr>
            <w:r>
              <w:rPr>
                <w:rFonts w:ascii="Times New Roman" w:hAnsi="Times New Roman"/>
              </w:rPr>
              <w:t>3</w:t>
            </w:r>
          </w:p>
        </w:tc>
        <w:tc>
          <w:tcPr>
            <w:tcW w:w="5103" w:type="dxa"/>
            <w:gridSpan w:val="2"/>
            <w:noWrap w:val="0"/>
            <w:vAlign w:val="center"/>
          </w:tcPr>
          <w:p>
            <w:pPr>
              <w:jc w:val="left"/>
              <w:rPr>
                <w:rFonts w:ascii="Times New Roman" w:hAnsi="Times New Roman"/>
              </w:rPr>
            </w:pPr>
            <w:r>
              <w:rPr>
                <w:rFonts w:ascii="Times New Roman" w:hAnsi="Times New Roman"/>
              </w:rPr>
              <w:t>衔接和引导不少于80%的道路雨水进入地面生态设施</w:t>
            </w:r>
          </w:p>
        </w:tc>
        <w:tc>
          <w:tcPr>
            <w:tcW w:w="1701" w:type="dxa"/>
            <w:noWrap w:val="0"/>
            <w:vAlign w:val="center"/>
          </w:tcPr>
          <w:p>
            <w:pPr>
              <w:jc w:val="center"/>
              <w:rPr>
                <w:rFonts w:ascii="Times New Roman" w:hAnsi="Times New Roman"/>
                <w:lang w:val="zh-CN"/>
              </w:rPr>
            </w:pPr>
            <w:r>
              <w:rPr>
                <w:rFonts w:ascii="Times New Roman" w:hAnsi="Times New Roman"/>
                <w:lang w:val="zh-CN"/>
              </w:rPr>
              <w:t>4</w:t>
            </w:r>
          </w:p>
        </w:tc>
        <w:tc>
          <w:tcPr>
            <w:tcW w:w="1471" w:type="dxa"/>
            <w:noWrap w:val="0"/>
            <w:vAlign w:val="top"/>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05" w:type="dxa"/>
            <w:noWrap w:val="0"/>
            <w:vAlign w:val="center"/>
          </w:tcPr>
          <w:p>
            <w:pPr>
              <w:jc w:val="center"/>
              <w:rPr>
                <w:rFonts w:ascii="Times New Roman" w:hAnsi="Times New Roman"/>
              </w:rPr>
            </w:pPr>
            <w:r>
              <w:rPr>
                <w:rFonts w:ascii="Times New Roman" w:hAnsi="Times New Roman"/>
              </w:rPr>
              <w:t>4</w:t>
            </w:r>
          </w:p>
        </w:tc>
        <w:tc>
          <w:tcPr>
            <w:tcW w:w="5103" w:type="dxa"/>
            <w:gridSpan w:val="2"/>
            <w:noWrap w:val="0"/>
            <w:vAlign w:val="center"/>
          </w:tcPr>
          <w:p>
            <w:pPr>
              <w:jc w:val="left"/>
              <w:rPr>
                <w:rFonts w:ascii="Times New Roman" w:hAnsi="Times New Roman"/>
              </w:rPr>
            </w:pPr>
            <w:r>
              <w:rPr>
                <w:rFonts w:ascii="Times New Roman" w:hAnsi="Times New Roman"/>
              </w:rPr>
              <w:t>硬质铺装地面中透水铺装面积的比例达到50%</w:t>
            </w:r>
          </w:p>
        </w:tc>
        <w:tc>
          <w:tcPr>
            <w:tcW w:w="1701" w:type="dxa"/>
            <w:noWrap w:val="0"/>
            <w:vAlign w:val="center"/>
          </w:tcPr>
          <w:p>
            <w:pPr>
              <w:jc w:val="center"/>
              <w:rPr>
                <w:rFonts w:ascii="Times New Roman" w:hAnsi="Times New Roman"/>
                <w:lang w:val="zh-CN"/>
              </w:rPr>
            </w:pPr>
            <w:r>
              <w:rPr>
                <w:rFonts w:ascii="Times New Roman" w:hAnsi="Times New Roman"/>
                <w:lang w:val="zh-CN"/>
              </w:rPr>
              <w:t>3</w:t>
            </w:r>
          </w:p>
        </w:tc>
        <w:tc>
          <w:tcPr>
            <w:tcW w:w="1471" w:type="dxa"/>
            <w:noWrap w:val="0"/>
            <w:vAlign w:val="top"/>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008" w:type="dxa"/>
            <w:gridSpan w:val="3"/>
            <w:noWrap w:val="0"/>
            <w:vAlign w:val="center"/>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lang w:val="zh-CN"/>
              </w:rPr>
            </w:pPr>
            <w:r>
              <w:rPr>
                <w:rFonts w:ascii="Times New Roman" w:hAnsi="Times New Roman"/>
                <w:lang w:val="zh-CN"/>
              </w:rPr>
              <w:t>15</w:t>
            </w:r>
          </w:p>
        </w:tc>
        <w:tc>
          <w:tcPr>
            <w:tcW w:w="1471"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u w:val="single"/>
        </w:rPr>
      </w:pPr>
      <w:r>
        <w:rPr>
          <w:rFonts w:hint="eastAsia"/>
        </w:rPr>
        <w:t>项目所在地</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，当地年均降雨量</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mm</w:t>
      </w: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4"/>
        <w:gridCol w:w="2977"/>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绿色雨水基础设施</w:t>
            </w:r>
          </w:p>
        </w:tc>
        <w:tc>
          <w:tcPr>
            <w:tcW w:w="1984" w:type="dxa"/>
            <w:tcBorders>
              <w:top w:val="single" w:color="auto" w:sz="4" w:space="0"/>
              <w:left w:val="single" w:color="auto" w:sz="4" w:space="0"/>
              <w:bottom w:val="single" w:color="auto" w:sz="4" w:space="0"/>
              <w:right w:val="double" w:color="auto" w:sz="4" w:space="0"/>
            </w:tcBorders>
            <w:noWrap w:val="0"/>
            <w:vAlign w:val="center"/>
          </w:tcPr>
          <w:p>
            <w:pPr>
              <w:jc w:val="center"/>
            </w:pPr>
            <w:r>
              <w:rPr>
                <w:rFonts w:hint="eastAsia"/>
              </w:rPr>
              <w:t>面积（</w:t>
            </w:r>
            <w:r>
              <w:t>m</w:t>
            </w:r>
            <w:r>
              <w:rPr>
                <w:vertAlign w:val="superscript"/>
              </w:rPr>
              <w:t>2</w:t>
            </w:r>
            <w:r>
              <w:rPr>
                <w:rFonts w:hint="eastAsia"/>
              </w:rPr>
              <w:t>）</w:t>
            </w:r>
          </w:p>
        </w:tc>
        <w:tc>
          <w:tcPr>
            <w:tcW w:w="2977" w:type="dxa"/>
            <w:tcBorders>
              <w:top w:val="single" w:color="auto" w:sz="4" w:space="0"/>
              <w:left w:val="double" w:color="auto" w:sz="4" w:space="0"/>
              <w:bottom w:val="single" w:color="auto" w:sz="4" w:space="0"/>
              <w:right w:val="single" w:color="auto" w:sz="4" w:space="0"/>
            </w:tcBorders>
            <w:noWrap w:val="0"/>
            <w:vAlign w:val="center"/>
          </w:tcPr>
          <w:p>
            <w:pPr>
              <w:jc w:val="center"/>
            </w:pPr>
            <w:r>
              <w:rPr>
                <w:rFonts w:hint="eastAsia"/>
              </w:rPr>
              <w:t>绿色雨水基础设施</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r>
              <w:rPr>
                <w:rFonts w:hint="eastAsia"/>
              </w:rPr>
              <w:t>下凹式绿地</w:t>
            </w:r>
          </w:p>
        </w:tc>
        <w:tc>
          <w:tcPr>
            <w:tcW w:w="1984" w:type="dxa"/>
            <w:tcBorders>
              <w:top w:val="single" w:color="auto" w:sz="4" w:space="0"/>
              <w:left w:val="single" w:color="auto" w:sz="4" w:space="0"/>
              <w:bottom w:val="single" w:color="auto" w:sz="4" w:space="0"/>
              <w:right w:val="double" w:color="auto" w:sz="4" w:space="0"/>
            </w:tcBorders>
            <w:noWrap w:val="0"/>
            <w:vAlign w:val="center"/>
          </w:tcPr>
          <w:p>
            <w:pPr>
              <w:jc w:val="center"/>
            </w:pPr>
            <w:r>
              <w:rPr>
                <w:rFonts w:hint="eastAsia" w:ascii="Times New Roman" w:hAnsi="Times New Roman"/>
                <w:szCs w:val="21"/>
              </w:rPr>
              <w:t xml:space="preserve">  </w:t>
            </w:r>
          </w:p>
        </w:tc>
        <w:tc>
          <w:tcPr>
            <w:tcW w:w="2977" w:type="dxa"/>
            <w:tcBorders>
              <w:top w:val="single" w:color="auto" w:sz="4" w:space="0"/>
              <w:left w:val="double" w:color="auto" w:sz="4" w:space="0"/>
              <w:bottom w:val="single" w:color="auto" w:sz="4" w:space="0"/>
              <w:right w:val="single" w:color="auto" w:sz="4" w:space="0"/>
            </w:tcBorders>
            <w:noWrap w:val="0"/>
            <w:vAlign w:val="center"/>
          </w:tcPr>
          <w:p>
            <w:r>
              <w:rPr>
                <w:rFonts w:hint="eastAsia"/>
              </w:rPr>
              <w:t>雨水湿地</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r>
              <w:rPr>
                <w:rFonts w:hint="eastAsia"/>
              </w:rPr>
              <w:t>雨水花园</w:t>
            </w:r>
          </w:p>
        </w:tc>
        <w:tc>
          <w:tcPr>
            <w:tcW w:w="1984" w:type="dxa"/>
            <w:tcBorders>
              <w:top w:val="single" w:color="auto" w:sz="4" w:space="0"/>
              <w:left w:val="single" w:color="auto" w:sz="4" w:space="0"/>
              <w:bottom w:val="single" w:color="auto" w:sz="4" w:space="0"/>
              <w:right w:val="double" w:color="auto" w:sz="4" w:space="0"/>
            </w:tcBorders>
            <w:noWrap w:val="0"/>
            <w:vAlign w:val="center"/>
          </w:tcPr>
          <w:p>
            <w:pPr>
              <w:jc w:val="center"/>
            </w:pPr>
            <w:r>
              <w:rPr>
                <w:rFonts w:hint="eastAsia" w:ascii="Times New Roman" w:hAnsi="Times New Roman"/>
                <w:szCs w:val="21"/>
              </w:rPr>
              <w:t xml:space="preserve">  </w:t>
            </w:r>
          </w:p>
        </w:tc>
        <w:tc>
          <w:tcPr>
            <w:tcW w:w="2977" w:type="dxa"/>
            <w:tcBorders>
              <w:top w:val="single" w:color="auto" w:sz="4" w:space="0"/>
              <w:left w:val="double" w:color="auto" w:sz="4" w:space="0"/>
              <w:bottom w:val="single" w:color="auto" w:sz="4" w:space="0"/>
              <w:right w:val="single" w:color="auto" w:sz="4" w:space="0"/>
            </w:tcBorders>
            <w:noWrap w:val="0"/>
            <w:vAlign w:val="center"/>
          </w:tcPr>
          <w:p>
            <w:r>
              <w:rPr>
                <w:rFonts w:hint="eastAsia"/>
              </w:rPr>
              <w:t>景观设计水体</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r>
              <w:rPr>
                <w:rFonts w:hint="eastAsia"/>
              </w:rPr>
              <w:t>屋顶绿化</w:t>
            </w:r>
          </w:p>
        </w:tc>
        <w:tc>
          <w:tcPr>
            <w:tcW w:w="1984" w:type="dxa"/>
            <w:tcBorders>
              <w:top w:val="single" w:color="auto" w:sz="4" w:space="0"/>
              <w:left w:val="single" w:color="auto" w:sz="4" w:space="0"/>
              <w:bottom w:val="single" w:color="auto" w:sz="4" w:space="0"/>
              <w:right w:val="double" w:color="auto" w:sz="4" w:space="0"/>
            </w:tcBorders>
            <w:noWrap w:val="0"/>
            <w:vAlign w:val="center"/>
          </w:tcPr>
          <w:p>
            <w:pPr>
              <w:jc w:val="center"/>
            </w:pPr>
            <w:r>
              <w:rPr>
                <w:rFonts w:hint="eastAsia" w:ascii="Times New Roman" w:hAnsi="Times New Roman"/>
                <w:szCs w:val="21"/>
              </w:rPr>
              <w:t xml:space="preserve">  </w:t>
            </w:r>
          </w:p>
        </w:tc>
        <w:tc>
          <w:tcPr>
            <w:tcW w:w="2977" w:type="dxa"/>
            <w:tcBorders>
              <w:top w:val="single" w:color="auto" w:sz="4" w:space="0"/>
              <w:left w:val="double" w:color="auto" w:sz="4" w:space="0"/>
              <w:bottom w:val="single" w:color="auto" w:sz="4" w:space="0"/>
              <w:right w:val="single" w:color="auto" w:sz="4" w:space="0"/>
            </w:tcBorders>
            <w:noWrap w:val="0"/>
            <w:vAlign w:val="center"/>
          </w:tcPr>
          <w:p>
            <w:r>
              <w:rPr>
                <w:rFonts w:hint="eastAsia"/>
              </w:rPr>
              <w:t>自然水体（河流、湖泊）</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r>
              <w:rPr>
                <w:rFonts w:hint="eastAsia"/>
              </w:rPr>
              <w:t>植被浅沟</w:t>
            </w:r>
          </w:p>
        </w:tc>
        <w:tc>
          <w:tcPr>
            <w:tcW w:w="1984" w:type="dxa"/>
            <w:tcBorders>
              <w:top w:val="single" w:color="auto" w:sz="4" w:space="0"/>
              <w:left w:val="single" w:color="auto" w:sz="4" w:space="0"/>
              <w:bottom w:val="single" w:color="auto" w:sz="4" w:space="0"/>
              <w:right w:val="double" w:color="auto" w:sz="4" w:space="0"/>
            </w:tcBorders>
            <w:noWrap w:val="0"/>
            <w:vAlign w:val="center"/>
          </w:tcPr>
          <w:p>
            <w:pPr>
              <w:jc w:val="center"/>
            </w:pPr>
            <w:r>
              <w:rPr>
                <w:rFonts w:hint="eastAsia" w:ascii="Times New Roman" w:hAnsi="Times New Roman"/>
                <w:szCs w:val="21"/>
              </w:rPr>
              <w:t xml:space="preserve">  </w:t>
            </w:r>
          </w:p>
        </w:tc>
        <w:tc>
          <w:tcPr>
            <w:tcW w:w="2977" w:type="dxa"/>
            <w:tcBorders>
              <w:top w:val="single" w:color="auto" w:sz="4" w:space="0"/>
              <w:left w:val="double" w:color="auto" w:sz="4" w:space="0"/>
              <w:bottom w:val="single" w:color="auto" w:sz="4" w:space="0"/>
              <w:right w:val="single" w:color="auto" w:sz="4" w:space="0"/>
            </w:tcBorders>
            <w:noWrap w:val="0"/>
            <w:vAlign w:val="center"/>
          </w:tcPr>
          <w:p>
            <w:r>
              <w:rPr>
                <w:rFonts w:hint="eastAsia"/>
              </w:rPr>
              <w:t>其他</w:t>
            </w:r>
            <w:r>
              <w:t xml:space="preserve">  </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r>
              <w:rPr>
                <w:rFonts w:hint="eastAsia"/>
              </w:rPr>
              <w:t>树池</w:t>
            </w:r>
          </w:p>
        </w:tc>
        <w:tc>
          <w:tcPr>
            <w:tcW w:w="1984" w:type="dxa"/>
            <w:tcBorders>
              <w:top w:val="single" w:color="auto" w:sz="4" w:space="0"/>
              <w:left w:val="single" w:color="auto" w:sz="4" w:space="0"/>
              <w:bottom w:val="single" w:color="auto" w:sz="4" w:space="0"/>
              <w:right w:val="double" w:color="auto" w:sz="4" w:space="0"/>
            </w:tcBorders>
            <w:noWrap w:val="0"/>
            <w:vAlign w:val="center"/>
          </w:tcPr>
          <w:p>
            <w:pPr>
              <w:jc w:val="center"/>
            </w:pPr>
            <w:r>
              <w:rPr>
                <w:rFonts w:hint="eastAsia" w:ascii="Times New Roman" w:hAnsi="Times New Roman"/>
                <w:szCs w:val="21"/>
              </w:rPr>
              <w:t xml:space="preserve">  </w:t>
            </w:r>
          </w:p>
        </w:tc>
        <w:tc>
          <w:tcPr>
            <w:tcW w:w="2977" w:type="dxa"/>
            <w:tcBorders>
              <w:top w:val="single" w:color="auto" w:sz="4" w:space="0"/>
              <w:left w:val="double" w:color="auto" w:sz="4" w:space="0"/>
              <w:bottom w:val="single" w:color="auto" w:sz="4" w:space="0"/>
              <w:right w:val="single" w:color="auto" w:sz="4" w:space="0"/>
            </w:tcBorders>
            <w:noWrap w:val="0"/>
            <w:vAlign w:val="center"/>
          </w:tcPr>
          <w:p>
            <w:r>
              <w:rPr>
                <w:rFonts w:hint="eastAsia"/>
              </w:rPr>
              <w:t>绿色雨水基础设施面积合计</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r>
              <w:rPr>
                <w:rFonts w:hint="eastAsia"/>
              </w:rPr>
              <w:t>雨水塘</w:t>
            </w:r>
          </w:p>
        </w:tc>
        <w:tc>
          <w:tcPr>
            <w:tcW w:w="1984" w:type="dxa"/>
            <w:tcBorders>
              <w:top w:val="single" w:color="auto" w:sz="4" w:space="0"/>
              <w:left w:val="single" w:color="auto" w:sz="4" w:space="0"/>
              <w:bottom w:val="single" w:color="auto" w:sz="4" w:space="0"/>
              <w:right w:val="double" w:color="auto" w:sz="4" w:space="0"/>
            </w:tcBorders>
            <w:noWrap w:val="0"/>
            <w:vAlign w:val="center"/>
          </w:tcPr>
          <w:p>
            <w:pPr>
              <w:jc w:val="center"/>
            </w:pPr>
            <w:r>
              <w:rPr>
                <w:rFonts w:hint="eastAsia" w:ascii="Times New Roman" w:hAnsi="Times New Roman"/>
                <w:szCs w:val="21"/>
              </w:rPr>
              <w:t xml:space="preserve">  </w:t>
            </w:r>
          </w:p>
        </w:tc>
        <w:tc>
          <w:tcPr>
            <w:tcW w:w="2977" w:type="dxa"/>
            <w:tcBorders>
              <w:top w:val="single" w:color="auto" w:sz="4" w:space="0"/>
              <w:left w:val="double" w:color="auto" w:sz="4" w:space="0"/>
              <w:bottom w:val="single" w:color="auto" w:sz="4" w:space="0"/>
              <w:right w:val="single" w:color="auto" w:sz="4" w:space="0"/>
            </w:tcBorders>
            <w:noWrap w:val="0"/>
            <w:vAlign w:val="center"/>
          </w:tcPr>
          <w:p>
            <w:r>
              <w:rPr>
                <w:rFonts w:hint="eastAsia"/>
              </w:rPr>
              <w:t>场地绿地面积</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301" w:type="dxa"/>
            <w:gridSpan w:val="3"/>
            <w:tcBorders>
              <w:top w:val="single" w:color="auto" w:sz="4" w:space="0"/>
              <w:left w:val="single" w:color="auto" w:sz="4" w:space="0"/>
              <w:bottom w:val="single" w:color="auto" w:sz="4" w:space="0"/>
              <w:right w:val="single" w:color="auto" w:sz="4" w:space="0"/>
            </w:tcBorders>
            <w:noWrap w:val="0"/>
            <w:vAlign w:val="center"/>
          </w:tcPr>
          <w:p>
            <w:r>
              <w:rPr>
                <w:rFonts w:hint="eastAsia"/>
              </w:rPr>
              <w:t>有调蓄雨水功能的绿地和水体的面积之和占绿地面积的比例（</w:t>
            </w:r>
            <w:r>
              <w:t>%</w:t>
            </w:r>
            <w:r>
              <w:rPr>
                <w:rFonts w:hint="eastAsia"/>
              </w:rPr>
              <w:t>）</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bl>
    <w:p>
      <w:r>
        <w:rPr>
          <w:rFonts w:hint="eastAsia"/>
        </w:rPr>
        <w:t>透水铺装面积比例计算</w:t>
      </w: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559"/>
        <w:gridCol w:w="1483"/>
        <w:gridCol w:w="1608"/>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类型</w:t>
            </w:r>
          </w:p>
        </w:tc>
        <w:tc>
          <w:tcPr>
            <w:tcW w:w="155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植草砖</w:t>
            </w:r>
          </w:p>
        </w:tc>
        <w:tc>
          <w:tcPr>
            <w:tcW w:w="148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透水沥青</w:t>
            </w:r>
          </w:p>
        </w:tc>
        <w:tc>
          <w:tcPr>
            <w:tcW w:w="160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透水混凝土</w:t>
            </w:r>
          </w:p>
        </w:tc>
        <w:tc>
          <w:tcPr>
            <w:tcW w:w="160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透水地砖</w:t>
            </w:r>
          </w:p>
        </w:tc>
        <w:tc>
          <w:tcPr>
            <w:tcW w:w="1608" w:type="dxa"/>
            <w:tcBorders>
              <w:top w:val="single" w:color="auto" w:sz="4" w:space="0"/>
              <w:left w:val="single" w:color="auto" w:sz="4" w:space="0"/>
              <w:bottom w:val="single" w:color="auto" w:sz="4" w:space="0"/>
              <w:right w:val="single" w:color="auto" w:sz="4" w:space="0"/>
            </w:tcBorders>
            <w:noWrap w:val="0"/>
            <w:vAlign w:val="top"/>
          </w:tcPr>
          <w:p>
            <w:r>
              <w:rPr>
                <w:rFonts w:hint="eastAsia"/>
              </w:rPr>
              <w:t>其他</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top"/>
          </w:tcPr>
          <w:p>
            <w:r>
              <w:rPr>
                <w:rFonts w:hint="eastAsia"/>
              </w:rPr>
              <w:t>面积（</w:t>
            </w:r>
            <w:r>
              <w:t>m</w:t>
            </w:r>
            <w:r>
              <w:rPr>
                <w:vertAlign w:val="superscript"/>
              </w:rPr>
              <w:t>2</w:t>
            </w:r>
            <w:r>
              <w:rPr>
                <w:rFonts w:hint="eastAsia"/>
              </w:rPr>
              <w:t>）</w:t>
            </w:r>
          </w:p>
        </w:tc>
        <w:tc>
          <w:tcPr>
            <w:tcW w:w="155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148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160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160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160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2907"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硬质铺装总面积（</w:t>
            </w:r>
            <w:r>
              <w:t>m</w:t>
            </w:r>
            <w:r>
              <w:rPr>
                <w:vertAlign w:val="superscript"/>
              </w:rPr>
              <w:t>2</w:t>
            </w:r>
            <w:r>
              <w:rPr>
                <w:rFonts w:hint="eastAsia"/>
              </w:rPr>
              <w:t>）</w:t>
            </w:r>
          </w:p>
        </w:tc>
        <w:tc>
          <w:tcPr>
            <w:tcW w:w="148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透水铺装面积的比例（</w:t>
            </w:r>
            <w:r>
              <w:t>%</w:t>
            </w:r>
            <w:r>
              <w:rPr>
                <w:rFonts w:hint="eastAsia"/>
              </w:rPr>
              <w:t>）</w:t>
            </w:r>
          </w:p>
        </w:tc>
        <w:tc>
          <w:tcPr>
            <w:tcW w:w="160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bl>
    <w:p>
      <w:pPr>
        <w:rPr>
          <w:rFonts w:ascii="Times New Roman" w:hAnsi="Times New Roman"/>
          <w:szCs w:val="21"/>
        </w:rPr>
      </w:pPr>
      <w:r>
        <w:rPr>
          <w:rFonts w:hint="eastAsia"/>
        </w:rPr>
        <w:t>请简要说明场地空间设置绿色雨水基础设施的情况。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本工程雨水渗透方式采用透水铺装地面渗透。</w:t>
            </w:r>
          </w:p>
          <w:p>
            <w:pPr>
              <w:ind w:firstLine="400" w:firstLineChars="200"/>
              <w:rPr>
                <w:rFonts w:ascii="Times New Roman" w:hAnsi="Times New Roman"/>
                <w:kern w:val="0"/>
                <w:sz w:val="20"/>
                <w:szCs w:val="21"/>
              </w:rPr>
            </w:pPr>
            <w:r>
              <w:rPr>
                <w:rFonts w:hint="eastAsia" w:ascii="Times New Roman" w:hAnsi="Times New Roman"/>
                <w:kern w:val="0"/>
                <w:sz w:val="20"/>
                <w:szCs w:val="21"/>
              </w:rPr>
              <w:t>透水铺装地面包括透水砖和透水沥青。透水砖、透水沥青用于路面。当透水铺装下为地下室顶板时，地下室顶板上覆土深度能满足当地园林绿化部门要求，可认定其为透水铺装地面。</w:t>
            </w:r>
          </w:p>
          <w:p>
            <w:pPr>
              <w:ind w:firstLine="400" w:firstLineChars="200"/>
              <w:rPr>
                <w:rFonts w:ascii="Times New Roman" w:hAnsi="Times New Roman"/>
                <w:kern w:val="0"/>
                <w:sz w:val="20"/>
                <w:szCs w:val="21"/>
              </w:rPr>
            </w:pPr>
            <w:r>
              <w:rPr>
                <w:rFonts w:hint="eastAsia" w:ascii="Times New Roman" w:hAnsi="Times New Roman"/>
                <w:kern w:val="0"/>
                <w:sz w:val="20"/>
                <w:szCs w:val="21"/>
              </w:rPr>
              <w:t>硬质铺装地面中透水铺装面积的比例达到82%＞50%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ind w:left="210" w:hanging="210" w:hangingChars="100"/>
      </w:pPr>
      <w:r>
        <w:rPr>
          <w:rFonts w:hint="eastAsia"/>
        </w:rPr>
        <w:t>1）场地原地形图；</w:t>
      </w:r>
    </w:p>
    <w:p>
      <w:pPr>
        <w:ind w:left="210" w:hanging="210" w:hangingChars="100"/>
      </w:pPr>
      <w:r>
        <w:rPr>
          <w:rFonts w:hint="eastAsia"/>
        </w:rPr>
        <w:t>2）竣工总平面图，应包括绿化、场地竖向设计内容；</w:t>
      </w:r>
    </w:p>
    <w:p>
      <w:pPr>
        <w:ind w:left="210" w:hanging="210" w:hangingChars="100"/>
      </w:pPr>
      <w:r>
        <w:rPr>
          <w:rFonts w:hint="eastAsia"/>
        </w:rPr>
        <w:t>3）景观专业竣工图纸及设计说明，应包括景观总平面及竖向图、场地铺装平面图、种植图、地面生态设施详图、雨水断接做法及室外雨水平面图，应明确雨水进入地面生态设施的衔接引导措施，以及地面生态设施汇水区域内的屋面或路面位置、面积；</w:t>
      </w:r>
    </w:p>
    <w:p>
      <w:pPr>
        <w:ind w:left="210" w:hanging="210" w:hangingChars="100"/>
      </w:pPr>
      <w:r>
        <w:rPr>
          <w:rFonts w:hint="eastAsia"/>
        </w:rPr>
        <w:t>4）场地铺装图纸及设计说明，应包括透水铺装地面位置、面积、铺装材料和铺装方式；</w:t>
      </w:r>
    </w:p>
    <w:p>
      <w:pPr>
        <w:ind w:left="210" w:hanging="210" w:hangingChars="100"/>
      </w:pPr>
      <w:r>
        <w:rPr>
          <w:rFonts w:hint="eastAsia"/>
        </w:rPr>
        <w:t>5）绿地及透水铺装比例计算书。</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8.2.6 场地内的环境噪声优于现行国家标准《声环境质量标准》GB 3096的要求。（10分）</w:t>
      </w:r>
    </w:p>
    <w:p>
      <w:pPr>
        <w:rPr>
          <w:rFonts w:ascii="Times New Roman" w:hAnsi="Times New Roman"/>
          <w:b/>
          <w:szCs w:val="21"/>
        </w:rPr>
      </w:pPr>
      <w:r>
        <w:rPr>
          <w:rFonts w:hint="eastAsia" w:ascii="Times New Roman" w:hAnsi="Times New Roman"/>
          <w:b/>
          <w:szCs w:val="21"/>
        </w:rPr>
        <w:t xml:space="preserve">1 </w:t>
      </w:r>
      <w:r>
        <w:rPr>
          <w:rFonts w:ascii="Times New Roman" w:hAnsi="Times New Roman"/>
          <w:b/>
          <w:szCs w:val="21"/>
        </w:rPr>
        <w:t>得分自评</w:t>
      </w:r>
    </w:p>
    <w:tbl>
      <w:tblPr>
        <w:tblStyle w:val="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103"/>
        <w:gridCol w:w="170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7" w:hRule="atLeast"/>
          <w:jc w:val="center"/>
        </w:trPr>
        <w:tc>
          <w:tcPr>
            <w:tcW w:w="780" w:type="dxa"/>
            <w:noWrap w:val="0"/>
            <w:vAlign w:val="center"/>
          </w:tcPr>
          <w:p>
            <w:pPr>
              <w:jc w:val="center"/>
              <w:rPr>
                <w:rFonts w:ascii="Times New Roman" w:hAnsi="Times New Roman"/>
                <w:lang w:val="zh-CN"/>
              </w:rPr>
            </w:pPr>
            <w:r>
              <w:rPr>
                <w:rFonts w:ascii="Times New Roman" w:hAnsi="Times New Roman"/>
                <w:lang w:val="zh-CN"/>
              </w:rPr>
              <w:t>序号</w:t>
            </w:r>
          </w:p>
        </w:tc>
        <w:tc>
          <w:tcPr>
            <w:tcW w:w="5103"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28"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780" w:type="dxa"/>
            <w:noWrap w:val="0"/>
            <w:vAlign w:val="center"/>
          </w:tcPr>
          <w:p>
            <w:pPr>
              <w:jc w:val="center"/>
              <w:rPr>
                <w:rFonts w:ascii="Times New Roman" w:hAnsi="Times New Roman"/>
              </w:rPr>
            </w:pPr>
            <w:r>
              <w:rPr>
                <w:rFonts w:ascii="Times New Roman" w:hAnsi="Times New Roman"/>
              </w:rPr>
              <w:t>1</w:t>
            </w:r>
          </w:p>
        </w:tc>
        <w:tc>
          <w:tcPr>
            <w:tcW w:w="5103" w:type="dxa"/>
            <w:noWrap w:val="0"/>
            <w:vAlign w:val="center"/>
          </w:tcPr>
          <w:p>
            <w:pPr>
              <w:jc w:val="left"/>
              <w:rPr>
                <w:rFonts w:ascii="Times New Roman" w:hAnsi="Times New Roman"/>
              </w:rPr>
            </w:pPr>
            <w:r>
              <w:rPr>
                <w:rFonts w:ascii="Times New Roman" w:hAnsi="Times New Roman"/>
              </w:rPr>
              <w:t>2类声环境功能区标准限值＜环境噪声值≤3类声环境功能区标准限值</w:t>
            </w:r>
          </w:p>
        </w:tc>
        <w:tc>
          <w:tcPr>
            <w:tcW w:w="1701" w:type="dxa"/>
            <w:noWrap w:val="0"/>
            <w:vAlign w:val="center"/>
          </w:tcPr>
          <w:p>
            <w:pPr>
              <w:jc w:val="center"/>
              <w:rPr>
                <w:rFonts w:ascii="Times New Roman" w:hAnsi="Times New Roman"/>
                <w:lang w:val="zh-CN"/>
              </w:rPr>
            </w:pPr>
            <w:r>
              <w:rPr>
                <w:rFonts w:ascii="Times New Roman" w:hAnsi="Times New Roman"/>
                <w:lang w:val="zh-CN"/>
              </w:rPr>
              <w:t>5</w:t>
            </w:r>
          </w:p>
        </w:tc>
        <w:tc>
          <w:tcPr>
            <w:tcW w:w="1628" w:type="dxa"/>
            <w:vMerge w:val="restart"/>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780" w:type="dxa"/>
            <w:noWrap w:val="0"/>
            <w:vAlign w:val="center"/>
          </w:tcPr>
          <w:p>
            <w:pPr>
              <w:jc w:val="center"/>
              <w:rPr>
                <w:rFonts w:ascii="Times New Roman" w:hAnsi="Times New Roman"/>
              </w:rPr>
            </w:pPr>
            <w:r>
              <w:rPr>
                <w:rFonts w:ascii="Times New Roman" w:hAnsi="Times New Roman"/>
              </w:rPr>
              <w:t>2</w:t>
            </w:r>
          </w:p>
        </w:tc>
        <w:tc>
          <w:tcPr>
            <w:tcW w:w="5103" w:type="dxa"/>
            <w:noWrap w:val="0"/>
            <w:vAlign w:val="center"/>
          </w:tcPr>
          <w:p>
            <w:pPr>
              <w:jc w:val="left"/>
              <w:rPr>
                <w:rFonts w:ascii="Times New Roman" w:hAnsi="Times New Roman"/>
              </w:rPr>
            </w:pPr>
            <w:r>
              <w:rPr>
                <w:rFonts w:ascii="Times New Roman" w:hAnsi="Times New Roman"/>
              </w:rPr>
              <w:t>环境噪声值≤2类声环境功能区标准限值</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628" w:type="dxa"/>
            <w:vMerge w:val="continue"/>
            <w:noWrap w:val="0"/>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5883" w:type="dxa"/>
            <w:gridSpan w:val="2"/>
            <w:noWrap w:val="0"/>
            <w:vAlign w:val="center"/>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628"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bl>
    <w:p>
      <w:pPr>
        <w:rPr>
          <w:rFonts w:ascii="Times New Roman" w:hAnsi="Times New Roman"/>
          <w:b/>
          <w:szCs w:val="21"/>
        </w:rPr>
      </w:pPr>
      <w:r>
        <w:rPr>
          <w:rFonts w:ascii="Times New Roman" w:hAnsi="Times New Roman"/>
          <w:b/>
          <w:szCs w:val="21"/>
        </w:rPr>
        <w:t>2 评价要点</w:t>
      </w:r>
    </w:p>
    <w:p>
      <w:pPr>
        <w:rPr>
          <w:lang w:val="zh-CN"/>
        </w:rPr>
      </w:pPr>
      <w:r>
        <w:rPr>
          <w:rFonts w:hint="eastAsia"/>
          <w:lang w:val="zh-CN"/>
        </w:rPr>
        <w:t>场地位于《声环境质量标准》GB3096中</w:t>
      </w:r>
      <w:r>
        <w:rPr>
          <w:rFonts w:hint="eastAsia"/>
          <w:u w:val="single"/>
        </w:rPr>
        <w:t xml:space="preserve"> </w:t>
      </w:r>
      <w:r>
        <w:rPr>
          <w:u w:val="single"/>
        </w:rPr>
        <w:t xml:space="preserve"> </w:t>
      </w:r>
      <w:r>
        <w:rPr>
          <w:rFonts w:hint="eastAsia"/>
          <w:u w:val="single"/>
        </w:rPr>
        <w:t xml:space="preserve">    </w:t>
      </w:r>
      <w:r>
        <w:rPr>
          <w:rFonts w:hint="eastAsia"/>
          <w:lang w:val="zh-CN"/>
        </w:rPr>
        <w:t>类型</w:t>
      </w:r>
    </w:p>
    <w:p>
      <w:pPr>
        <w:rPr>
          <w:lang w:val="zh-CN"/>
        </w:rPr>
      </w:pPr>
      <w:r>
        <w:rPr>
          <w:rFonts w:hint="eastAsia"/>
          <w:lang w:val="zh-CN"/>
        </w:rPr>
        <w:t>环境噪声检测情况</w:t>
      </w:r>
    </w:p>
    <w:tbl>
      <w:tblPr>
        <w:tblStyle w:val="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50"/>
        <w:gridCol w:w="1276"/>
        <w:gridCol w:w="1276"/>
        <w:gridCol w:w="1274"/>
        <w:gridCol w:w="1347"/>
        <w:gridCol w:w="120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5" w:hRule="atLeast"/>
          <w:jc w:val="center"/>
        </w:trPr>
        <w:tc>
          <w:tcPr>
            <w:tcW w:w="640" w:type="dxa"/>
            <w:vMerge w:val="restart"/>
            <w:tcBorders>
              <w:top w:val="single" w:color="auto" w:sz="4" w:space="0"/>
              <w:left w:val="single" w:color="auto" w:sz="4" w:space="0"/>
              <w:right w:val="single" w:color="auto" w:sz="4" w:space="0"/>
            </w:tcBorders>
            <w:noWrap w:val="0"/>
            <w:vAlign w:val="center"/>
          </w:tcPr>
          <w:p>
            <w:pPr>
              <w:jc w:val="center"/>
              <w:rPr>
                <w:lang w:val="zh-CN"/>
              </w:rPr>
            </w:pPr>
            <w:r>
              <w:rPr>
                <w:rFonts w:hint="eastAsia"/>
                <w:lang w:val="zh-CN"/>
              </w:rPr>
              <w:t>序号</w:t>
            </w:r>
          </w:p>
        </w:tc>
        <w:tc>
          <w:tcPr>
            <w:tcW w:w="850" w:type="dxa"/>
            <w:vMerge w:val="restart"/>
            <w:tcBorders>
              <w:top w:val="single" w:color="auto" w:sz="4" w:space="0"/>
              <w:left w:val="single" w:color="auto" w:sz="4" w:space="0"/>
              <w:right w:val="single" w:color="auto" w:sz="4" w:space="0"/>
            </w:tcBorders>
            <w:noWrap w:val="0"/>
            <w:vAlign w:val="center"/>
          </w:tcPr>
          <w:p>
            <w:pPr>
              <w:jc w:val="center"/>
              <w:rPr>
                <w:lang w:val="zh-CN"/>
              </w:rPr>
            </w:pPr>
            <w:r>
              <w:rPr>
                <w:rFonts w:hint="eastAsia"/>
                <w:lang w:val="zh-CN"/>
              </w:rPr>
              <w:t>监测点</w:t>
            </w:r>
          </w:p>
        </w:tc>
        <w:tc>
          <w:tcPr>
            <w:tcW w:w="5173" w:type="dxa"/>
            <w:gridSpan w:val="4"/>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lang w:val="zh-CN"/>
              </w:rPr>
              <w:t>声环境功能区的环境噪声等效声级限值</w:t>
            </w:r>
            <w:r>
              <w:rPr>
                <w:lang w:val="zh-CN"/>
              </w:rPr>
              <w:t>[dB</w:t>
            </w:r>
            <w:r>
              <w:rPr>
                <w:rFonts w:hint="eastAsia"/>
                <w:lang w:val="zh-CN"/>
              </w:rPr>
              <w:t>(</w:t>
            </w:r>
            <w:r>
              <w:rPr>
                <w:lang w:val="zh-CN"/>
              </w:rPr>
              <w:t>A</w:t>
            </w:r>
            <w:r>
              <w:rPr>
                <w:rFonts w:hint="eastAsia"/>
                <w:lang w:val="zh-CN"/>
              </w:rPr>
              <w:t>)</w:t>
            </w:r>
            <w:r>
              <w:rPr>
                <w:lang w:val="zh-CN"/>
              </w:rPr>
              <w:t>]</w:t>
            </w:r>
          </w:p>
        </w:tc>
        <w:tc>
          <w:tcPr>
            <w:tcW w:w="2553" w:type="dxa"/>
            <w:gridSpan w:val="2"/>
            <w:vMerge w:val="restart"/>
            <w:tcBorders>
              <w:top w:val="single" w:color="auto" w:sz="4" w:space="0"/>
              <w:left w:val="single" w:color="auto" w:sz="4" w:space="0"/>
              <w:right w:val="single" w:color="auto" w:sz="4" w:space="0"/>
            </w:tcBorders>
            <w:noWrap w:val="0"/>
            <w:vAlign w:val="center"/>
          </w:tcPr>
          <w:p>
            <w:pPr>
              <w:jc w:val="center"/>
              <w:rPr>
                <w:lang w:val="zh-CN"/>
              </w:rPr>
            </w:pPr>
            <w:r>
              <w:rPr>
                <w:rFonts w:hint="eastAsia"/>
                <w:lang w:val="zh-CN"/>
              </w:rPr>
              <w:t>环境噪声测试值</w:t>
            </w:r>
            <w:r>
              <w:rPr>
                <w:lang w:val="zh-CN"/>
              </w:rPr>
              <w:t>[dB</w:t>
            </w:r>
            <w:r>
              <w:rPr>
                <w:rFonts w:hint="eastAsia"/>
                <w:lang w:val="zh-CN"/>
              </w:rPr>
              <w:t>(</w:t>
            </w:r>
            <w:r>
              <w:rPr>
                <w:lang w:val="zh-CN"/>
              </w:rPr>
              <w:t>A</w:t>
            </w:r>
            <w:r>
              <w:rPr>
                <w:rFonts w:hint="eastAsia"/>
                <w:lang w:val="zh-CN"/>
              </w:rPr>
              <w:t>)</w:t>
            </w:r>
            <w:r>
              <w:rPr>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5" w:hRule="atLeast"/>
          <w:jc w:val="center"/>
        </w:trPr>
        <w:tc>
          <w:tcPr>
            <w:tcW w:w="640" w:type="dxa"/>
            <w:vMerge w:val="continue"/>
            <w:tcBorders>
              <w:left w:val="single" w:color="auto" w:sz="4" w:space="0"/>
              <w:right w:val="single" w:color="auto" w:sz="4" w:space="0"/>
            </w:tcBorders>
            <w:noWrap w:val="0"/>
            <w:vAlign w:val="center"/>
          </w:tcPr>
          <w:p>
            <w:pPr>
              <w:jc w:val="center"/>
              <w:rPr>
                <w:lang w:val="zh-CN"/>
              </w:rPr>
            </w:pPr>
          </w:p>
        </w:tc>
        <w:tc>
          <w:tcPr>
            <w:tcW w:w="850" w:type="dxa"/>
            <w:vMerge w:val="continue"/>
            <w:tcBorders>
              <w:left w:val="single" w:color="auto" w:sz="4" w:space="0"/>
              <w:right w:val="single" w:color="auto" w:sz="4" w:space="0"/>
            </w:tcBorders>
            <w:noWrap w:val="0"/>
            <w:vAlign w:val="center"/>
          </w:tcPr>
          <w:p>
            <w:pPr>
              <w:jc w:val="center"/>
              <w:rPr>
                <w:lang w:val="zh-CN"/>
              </w:rPr>
            </w:pPr>
          </w:p>
        </w:tc>
        <w:tc>
          <w:tcPr>
            <w:tcW w:w="255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lang w:val="zh-CN"/>
              </w:rPr>
              <w:t>2类</w:t>
            </w:r>
          </w:p>
        </w:tc>
        <w:tc>
          <w:tcPr>
            <w:tcW w:w="2621" w:type="dxa"/>
            <w:gridSpan w:val="2"/>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lang w:val="zh-CN"/>
              </w:rPr>
              <w:t>3类</w:t>
            </w:r>
          </w:p>
        </w:tc>
        <w:tc>
          <w:tcPr>
            <w:tcW w:w="2553" w:type="dxa"/>
            <w:gridSpan w:val="2"/>
            <w:vMerge w:val="continue"/>
            <w:tcBorders>
              <w:left w:val="single" w:color="auto" w:sz="4" w:space="0"/>
              <w:bottom w:val="single" w:color="auto" w:sz="4" w:space="0"/>
              <w:right w:val="single" w:color="auto" w:sz="4" w:space="0"/>
            </w:tcBorders>
            <w:noWrap w:val="0"/>
            <w:vAlign w:val="center"/>
          </w:tcPr>
          <w:p>
            <w:pPr>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0" w:type="dxa"/>
            <w:vMerge w:val="continue"/>
            <w:tcBorders>
              <w:left w:val="single" w:color="auto" w:sz="4" w:space="0"/>
              <w:bottom w:val="single" w:color="auto" w:sz="4" w:space="0"/>
              <w:right w:val="single" w:color="auto" w:sz="4" w:space="0"/>
            </w:tcBorders>
            <w:noWrap w:val="0"/>
            <w:vAlign w:val="center"/>
          </w:tcPr>
          <w:p>
            <w:pPr>
              <w:widowControl/>
              <w:jc w:val="left"/>
              <w:rPr>
                <w:lang w:val="zh-CN"/>
              </w:rPr>
            </w:pPr>
          </w:p>
        </w:tc>
        <w:tc>
          <w:tcPr>
            <w:tcW w:w="850" w:type="dxa"/>
            <w:vMerge w:val="continue"/>
            <w:tcBorders>
              <w:left w:val="single" w:color="auto" w:sz="4" w:space="0"/>
              <w:bottom w:val="single" w:color="auto" w:sz="4" w:space="0"/>
              <w:right w:val="single" w:color="auto" w:sz="4" w:space="0"/>
            </w:tcBorders>
            <w:noWrap w:val="0"/>
            <w:vAlign w:val="center"/>
          </w:tcPr>
          <w:p>
            <w:pPr>
              <w:widowControl/>
              <w:jc w:val="left"/>
              <w:rPr>
                <w:lang w:val="zh-CN"/>
              </w:rPr>
            </w:pPr>
          </w:p>
        </w:tc>
        <w:tc>
          <w:tcPr>
            <w:tcW w:w="1276" w:type="dxa"/>
            <w:tcBorders>
              <w:top w:val="single" w:color="auto" w:sz="4" w:space="0"/>
              <w:left w:val="single" w:color="auto" w:sz="4" w:space="0"/>
              <w:right w:val="single" w:color="auto" w:sz="4" w:space="0"/>
            </w:tcBorders>
            <w:noWrap w:val="0"/>
            <w:vAlign w:val="top"/>
          </w:tcPr>
          <w:p>
            <w:pPr>
              <w:jc w:val="center"/>
              <w:rPr>
                <w:lang w:val="zh-CN"/>
              </w:rPr>
            </w:pPr>
            <w:r>
              <w:rPr>
                <w:rFonts w:hint="eastAsia"/>
                <w:lang w:val="zh-CN"/>
              </w:rPr>
              <w:t>昼间</w:t>
            </w:r>
          </w:p>
        </w:tc>
        <w:tc>
          <w:tcPr>
            <w:tcW w:w="1276" w:type="dxa"/>
            <w:tcBorders>
              <w:top w:val="single" w:color="auto" w:sz="4" w:space="0"/>
              <w:left w:val="single" w:color="auto" w:sz="4" w:space="0"/>
              <w:right w:val="single" w:color="auto" w:sz="4" w:space="0"/>
            </w:tcBorders>
            <w:noWrap w:val="0"/>
            <w:vAlign w:val="center"/>
          </w:tcPr>
          <w:p>
            <w:pPr>
              <w:jc w:val="center"/>
              <w:rPr>
                <w:lang w:val="zh-CN"/>
              </w:rPr>
            </w:pPr>
            <w:r>
              <w:rPr>
                <w:rFonts w:hint="eastAsia"/>
                <w:lang w:val="zh-CN"/>
              </w:rPr>
              <w:t>夜间</w:t>
            </w:r>
          </w:p>
        </w:tc>
        <w:tc>
          <w:tcPr>
            <w:tcW w:w="1274" w:type="dxa"/>
            <w:tcBorders>
              <w:top w:val="single" w:color="auto" w:sz="4" w:space="0"/>
              <w:left w:val="single" w:color="auto" w:sz="4" w:space="0"/>
              <w:right w:val="single" w:color="auto" w:sz="4" w:space="0"/>
            </w:tcBorders>
            <w:noWrap w:val="0"/>
            <w:vAlign w:val="top"/>
          </w:tcPr>
          <w:p>
            <w:pPr>
              <w:jc w:val="center"/>
              <w:rPr>
                <w:lang w:val="zh-CN"/>
              </w:rPr>
            </w:pPr>
            <w:r>
              <w:rPr>
                <w:rFonts w:hint="eastAsia"/>
                <w:lang w:val="zh-CN"/>
              </w:rPr>
              <w:t>昼间</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lang w:val="zh-CN"/>
              </w:rPr>
              <w:t>夜间</w:t>
            </w:r>
          </w:p>
        </w:tc>
        <w:tc>
          <w:tcPr>
            <w:tcW w:w="1206" w:type="dxa"/>
            <w:tcBorders>
              <w:top w:val="single" w:color="auto" w:sz="4" w:space="0"/>
              <w:left w:val="single" w:color="auto" w:sz="4" w:space="0"/>
              <w:bottom w:val="single" w:color="auto" w:sz="4" w:space="0"/>
              <w:right w:val="single" w:color="auto" w:sz="4" w:space="0"/>
            </w:tcBorders>
            <w:noWrap w:val="0"/>
            <w:vAlign w:val="top"/>
          </w:tcPr>
          <w:p>
            <w:pPr>
              <w:jc w:val="center"/>
              <w:rPr>
                <w:lang w:val="zh-CN"/>
              </w:rPr>
            </w:pPr>
            <w:r>
              <w:rPr>
                <w:rFonts w:hint="eastAsia"/>
                <w:lang w:val="zh-CN"/>
              </w:rPr>
              <w:t>昼间</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jc w:val="center"/>
              <w:rPr>
                <w:lang w:val="zh-CN"/>
              </w:rPr>
            </w:pPr>
            <w:r>
              <w:rPr>
                <w:rFonts w:hint="eastAsia"/>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ascii="Times New Roman" w:hAnsi="Times New Roman"/>
                <w:lang w:val="zh-CN"/>
              </w:rPr>
              <w:t>1</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4"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ascii="Times New Roman" w:hAnsi="Times New Roman"/>
                <w:lang w:val="zh-CN"/>
              </w:rPr>
              <w:t>2</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4"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18"/>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ascii="Times New Roman" w:hAnsi="Times New Roman"/>
                <w:lang w:val="zh-CN"/>
              </w:rPr>
              <w:t>3</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4"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18"/>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ascii="Times New Roman" w:hAnsi="Times New Roman"/>
                <w:lang w:val="zh-CN"/>
              </w:rPr>
              <w:t>4</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4" w:type="dxa"/>
            <w:tcBorders>
              <w:left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18"/>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ascii="Times New Roman" w:hAnsi="Times New Roman"/>
                <w:lang w:val="zh-CN"/>
              </w:rPr>
              <w:t>5</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6" w:type="dxa"/>
            <w:tcBorders>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74" w:type="dxa"/>
            <w:tcBorders>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lang w:val="zh-CN"/>
              </w:rPr>
            </w:pPr>
            <w:r>
              <w:rPr>
                <w:rFonts w:hint="eastAsia" w:ascii="Times New Roman" w:hAnsi="Times New Roman"/>
                <w:szCs w:val="21"/>
              </w:rPr>
              <w:t xml:space="preserve">  </w:t>
            </w:r>
          </w:p>
        </w:tc>
        <w:tc>
          <w:tcPr>
            <w:tcW w:w="12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18"/>
              </w:rPr>
            </w:pPr>
            <w:r>
              <w:rPr>
                <w:rFonts w:hint="eastAsia" w:ascii="Times New Roman" w:hAnsi="Times New Roman"/>
                <w:szCs w:val="21"/>
              </w:rPr>
              <w:t xml:space="preserve">  </w:t>
            </w:r>
          </w:p>
        </w:tc>
        <w:tc>
          <w:tcPr>
            <w:tcW w:w="134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szCs w:val="21"/>
              </w:rPr>
            </w:pPr>
            <w:r>
              <w:rPr>
                <w:rFonts w:hint="eastAsia" w:ascii="Times New Roman" w:hAnsi="Times New Roman"/>
                <w:szCs w:val="21"/>
              </w:rPr>
              <w:t xml:space="preserve">  </w:t>
            </w:r>
          </w:p>
        </w:tc>
      </w:tr>
    </w:tbl>
    <w:p>
      <w:pPr>
        <w:rPr>
          <w:rFonts w:ascii="Times New Roman" w:hAnsi="Times New Roman"/>
          <w:szCs w:val="21"/>
        </w:rPr>
      </w:pPr>
      <w:r>
        <w:rPr>
          <w:rFonts w:hint="eastAsia"/>
        </w:rPr>
        <w:t>请简要说明建筑场地周边噪声分布状况以及降噪措施。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33" w:hRule="atLeast"/>
          <w:jc w:val="center"/>
        </w:trPr>
        <w:tc>
          <w:tcPr>
            <w:tcW w:w="9356" w:type="dxa"/>
            <w:shd w:val="clear" w:color="auto" w:fill="auto"/>
            <w:noWrap w:val="0"/>
            <w:vAlign w:val="top"/>
          </w:tcPr>
          <w:p>
            <w:pPr>
              <w:ind w:firstLine="400" w:firstLineChars="200"/>
              <w:rPr>
                <w:rFonts w:ascii="Times New Roman" w:hAnsi="Times New Roman"/>
                <w:color w:val="000000"/>
                <w:kern w:val="0"/>
                <w:sz w:val="20"/>
                <w:szCs w:val="21"/>
              </w:rPr>
            </w:pPr>
            <w:r>
              <w:rPr>
                <w:rFonts w:hint="eastAsia" w:ascii="Times New Roman" w:hAnsi="Times New Roman"/>
                <w:color w:val="000000"/>
                <w:kern w:val="0"/>
                <w:sz w:val="20"/>
                <w:szCs w:val="21"/>
              </w:rPr>
              <w:t>本项目场地噪声主要来源于校区外交通噪声及操场噪声，噪声值满足标准要求。</w:t>
            </w:r>
          </w:p>
          <w:p>
            <w:pPr>
              <w:ind w:firstLine="400" w:firstLineChars="200"/>
              <w:rPr>
                <w:rFonts w:ascii="Times New Roman" w:hAnsi="Times New Roman"/>
                <w:kern w:val="0"/>
                <w:sz w:val="20"/>
                <w:szCs w:val="21"/>
              </w:rPr>
            </w:pPr>
            <w:r>
              <w:rPr>
                <w:rFonts w:hint="eastAsia" w:ascii="Times New Roman" w:hAnsi="Times New Roman"/>
                <w:kern w:val="0"/>
                <w:sz w:val="20"/>
                <w:szCs w:val="21"/>
              </w:rPr>
              <w:t>本项目噪声主要为地下车库的设备噪声和车辆噪声，要求选用低噪设备，安装减震等措施；同时加强车辆管理，禁止鸣笛，限制车速，经建筑隔声、距离衰减后噪声达标排放。</w:t>
            </w:r>
          </w:p>
        </w:tc>
      </w:tr>
    </w:tbl>
    <w:p>
      <w:pPr>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ind w:left="210" w:hanging="210" w:hangingChars="100"/>
      </w:pPr>
      <w:r>
        <w:t>1</w:t>
      </w:r>
      <w:r>
        <w:rPr>
          <w:rFonts w:hint="eastAsia"/>
        </w:rPr>
        <w:t>）环评报告书（表），应含有噪声检测及与预测评价或独立的环境噪声影响测试评估报告；</w:t>
      </w:r>
    </w:p>
    <w:p>
      <w:pPr>
        <w:ind w:left="210" w:hanging="210" w:hangingChars="100"/>
      </w:pPr>
      <w:r>
        <w:rPr>
          <w:rFonts w:hint="eastAsia"/>
        </w:rPr>
        <w:t>2）场地交通组织说明；降噪竣工图纸，包括道路声屏障、低噪声路面的设计内容；</w:t>
      </w:r>
    </w:p>
    <w:p>
      <w:pPr>
        <w:ind w:left="210" w:hanging="210" w:hangingChars="100"/>
      </w:pPr>
      <w:r>
        <w:rPr>
          <w:rFonts w:hint="eastAsia"/>
        </w:rPr>
        <w:t>3）规划总平面图、景观园林总平面图；</w:t>
      </w:r>
    </w:p>
    <w:p>
      <w:pPr>
        <w:ind w:left="210" w:hanging="210" w:hangingChars="100"/>
      </w:pPr>
      <w:r>
        <w:rPr>
          <w:rFonts w:hint="eastAsia"/>
        </w:rPr>
        <w:t>4）场地环境噪声检测报告及规划验收报告。</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sz w:val="24"/>
          <w:szCs w:val="40"/>
        </w:rPr>
      </w:pPr>
      <w:r>
        <w:rPr>
          <w:rFonts w:hint="eastAsia"/>
          <w:sz w:val="24"/>
          <w:szCs w:val="40"/>
        </w:rPr>
        <w:t>8.2.7 建筑及照明设计避免产生光污染。（10分）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962"/>
        <w:gridCol w:w="170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7" w:hRule="atLeast"/>
          <w:jc w:val="center"/>
        </w:trPr>
        <w:tc>
          <w:tcPr>
            <w:tcW w:w="921" w:type="dxa"/>
            <w:noWrap w:val="0"/>
            <w:vAlign w:val="center"/>
          </w:tcPr>
          <w:p>
            <w:pPr>
              <w:jc w:val="center"/>
              <w:rPr>
                <w:rFonts w:ascii="Times New Roman" w:hAnsi="Times New Roman"/>
                <w:lang w:val="zh-CN"/>
              </w:rPr>
            </w:pPr>
            <w:r>
              <w:rPr>
                <w:rFonts w:ascii="Times New Roman" w:hAnsi="Times New Roman"/>
                <w:lang w:val="zh-CN"/>
              </w:rPr>
              <w:t>序号</w:t>
            </w:r>
          </w:p>
        </w:tc>
        <w:tc>
          <w:tcPr>
            <w:tcW w:w="4962" w:type="dxa"/>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28"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1" w:type="dxa"/>
            <w:vMerge w:val="restart"/>
            <w:noWrap w:val="0"/>
            <w:vAlign w:val="center"/>
          </w:tcPr>
          <w:p>
            <w:pPr>
              <w:jc w:val="center"/>
              <w:rPr>
                <w:rFonts w:ascii="Times New Roman" w:hAnsi="Times New Roman"/>
              </w:rPr>
            </w:pPr>
            <w:r>
              <w:rPr>
                <w:rFonts w:ascii="Times New Roman" w:hAnsi="Times New Roman"/>
              </w:rPr>
              <w:t>1</w:t>
            </w:r>
          </w:p>
        </w:tc>
        <w:tc>
          <w:tcPr>
            <w:tcW w:w="4962" w:type="dxa"/>
            <w:noWrap w:val="0"/>
            <w:vAlign w:val="center"/>
          </w:tcPr>
          <w:p>
            <w:pPr>
              <w:jc w:val="left"/>
              <w:rPr>
                <w:rFonts w:ascii="Times New Roman" w:hAnsi="Times New Roman"/>
              </w:rPr>
            </w:pPr>
            <w:r>
              <w:rPr>
                <w:rFonts w:ascii="Times New Roman" w:hAnsi="Times New Roman"/>
              </w:rPr>
              <w:t>玻璃幕墙的可见光反射比及反射光对周边环境的影响符合《玻璃幕墙光热性能》GB/T 18091的规定</w:t>
            </w:r>
          </w:p>
        </w:tc>
        <w:tc>
          <w:tcPr>
            <w:tcW w:w="1701" w:type="dxa"/>
            <w:vMerge w:val="restart"/>
            <w:noWrap w:val="0"/>
            <w:vAlign w:val="center"/>
          </w:tcPr>
          <w:p>
            <w:pPr>
              <w:jc w:val="center"/>
              <w:rPr>
                <w:rFonts w:ascii="Times New Roman" w:hAnsi="Times New Roman"/>
                <w:lang w:val="zh-CN"/>
              </w:rPr>
            </w:pPr>
            <w:r>
              <w:rPr>
                <w:rFonts w:ascii="Times New Roman" w:hAnsi="Times New Roman"/>
                <w:lang w:val="zh-CN"/>
              </w:rPr>
              <w:t>5</w:t>
            </w:r>
          </w:p>
        </w:tc>
        <w:tc>
          <w:tcPr>
            <w:tcW w:w="1628" w:type="dxa"/>
            <w:vMerge w:val="restart"/>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1" w:type="dxa"/>
            <w:vMerge w:val="continue"/>
            <w:noWrap w:val="0"/>
            <w:vAlign w:val="center"/>
          </w:tcPr>
          <w:p>
            <w:pPr>
              <w:jc w:val="center"/>
              <w:rPr>
                <w:rFonts w:ascii="Times New Roman" w:hAnsi="Times New Roman"/>
              </w:rPr>
            </w:pPr>
          </w:p>
        </w:tc>
        <w:tc>
          <w:tcPr>
            <w:tcW w:w="4962" w:type="dxa"/>
            <w:noWrap w:val="0"/>
            <w:vAlign w:val="center"/>
          </w:tcPr>
          <w:p>
            <w:pPr>
              <w:jc w:val="left"/>
              <w:rPr>
                <w:rFonts w:ascii="Times New Roman" w:hAnsi="Times New Roman"/>
              </w:rPr>
            </w:pPr>
            <w:r>
              <w:rPr>
                <w:rFonts w:ascii="Times New Roman" w:hAnsi="Times New Roman"/>
                <w:kern w:val="0"/>
                <w:lang w:val="zh-CN"/>
              </w:rPr>
              <w:t>非玻璃幕墙建筑</w:t>
            </w:r>
          </w:p>
        </w:tc>
        <w:tc>
          <w:tcPr>
            <w:tcW w:w="1701" w:type="dxa"/>
            <w:vMerge w:val="continue"/>
            <w:noWrap w:val="0"/>
            <w:vAlign w:val="center"/>
          </w:tcPr>
          <w:p>
            <w:pPr>
              <w:jc w:val="center"/>
              <w:rPr>
                <w:rFonts w:ascii="Times New Roman" w:hAnsi="Times New Roman"/>
                <w:lang w:val="zh-CN"/>
              </w:rPr>
            </w:pPr>
          </w:p>
        </w:tc>
        <w:tc>
          <w:tcPr>
            <w:tcW w:w="1628" w:type="dxa"/>
            <w:vMerge w:val="continue"/>
            <w:noWrap w:val="0"/>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1" w:type="dxa"/>
            <w:noWrap w:val="0"/>
            <w:vAlign w:val="center"/>
          </w:tcPr>
          <w:p>
            <w:pPr>
              <w:jc w:val="center"/>
              <w:rPr>
                <w:rFonts w:ascii="Times New Roman" w:hAnsi="Times New Roman"/>
              </w:rPr>
            </w:pPr>
            <w:r>
              <w:rPr>
                <w:rFonts w:ascii="Times New Roman" w:hAnsi="Times New Roman"/>
              </w:rPr>
              <w:t>2</w:t>
            </w:r>
          </w:p>
        </w:tc>
        <w:tc>
          <w:tcPr>
            <w:tcW w:w="4962" w:type="dxa"/>
            <w:noWrap w:val="0"/>
            <w:vAlign w:val="center"/>
          </w:tcPr>
          <w:p>
            <w:pPr>
              <w:jc w:val="left"/>
              <w:rPr>
                <w:rFonts w:ascii="Times New Roman" w:hAnsi="Times New Roman"/>
              </w:rPr>
            </w:pPr>
            <w:r>
              <w:rPr>
                <w:rFonts w:ascii="Times New Roman" w:hAnsi="Times New Roman"/>
              </w:rPr>
              <w:t>室外夜景照明光污染的限制符合现行国家标准《室外照明干扰光限制规范》GB/T 35626和现行行业标准《城市夜景照明设计规范》JGJ/T 163的规定</w:t>
            </w:r>
          </w:p>
        </w:tc>
        <w:tc>
          <w:tcPr>
            <w:tcW w:w="1701" w:type="dxa"/>
            <w:noWrap w:val="0"/>
            <w:vAlign w:val="center"/>
          </w:tcPr>
          <w:p>
            <w:pPr>
              <w:jc w:val="center"/>
              <w:rPr>
                <w:rFonts w:ascii="Times New Roman" w:hAnsi="Times New Roman"/>
                <w:lang w:val="zh-CN"/>
              </w:rPr>
            </w:pPr>
            <w:r>
              <w:rPr>
                <w:rFonts w:ascii="Times New Roman" w:hAnsi="Times New Roman"/>
                <w:lang w:val="zh-CN"/>
              </w:rPr>
              <w:t>5</w:t>
            </w:r>
          </w:p>
        </w:tc>
        <w:tc>
          <w:tcPr>
            <w:tcW w:w="1628"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5883" w:type="dxa"/>
            <w:gridSpan w:val="2"/>
            <w:noWrap w:val="0"/>
            <w:vAlign w:val="center"/>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628"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是否采用玻璃幕墙或镜面式铝合金装饰外墙：</w:t>
      </w:r>
      <w:r>
        <w:rPr>
          <w:rFonts w:hint="eastAsia"/>
          <w:sz w:val="28"/>
        </w:rPr>
        <w:sym w:font="Wingdings 2" w:char="F0A3"/>
      </w:r>
      <w:r>
        <w:rPr>
          <w:rFonts w:hint="eastAsia"/>
        </w:rPr>
        <w:t xml:space="preserve">是 </w:t>
      </w:r>
      <w:r>
        <w:rPr>
          <w:rFonts w:hint="eastAsia"/>
          <w:sz w:val="28"/>
        </w:rPr>
        <w:sym w:font="Wingdings 2" w:char="F0A3"/>
      </w:r>
      <w:r>
        <w:rPr>
          <w:rFonts w:hint="eastAsia"/>
        </w:rPr>
        <w:t>否</w:t>
      </w:r>
    </w:p>
    <w:p>
      <w:r>
        <w:rPr>
          <w:rFonts w:hint="eastAsia"/>
        </w:rPr>
        <w:t>若采用，则其可见光反射比为：</w:t>
      </w:r>
      <w:r>
        <w:rPr>
          <w:rFonts w:hint="eastAsia"/>
          <w:u w:val="single"/>
        </w:rPr>
        <w:t xml:space="preserve"> </w:t>
      </w:r>
      <w:r>
        <w:rPr>
          <w:u w:val="single"/>
        </w:rPr>
        <w:t xml:space="preserve">         </w:t>
      </w:r>
      <w:r>
        <w:rPr>
          <w:rFonts w:hint="eastAsia"/>
        </w:rPr>
        <w:t>。</w:t>
      </w:r>
    </w:p>
    <w:p>
      <w:r>
        <w:rPr>
          <w:rFonts w:hint="eastAsia"/>
        </w:rPr>
        <w:t>室外夜景照明的光污染控制情况：</w:t>
      </w:r>
    </w:p>
    <w:tbl>
      <w:tblPr>
        <w:tblStyle w:val="7"/>
        <w:tblW w:w="477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2016"/>
        <w:gridCol w:w="2590"/>
        <w:gridCol w:w="832"/>
        <w:gridCol w:w="832"/>
        <w:gridCol w:w="832"/>
        <w:gridCol w:w="83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vMerge w:val="restar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照明技术参数</w:t>
            </w:r>
          </w:p>
        </w:tc>
        <w:tc>
          <w:tcPr>
            <w:tcW w:w="1631" w:type="pct"/>
            <w:vMerge w:val="restar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应用条件</w:t>
            </w:r>
          </w:p>
        </w:tc>
        <w:tc>
          <w:tcPr>
            <w:tcW w:w="2099" w:type="pct"/>
            <w:gridSpan w:val="4"/>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环境区域</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vMerge w:val="continue"/>
            <w:tcBorders>
              <w:top w:val="single" w:color="333333" w:sz="6" w:space="0"/>
              <w:left w:val="single" w:color="333333" w:sz="6" w:space="0"/>
              <w:bottom w:val="single" w:color="333333" w:sz="6" w:space="0"/>
              <w:right w:val="single" w:color="333333" w:sz="6" w:space="0"/>
            </w:tcBorders>
            <w:noWrap w:val="0"/>
            <w:vAlign w:val="center"/>
          </w:tcPr>
          <w:p>
            <w:pPr>
              <w:widowControl/>
              <w:jc w:val="center"/>
              <w:rPr>
                <w:rFonts w:ascii="Times New Roman" w:hAnsi="Times New Roman"/>
                <w:szCs w:val="21"/>
              </w:rPr>
            </w:pPr>
          </w:p>
        </w:tc>
        <w:tc>
          <w:tcPr>
            <w:tcW w:w="1631" w:type="pct"/>
            <w:vMerge w:val="continue"/>
            <w:tcBorders>
              <w:top w:val="single" w:color="333333" w:sz="6" w:space="0"/>
              <w:left w:val="single" w:color="333333" w:sz="6" w:space="0"/>
              <w:bottom w:val="single" w:color="333333" w:sz="6" w:space="0"/>
              <w:right w:val="single" w:color="333333" w:sz="6" w:space="0"/>
            </w:tcBorders>
            <w:noWrap w:val="0"/>
            <w:vAlign w:val="center"/>
          </w:tcPr>
          <w:p>
            <w:pPr>
              <w:widowControl/>
              <w:jc w:val="center"/>
              <w:rPr>
                <w:rFonts w:ascii="Times New Roman" w:hAnsi="Times New Roman"/>
                <w:szCs w:val="21"/>
              </w:rPr>
            </w:pP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E1区</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E2区</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E3区</w:t>
            </w:r>
          </w:p>
        </w:tc>
        <w:tc>
          <w:tcPr>
            <w:tcW w:w="527"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E4区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vMerge w:val="restar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垂直面照度（Ev）(lx)</w:t>
            </w:r>
          </w:p>
        </w:tc>
        <w:tc>
          <w:tcPr>
            <w:tcW w:w="1631"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熄灯时段前</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2</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5</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10</w:t>
            </w:r>
          </w:p>
        </w:tc>
        <w:tc>
          <w:tcPr>
            <w:tcW w:w="527"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25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vMerge w:val="continue"/>
            <w:tcBorders>
              <w:top w:val="single" w:color="333333" w:sz="6" w:space="0"/>
              <w:left w:val="single" w:color="333333" w:sz="6" w:space="0"/>
              <w:bottom w:val="single" w:color="333333" w:sz="6" w:space="0"/>
              <w:right w:val="single" w:color="333333" w:sz="6" w:space="0"/>
            </w:tcBorders>
            <w:noWrap w:val="0"/>
            <w:vAlign w:val="center"/>
          </w:tcPr>
          <w:p>
            <w:pPr>
              <w:widowControl/>
              <w:jc w:val="center"/>
              <w:rPr>
                <w:rFonts w:ascii="Times New Roman" w:hAnsi="Times New Roman"/>
                <w:szCs w:val="21"/>
              </w:rPr>
            </w:pPr>
          </w:p>
        </w:tc>
        <w:tc>
          <w:tcPr>
            <w:tcW w:w="1631"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熄灯时段</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0</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1</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2</w:t>
            </w:r>
          </w:p>
        </w:tc>
        <w:tc>
          <w:tcPr>
            <w:tcW w:w="527"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vMerge w:val="restart"/>
            <w:tcBorders>
              <w:top w:val="single" w:color="333333" w:sz="6" w:space="0"/>
              <w:left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灯具发光强度I（cd）</w:t>
            </w:r>
          </w:p>
        </w:tc>
        <w:tc>
          <w:tcPr>
            <w:tcW w:w="1631"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熄灯时段前</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2500</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7500</w:t>
            </w:r>
          </w:p>
        </w:tc>
        <w:tc>
          <w:tcPr>
            <w:tcW w:w="524"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10000</w:t>
            </w:r>
          </w:p>
        </w:tc>
        <w:tc>
          <w:tcPr>
            <w:tcW w:w="527" w:type="pct"/>
            <w:tcBorders>
              <w:top w:val="single" w:color="333333" w:sz="6" w:space="0"/>
              <w:left w:val="single" w:color="333333" w:sz="6" w:space="0"/>
              <w:bottom w:val="single" w:color="333333" w:sz="6"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25000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vMerge w:val="continue"/>
            <w:tcBorders>
              <w:left w:val="single" w:color="333333" w:sz="6" w:space="0"/>
              <w:bottom w:val="single" w:color="auto" w:sz="4"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p>
        </w:tc>
        <w:tc>
          <w:tcPr>
            <w:tcW w:w="1631" w:type="pct"/>
            <w:tcBorders>
              <w:top w:val="single" w:color="333333" w:sz="6" w:space="0"/>
              <w:left w:val="single" w:color="333333" w:sz="6" w:space="0"/>
              <w:bottom w:val="single" w:color="auto" w:sz="4"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熄灯时段</w:t>
            </w:r>
          </w:p>
        </w:tc>
        <w:tc>
          <w:tcPr>
            <w:tcW w:w="524" w:type="pct"/>
            <w:tcBorders>
              <w:top w:val="single" w:color="333333" w:sz="6" w:space="0"/>
              <w:left w:val="single" w:color="333333" w:sz="6" w:space="0"/>
              <w:bottom w:val="single" w:color="auto" w:sz="4"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0</w:t>
            </w:r>
          </w:p>
        </w:tc>
        <w:tc>
          <w:tcPr>
            <w:tcW w:w="524" w:type="pct"/>
            <w:tcBorders>
              <w:top w:val="single" w:color="333333" w:sz="6" w:space="0"/>
              <w:left w:val="single" w:color="333333" w:sz="6" w:space="0"/>
              <w:bottom w:val="single" w:color="auto" w:sz="4"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500</w:t>
            </w:r>
          </w:p>
        </w:tc>
        <w:tc>
          <w:tcPr>
            <w:tcW w:w="524" w:type="pct"/>
            <w:tcBorders>
              <w:top w:val="single" w:color="333333" w:sz="6" w:space="0"/>
              <w:left w:val="single" w:color="333333" w:sz="6" w:space="0"/>
              <w:bottom w:val="single" w:color="auto" w:sz="4"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1000</w:t>
            </w:r>
          </w:p>
        </w:tc>
        <w:tc>
          <w:tcPr>
            <w:tcW w:w="527" w:type="pct"/>
            <w:tcBorders>
              <w:top w:val="single" w:color="333333" w:sz="6" w:space="0"/>
              <w:left w:val="single" w:color="333333" w:sz="6" w:space="0"/>
              <w:bottom w:val="single" w:color="auto" w:sz="4" w:space="0"/>
              <w:right w:val="single" w:color="333333" w:sz="6"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2500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上射光通比</w:t>
            </w:r>
          </w:p>
        </w:tc>
        <w:tc>
          <w:tcPr>
            <w:tcW w:w="163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szCs w:val="21"/>
              </w:rPr>
            </w:pPr>
            <w:r>
              <w:rPr>
                <w:rFonts w:ascii="Times New Roman" w:hAnsi="Times New Roman"/>
                <w:szCs w:val="21"/>
              </w:rPr>
              <w:t>灯具所处位置水平面以上的光通量与灯具总光通量之比（％）</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0</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5</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15</w:t>
            </w:r>
          </w:p>
        </w:tc>
        <w:tc>
          <w:tcPr>
            <w:tcW w:w="5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25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建筑立面亮度Lb(cd/m2)</w:t>
            </w:r>
          </w:p>
        </w:tc>
        <w:tc>
          <w:tcPr>
            <w:tcW w:w="163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被照面平均亮度</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0</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5</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10</w:t>
            </w:r>
          </w:p>
        </w:tc>
        <w:tc>
          <w:tcPr>
            <w:tcW w:w="5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25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27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标识亮度Ls(cd/m2)</w:t>
            </w:r>
          </w:p>
        </w:tc>
        <w:tc>
          <w:tcPr>
            <w:tcW w:w="163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外投光标识被照面平均亮度</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50</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400</w:t>
            </w:r>
          </w:p>
        </w:tc>
        <w:tc>
          <w:tcPr>
            <w:tcW w:w="5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800</w:t>
            </w:r>
          </w:p>
        </w:tc>
        <w:tc>
          <w:tcPr>
            <w:tcW w:w="5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Times New Roman" w:hAnsi="Times New Roman"/>
                <w:szCs w:val="21"/>
              </w:rPr>
            </w:pPr>
            <w:r>
              <w:rPr>
                <w:rFonts w:ascii="Times New Roman" w:hAnsi="Times New Roman"/>
                <w:szCs w:val="21"/>
              </w:rPr>
              <w:t>1000</w:t>
            </w:r>
          </w:p>
        </w:tc>
      </w:tr>
    </w:tbl>
    <w:p>
      <w:r>
        <w:rPr>
          <w:rFonts w:hint="eastAsia"/>
        </w:rPr>
        <w:t>居住区和步行区夜景照明灯具的眩光限制值：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3"/>
        <w:gridCol w:w="1419"/>
        <w:gridCol w:w="141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353" w:type="dxa"/>
            <w:shd w:val="clear" w:color="auto" w:fill="auto"/>
            <w:noWrap w:val="0"/>
            <w:vAlign w:val="top"/>
          </w:tcPr>
          <w:p>
            <w:pPr>
              <w:jc w:val="center"/>
            </w:pPr>
            <w:r>
              <w:rPr>
                <w:rFonts w:hint="eastAsia"/>
              </w:rPr>
              <w:t>安装高度(</w:t>
            </w:r>
            <w:r>
              <w:t>m)</w:t>
            </w:r>
          </w:p>
        </w:tc>
        <w:tc>
          <w:tcPr>
            <w:tcW w:w="1419" w:type="dxa"/>
            <w:shd w:val="clear" w:color="auto" w:fill="auto"/>
            <w:noWrap w:val="0"/>
            <w:vAlign w:val="top"/>
          </w:tcPr>
          <w:p>
            <w:pPr>
              <w:jc w:val="center"/>
            </w:pPr>
            <w:r>
              <w:rPr>
                <w:rFonts w:hint="eastAsia"/>
              </w:rPr>
              <w:t>H≤4.5</w:t>
            </w:r>
          </w:p>
        </w:tc>
        <w:tc>
          <w:tcPr>
            <w:tcW w:w="1419" w:type="dxa"/>
            <w:shd w:val="clear" w:color="auto" w:fill="auto"/>
            <w:noWrap w:val="0"/>
            <w:vAlign w:val="top"/>
          </w:tcPr>
          <w:p>
            <w:pPr>
              <w:jc w:val="center"/>
            </w:pPr>
            <w:r>
              <w:rPr>
                <w:rFonts w:hint="eastAsia"/>
              </w:rPr>
              <w:t>4.5＜H≤6</w:t>
            </w:r>
          </w:p>
        </w:tc>
        <w:tc>
          <w:tcPr>
            <w:tcW w:w="1971" w:type="dxa"/>
            <w:shd w:val="clear" w:color="auto" w:fill="auto"/>
            <w:noWrap w:val="0"/>
            <w:vAlign w:val="top"/>
          </w:tcPr>
          <w:p>
            <w:pPr>
              <w:jc w:val="center"/>
            </w:pPr>
            <w:r>
              <w:rPr>
                <w:rFonts w:hint="eastAsia"/>
              </w:rPr>
              <w:t>H＞6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3353" w:type="dxa"/>
            <w:shd w:val="clear" w:color="auto" w:fill="auto"/>
            <w:noWrap w:val="0"/>
            <w:vAlign w:val="top"/>
          </w:tcPr>
          <w:p>
            <w:pPr>
              <w:jc w:val="center"/>
            </w:pPr>
            <w:r>
              <w:rPr>
                <w:rFonts w:hint="eastAsia"/>
              </w:rPr>
              <w:t>L与A</w:t>
            </w:r>
            <w:r>
              <w:rPr>
                <w:rFonts w:hint="eastAsia"/>
                <w:vertAlign w:val="superscript"/>
              </w:rPr>
              <w:t>0.5</w:t>
            </w:r>
            <w:r>
              <w:rPr>
                <w:rFonts w:hint="eastAsia"/>
              </w:rPr>
              <w:t>的乘积</w:t>
            </w:r>
          </w:p>
        </w:tc>
        <w:tc>
          <w:tcPr>
            <w:tcW w:w="1419" w:type="dxa"/>
            <w:shd w:val="clear" w:color="auto" w:fill="auto"/>
            <w:noWrap w:val="0"/>
            <w:vAlign w:val="top"/>
          </w:tcPr>
          <w:p>
            <w:pPr>
              <w:widowControl/>
              <w:adjustRightInd w:val="0"/>
              <w:snapToGrid w:val="0"/>
              <w:spacing w:line="360" w:lineRule="auto"/>
              <w:jc w:val="center"/>
            </w:pPr>
            <w:r>
              <w:rPr>
                <w:rFonts w:hint="eastAsia"/>
              </w:rPr>
              <w:t>LA</w:t>
            </w:r>
            <w:r>
              <w:rPr>
                <w:rFonts w:hint="eastAsia"/>
                <w:vertAlign w:val="superscript"/>
              </w:rPr>
              <w:t>0.5</w:t>
            </w:r>
            <w:r>
              <w:rPr>
                <w:rFonts w:hint="eastAsia"/>
              </w:rPr>
              <w:t>≤4000</w:t>
            </w:r>
          </w:p>
        </w:tc>
        <w:tc>
          <w:tcPr>
            <w:tcW w:w="1419" w:type="dxa"/>
            <w:shd w:val="clear" w:color="auto" w:fill="auto"/>
            <w:noWrap w:val="0"/>
            <w:vAlign w:val="top"/>
          </w:tcPr>
          <w:p>
            <w:pPr>
              <w:jc w:val="center"/>
            </w:pPr>
            <w:r>
              <w:rPr>
                <w:rFonts w:hint="eastAsia"/>
              </w:rPr>
              <w:t>LA</w:t>
            </w:r>
            <w:r>
              <w:rPr>
                <w:rFonts w:hint="eastAsia"/>
                <w:vertAlign w:val="superscript"/>
              </w:rPr>
              <w:t>0.5</w:t>
            </w:r>
            <w:r>
              <w:rPr>
                <w:rFonts w:hint="eastAsia"/>
              </w:rPr>
              <w:t>≤5500</w:t>
            </w:r>
          </w:p>
        </w:tc>
        <w:tc>
          <w:tcPr>
            <w:tcW w:w="1971" w:type="dxa"/>
            <w:shd w:val="clear" w:color="auto" w:fill="auto"/>
            <w:noWrap w:val="0"/>
            <w:vAlign w:val="top"/>
          </w:tcPr>
          <w:p>
            <w:pPr>
              <w:jc w:val="center"/>
            </w:pPr>
            <w:r>
              <w:rPr>
                <w:rFonts w:hint="eastAsia"/>
              </w:rPr>
              <w:t>LA</w:t>
            </w:r>
            <w:r>
              <w:rPr>
                <w:rFonts w:hint="eastAsia"/>
                <w:vertAlign w:val="superscript"/>
              </w:rPr>
              <w:t>0.5</w:t>
            </w:r>
            <w:r>
              <w:rPr>
                <w:rFonts w:hint="eastAsia"/>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353" w:type="dxa"/>
            <w:shd w:val="clear" w:color="auto" w:fill="auto"/>
            <w:noWrap w:val="0"/>
            <w:vAlign w:val="top"/>
          </w:tcPr>
          <w:p>
            <w:pPr>
              <w:jc w:val="center"/>
            </w:pPr>
            <w:r>
              <w:rPr>
                <w:rFonts w:hint="eastAsia"/>
              </w:rPr>
              <w:t>项目情况</w:t>
            </w:r>
          </w:p>
        </w:tc>
        <w:tc>
          <w:tcPr>
            <w:tcW w:w="1419" w:type="dxa"/>
            <w:shd w:val="clear" w:color="auto" w:fill="auto"/>
            <w:noWrap w:val="0"/>
            <w:vAlign w:val="top"/>
          </w:tcPr>
          <w:p>
            <w:pPr>
              <w:widowControl/>
              <w:adjustRightInd w:val="0"/>
              <w:snapToGrid w:val="0"/>
              <w:spacing w:line="360" w:lineRule="auto"/>
              <w:jc w:val="center"/>
            </w:pPr>
          </w:p>
        </w:tc>
        <w:tc>
          <w:tcPr>
            <w:tcW w:w="1419" w:type="dxa"/>
            <w:shd w:val="clear" w:color="auto" w:fill="auto"/>
            <w:noWrap w:val="0"/>
            <w:vAlign w:val="top"/>
          </w:tcPr>
          <w:p>
            <w:pPr>
              <w:jc w:val="center"/>
            </w:pPr>
          </w:p>
        </w:tc>
        <w:tc>
          <w:tcPr>
            <w:tcW w:w="1971" w:type="dxa"/>
            <w:shd w:val="clear" w:color="auto" w:fill="auto"/>
            <w:noWrap w:val="0"/>
            <w:vAlign w:val="top"/>
          </w:tcPr>
          <w:p>
            <w:pPr>
              <w:jc w:val="center"/>
            </w:pPr>
          </w:p>
        </w:tc>
      </w:tr>
    </w:tbl>
    <w:p>
      <w:pPr>
        <w:rPr>
          <w:rFonts w:ascii="Times New Roman" w:hAnsi="Times New Roman"/>
          <w:szCs w:val="21"/>
        </w:rPr>
      </w:pPr>
      <w:r>
        <w:rPr>
          <w:rFonts w:hint="eastAsia"/>
        </w:rPr>
        <w:t>请简要说明建筑及照明设计控制光污染的措施。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本工程项目均不设玻璃幕墙和室外夜景照明。</w:t>
            </w:r>
          </w:p>
          <w:p>
            <w:pPr>
              <w:ind w:firstLine="400" w:firstLineChars="200"/>
              <w:rPr>
                <w:rFonts w:ascii="Times New Roman" w:hAnsi="Times New Roman"/>
                <w:kern w:val="0"/>
                <w:sz w:val="20"/>
                <w:szCs w:val="21"/>
              </w:rPr>
            </w:pPr>
            <w:r>
              <w:rPr>
                <w:rFonts w:hint="eastAsia" w:ascii="Times New Roman" w:hAnsi="Times New Roman"/>
                <w:kern w:val="0"/>
                <w:sz w:val="20"/>
                <w:szCs w:val="21"/>
              </w:rPr>
              <w:t>本工程没有采用玻璃幕墙和镜面式铝合金装饰外墙；无夜景照明。</w:t>
            </w:r>
          </w:p>
          <w:p>
            <w:pPr>
              <w:ind w:firstLine="400" w:firstLineChars="200"/>
              <w:rPr>
                <w:rFonts w:ascii="Times New Roman" w:hAnsi="Times New Roman"/>
                <w:kern w:val="0"/>
                <w:sz w:val="20"/>
                <w:szCs w:val="21"/>
              </w:rPr>
            </w:pPr>
            <w:r>
              <w:rPr>
                <w:rFonts w:hint="eastAsia" w:ascii="Times New Roman" w:hAnsi="Times New Roman"/>
                <w:kern w:val="0"/>
                <w:sz w:val="20"/>
                <w:szCs w:val="21"/>
              </w:rPr>
              <w:t>本项目为非玻璃幕墙建筑，室外照明采用截光型灯具，无直射光射入空中，不会对周边</w:t>
            </w:r>
          </w:p>
          <w:p>
            <w:pPr>
              <w:rPr>
                <w:rFonts w:ascii="Times New Roman" w:hAnsi="Times New Roman"/>
                <w:kern w:val="0"/>
                <w:sz w:val="20"/>
                <w:szCs w:val="21"/>
              </w:rPr>
            </w:pPr>
            <w:r>
              <w:rPr>
                <w:rFonts w:hint="eastAsia" w:ascii="Times New Roman" w:hAnsi="Times New Roman"/>
                <w:kern w:val="0"/>
                <w:sz w:val="20"/>
                <w:szCs w:val="21"/>
              </w:rPr>
              <w:t>带来光污染。</w:t>
            </w:r>
          </w:p>
          <w:p>
            <w:pPr>
              <w:ind w:firstLine="400" w:firstLineChars="200"/>
              <w:rPr>
                <w:rFonts w:ascii="Times New Roman" w:hAnsi="Times New Roman"/>
                <w:kern w:val="0"/>
                <w:sz w:val="20"/>
                <w:szCs w:val="21"/>
              </w:rPr>
            </w:pPr>
            <w:r>
              <w:rPr>
                <w:rFonts w:hint="eastAsia" w:ascii="Times New Roman" w:hAnsi="Times New Roman"/>
                <w:kern w:val="0"/>
                <w:sz w:val="20"/>
                <w:szCs w:val="21"/>
              </w:rPr>
              <w:t>学校室外有路灯，通过室外光污染分析，本项目夜景照明设施在建筑外表面产生的垂直照度、平均亮度、朝居室方向的发光强度、灯具的眩光限制值和上射光通比均符合现行行业标准《城市夜景照明设计规范》JGJ/T163的规定，本项目夜景照明的光线被严格控制在了被照区域内，减少了被照区域的溢散光，有效地避免产生光污染。</w:t>
            </w:r>
          </w:p>
        </w:tc>
      </w:tr>
    </w:tbl>
    <w:p>
      <w:pPr>
        <w:spacing w:before="156" w:beforeLines="50" w:after="156" w:afterLines="50"/>
        <w:rPr>
          <w:rFonts w:ascii="Times New Roman" w:hAnsi="Times New Roman"/>
          <w:b/>
          <w:szCs w:val="21"/>
        </w:rPr>
      </w:pP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t>1</w:t>
      </w:r>
      <w:r>
        <w:rPr>
          <w:rFonts w:hint="eastAsia"/>
        </w:rPr>
        <w:t>）建筑专业竣工图纸及设计说明，应包括玻璃幕墙竣工图及说明；</w:t>
      </w:r>
    </w:p>
    <w:p>
      <w:r>
        <w:rPr>
          <w:rFonts w:hint="eastAsia"/>
        </w:rPr>
        <w:t>2）玻璃幕墙专项验收报告，包括玻璃幕墙光污染分析专项报告、玻璃的光学性能检验报告、玻璃进场复验报告；</w:t>
      </w:r>
    </w:p>
    <w:p>
      <w:pPr>
        <w:ind w:left="210" w:hanging="210" w:hangingChars="100"/>
      </w:pPr>
      <w:r>
        <w:rPr>
          <w:rFonts w:hint="eastAsia"/>
        </w:rPr>
        <w:t>3）室外夜景照明光污染分析报告；</w:t>
      </w:r>
    </w:p>
    <w:p>
      <w:pPr>
        <w:ind w:left="210" w:hanging="210" w:hangingChars="100"/>
      </w:pPr>
      <w:r>
        <w:rPr>
          <w:rFonts w:hint="eastAsia"/>
        </w:rPr>
        <w:t>4）灯具的光度检验报告、灯具进场复验报告；</w:t>
      </w:r>
    </w:p>
    <w:p>
      <w:pPr>
        <w:ind w:left="210" w:hanging="210" w:hangingChars="100"/>
      </w:pPr>
      <w:r>
        <w:rPr>
          <w:rFonts w:hint="eastAsia"/>
        </w:rPr>
        <w:t>5）照明设计方案，包括照明照度及功率密度计算；</w:t>
      </w:r>
    </w:p>
    <w:p>
      <w:pPr>
        <w:ind w:left="210" w:hanging="210" w:hangingChars="100"/>
      </w:pPr>
      <w:r>
        <w:rPr>
          <w:rFonts w:hint="eastAsia"/>
        </w:rPr>
        <w:t>6）泛光照明、景观照明竣工图纸及设计说明。</w:t>
      </w:r>
    </w:p>
    <w:p>
      <w:pPr>
        <w:ind w:left="210" w:hanging="210" w:hangingChars="100"/>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b w:val="0"/>
          <w:bCs w:val="0"/>
        </w:rPr>
      </w:pPr>
      <w:r>
        <w:rPr>
          <w:rFonts w:hint="eastAsia"/>
          <w:sz w:val="24"/>
          <w:szCs w:val="40"/>
        </w:rPr>
        <w:t>8.2.8 场地内风环境有利于室外行走、活动舒适和建筑的自然通风。（10分）</w:t>
      </w:r>
    </w:p>
    <w:p>
      <w:pPr>
        <w:rPr>
          <w:rFonts w:ascii="Times New Roman" w:hAnsi="Times New Roman"/>
          <w:b/>
          <w:szCs w:val="21"/>
        </w:rPr>
      </w:pPr>
      <w:r>
        <w:rPr>
          <w:rFonts w:ascii="Times New Roman" w:hAnsi="Times New Roman"/>
          <w:b/>
          <w:szCs w:val="21"/>
        </w:rPr>
        <w:t>1 得分自评</w:t>
      </w: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18"/>
        <w:gridCol w:w="3544"/>
        <w:gridCol w:w="170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7" w:hRule="atLeast"/>
          <w:jc w:val="center"/>
        </w:trPr>
        <w:tc>
          <w:tcPr>
            <w:tcW w:w="922" w:type="dxa"/>
            <w:noWrap w:val="0"/>
            <w:vAlign w:val="center"/>
          </w:tcPr>
          <w:p>
            <w:pPr>
              <w:jc w:val="center"/>
              <w:rPr>
                <w:rFonts w:ascii="Times New Roman" w:hAnsi="Times New Roman"/>
                <w:lang w:val="zh-CN"/>
              </w:rPr>
            </w:pPr>
            <w:r>
              <w:rPr>
                <w:rFonts w:ascii="Times New Roman" w:hAnsi="Times New Roman"/>
                <w:lang w:val="zh-CN"/>
              </w:rPr>
              <w:t>序号</w:t>
            </w:r>
          </w:p>
        </w:tc>
        <w:tc>
          <w:tcPr>
            <w:tcW w:w="4962" w:type="dxa"/>
            <w:gridSpan w:val="2"/>
            <w:noWrap w:val="0"/>
            <w:vAlign w:val="center"/>
          </w:tcPr>
          <w:p>
            <w:pPr>
              <w:jc w:val="center"/>
              <w:rPr>
                <w:rFonts w:ascii="Times New Roman" w:hAnsi="Times New Roman"/>
                <w:lang w:val="zh-CN"/>
              </w:rPr>
            </w:pPr>
            <w:r>
              <w:rPr>
                <w:rFonts w:ascii="Times New Roman" w:hAnsi="Times New Roman"/>
                <w:lang w:val="zh-CN"/>
              </w:rPr>
              <w:t>评价内容</w:t>
            </w:r>
          </w:p>
        </w:tc>
        <w:tc>
          <w:tcPr>
            <w:tcW w:w="1701" w:type="dxa"/>
            <w:noWrap w:val="0"/>
            <w:vAlign w:val="center"/>
          </w:tcPr>
          <w:p>
            <w:pPr>
              <w:jc w:val="center"/>
              <w:rPr>
                <w:rFonts w:ascii="Times New Roman" w:hAnsi="Times New Roman"/>
                <w:lang w:val="zh-CN"/>
              </w:rPr>
            </w:pPr>
            <w:r>
              <w:rPr>
                <w:rFonts w:ascii="Times New Roman" w:hAnsi="Times New Roman"/>
                <w:lang w:val="zh-CN"/>
              </w:rPr>
              <w:t>评价分值</w:t>
            </w:r>
          </w:p>
        </w:tc>
        <w:tc>
          <w:tcPr>
            <w:tcW w:w="1628"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vMerge w:val="restart"/>
            <w:noWrap w:val="0"/>
            <w:vAlign w:val="center"/>
          </w:tcPr>
          <w:p>
            <w:pPr>
              <w:jc w:val="center"/>
              <w:rPr>
                <w:rFonts w:ascii="Times New Roman" w:hAnsi="Times New Roman"/>
              </w:rPr>
            </w:pPr>
            <w:r>
              <w:rPr>
                <w:rFonts w:ascii="Times New Roman" w:hAnsi="Times New Roman"/>
              </w:rPr>
              <w:t>1</w:t>
            </w:r>
          </w:p>
        </w:tc>
        <w:tc>
          <w:tcPr>
            <w:tcW w:w="1418" w:type="dxa"/>
            <w:vMerge w:val="restart"/>
            <w:noWrap w:val="0"/>
            <w:vAlign w:val="center"/>
          </w:tcPr>
          <w:p>
            <w:pPr>
              <w:rPr>
                <w:rFonts w:ascii="Times New Roman" w:hAnsi="Times New Roman"/>
              </w:rPr>
            </w:pPr>
            <w:r>
              <w:rPr>
                <w:rFonts w:ascii="Times New Roman" w:hAnsi="Times New Roman"/>
              </w:rPr>
              <w:t>冬季典型风速和风向条件下</w:t>
            </w:r>
          </w:p>
        </w:tc>
        <w:tc>
          <w:tcPr>
            <w:tcW w:w="3544" w:type="dxa"/>
            <w:noWrap w:val="0"/>
            <w:vAlign w:val="center"/>
          </w:tcPr>
          <w:p>
            <w:pPr>
              <w:rPr>
                <w:rFonts w:ascii="Times New Roman" w:hAnsi="Times New Roman"/>
              </w:rPr>
            </w:pPr>
            <w:r>
              <w:rPr>
                <w:rFonts w:ascii="Times New Roman" w:hAnsi="Times New Roman"/>
              </w:rPr>
              <w:t>建筑物周围人行区距地高1.5m处风速小于5m/s，户外休息区、儿童娱乐区风速小于2m/s，且室外风速放大系数小于2</w:t>
            </w:r>
          </w:p>
        </w:tc>
        <w:tc>
          <w:tcPr>
            <w:tcW w:w="1701" w:type="dxa"/>
            <w:noWrap w:val="0"/>
            <w:vAlign w:val="center"/>
          </w:tcPr>
          <w:p>
            <w:pPr>
              <w:jc w:val="center"/>
              <w:rPr>
                <w:rFonts w:ascii="Times New Roman" w:hAnsi="Times New Roman"/>
                <w:lang w:val="zh-CN"/>
              </w:rPr>
            </w:pPr>
            <w:r>
              <w:rPr>
                <w:rFonts w:ascii="Times New Roman" w:hAnsi="Times New Roman"/>
                <w:lang w:val="zh-CN"/>
              </w:rPr>
              <w:t>3</w:t>
            </w:r>
          </w:p>
        </w:tc>
        <w:tc>
          <w:tcPr>
            <w:tcW w:w="1628"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vMerge w:val="continue"/>
            <w:noWrap w:val="0"/>
            <w:vAlign w:val="center"/>
          </w:tcPr>
          <w:p>
            <w:pPr>
              <w:jc w:val="center"/>
              <w:rPr>
                <w:rFonts w:ascii="Times New Roman" w:hAnsi="Times New Roman"/>
              </w:rPr>
            </w:pPr>
          </w:p>
        </w:tc>
        <w:tc>
          <w:tcPr>
            <w:tcW w:w="1418" w:type="dxa"/>
            <w:vMerge w:val="continue"/>
            <w:noWrap w:val="0"/>
            <w:vAlign w:val="center"/>
          </w:tcPr>
          <w:p>
            <w:pPr>
              <w:rPr>
                <w:rFonts w:ascii="Times New Roman" w:hAnsi="Times New Roman"/>
              </w:rPr>
            </w:pPr>
          </w:p>
        </w:tc>
        <w:tc>
          <w:tcPr>
            <w:tcW w:w="3544" w:type="dxa"/>
            <w:noWrap w:val="0"/>
            <w:vAlign w:val="center"/>
          </w:tcPr>
          <w:p>
            <w:pPr>
              <w:rPr>
                <w:rFonts w:ascii="Times New Roman" w:hAnsi="Times New Roman"/>
              </w:rPr>
            </w:pPr>
            <w:r>
              <w:rPr>
                <w:rFonts w:ascii="Times New Roman" w:hAnsi="Times New Roman"/>
              </w:rPr>
              <w:t>除迎风第一排建筑外，建筑迎风面与背风面表面风压差不大于5Pa</w:t>
            </w:r>
          </w:p>
        </w:tc>
        <w:tc>
          <w:tcPr>
            <w:tcW w:w="1701" w:type="dxa"/>
            <w:vMerge w:val="restart"/>
            <w:noWrap w:val="0"/>
            <w:vAlign w:val="center"/>
          </w:tcPr>
          <w:p>
            <w:pPr>
              <w:jc w:val="center"/>
              <w:rPr>
                <w:rFonts w:ascii="Times New Roman" w:hAnsi="Times New Roman"/>
                <w:lang w:val="zh-CN"/>
              </w:rPr>
            </w:pPr>
            <w:r>
              <w:rPr>
                <w:rFonts w:ascii="Times New Roman" w:hAnsi="Times New Roman"/>
                <w:lang w:val="zh-CN"/>
              </w:rPr>
              <w:t>2</w:t>
            </w:r>
          </w:p>
        </w:tc>
        <w:tc>
          <w:tcPr>
            <w:tcW w:w="1628" w:type="dxa"/>
            <w:vMerge w:val="restart"/>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vMerge w:val="continue"/>
            <w:noWrap w:val="0"/>
            <w:vAlign w:val="center"/>
          </w:tcPr>
          <w:p>
            <w:pPr>
              <w:jc w:val="center"/>
              <w:rPr>
                <w:rFonts w:ascii="Times New Roman" w:hAnsi="Times New Roman"/>
              </w:rPr>
            </w:pPr>
          </w:p>
        </w:tc>
        <w:tc>
          <w:tcPr>
            <w:tcW w:w="1418" w:type="dxa"/>
            <w:vMerge w:val="continue"/>
            <w:noWrap w:val="0"/>
            <w:vAlign w:val="center"/>
          </w:tcPr>
          <w:p>
            <w:pPr>
              <w:rPr>
                <w:rFonts w:ascii="Times New Roman" w:hAnsi="Times New Roman"/>
              </w:rPr>
            </w:pPr>
          </w:p>
        </w:tc>
        <w:tc>
          <w:tcPr>
            <w:tcW w:w="3544" w:type="dxa"/>
            <w:noWrap w:val="0"/>
            <w:vAlign w:val="center"/>
          </w:tcPr>
          <w:p>
            <w:pPr>
              <w:rPr>
                <w:rFonts w:ascii="Times New Roman" w:hAnsi="Times New Roman"/>
              </w:rPr>
            </w:pPr>
            <w:r>
              <w:rPr>
                <w:rFonts w:ascii="Times New Roman" w:hAnsi="Times New Roman"/>
              </w:rPr>
              <w:t>只有一排建筑，可直接得分</w:t>
            </w:r>
          </w:p>
        </w:tc>
        <w:tc>
          <w:tcPr>
            <w:tcW w:w="1701" w:type="dxa"/>
            <w:vMerge w:val="continue"/>
            <w:noWrap w:val="0"/>
            <w:vAlign w:val="center"/>
          </w:tcPr>
          <w:p>
            <w:pPr>
              <w:jc w:val="center"/>
              <w:rPr>
                <w:rFonts w:ascii="Times New Roman" w:hAnsi="Times New Roman"/>
              </w:rPr>
            </w:pPr>
          </w:p>
        </w:tc>
        <w:tc>
          <w:tcPr>
            <w:tcW w:w="1628" w:type="dxa"/>
            <w:vMerge w:val="continue"/>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vMerge w:val="restart"/>
            <w:noWrap w:val="0"/>
            <w:vAlign w:val="center"/>
          </w:tcPr>
          <w:p>
            <w:pPr>
              <w:jc w:val="center"/>
              <w:rPr>
                <w:rFonts w:ascii="Times New Roman" w:hAnsi="Times New Roman"/>
              </w:rPr>
            </w:pPr>
            <w:r>
              <w:rPr>
                <w:rFonts w:ascii="Times New Roman" w:hAnsi="Times New Roman"/>
              </w:rPr>
              <w:t>2</w:t>
            </w:r>
          </w:p>
        </w:tc>
        <w:tc>
          <w:tcPr>
            <w:tcW w:w="1418" w:type="dxa"/>
            <w:vMerge w:val="restart"/>
            <w:noWrap w:val="0"/>
            <w:vAlign w:val="center"/>
          </w:tcPr>
          <w:p>
            <w:pPr>
              <w:rPr>
                <w:rFonts w:ascii="Times New Roman" w:hAnsi="Times New Roman"/>
              </w:rPr>
            </w:pPr>
            <w:r>
              <w:rPr>
                <w:rFonts w:ascii="Times New Roman" w:hAnsi="Times New Roman"/>
              </w:rPr>
              <w:t>过渡季、夏季典型风速和风向条件下</w:t>
            </w:r>
          </w:p>
        </w:tc>
        <w:tc>
          <w:tcPr>
            <w:tcW w:w="3544" w:type="dxa"/>
            <w:noWrap w:val="0"/>
            <w:vAlign w:val="center"/>
          </w:tcPr>
          <w:p>
            <w:pPr>
              <w:rPr>
                <w:rFonts w:ascii="Times New Roman" w:hAnsi="Times New Roman"/>
              </w:rPr>
            </w:pPr>
            <w:r>
              <w:rPr>
                <w:rFonts w:ascii="Times New Roman" w:hAnsi="Times New Roman"/>
              </w:rPr>
              <w:t>场地内人活动区不出现涡旋或无风区</w:t>
            </w:r>
          </w:p>
        </w:tc>
        <w:tc>
          <w:tcPr>
            <w:tcW w:w="1701" w:type="dxa"/>
            <w:noWrap w:val="0"/>
            <w:vAlign w:val="center"/>
          </w:tcPr>
          <w:p>
            <w:pPr>
              <w:jc w:val="center"/>
              <w:rPr>
                <w:rFonts w:ascii="Times New Roman" w:hAnsi="Times New Roman"/>
              </w:rPr>
            </w:pPr>
            <w:r>
              <w:rPr>
                <w:rFonts w:ascii="Times New Roman" w:hAnsi="Times New Roman"/>
              </w:rPr>
              <w:t>3</w:t>
            </w:r>
          </w:p>
        </w:tc>
        <w:tc>
          <w:tcPr>
            <w:tcW w:w="1628"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922" w:type="dxa"/>
            <w:vMerge w:val="continue"/>
            <w:noWrap w:val="0"/>
            <w:vAlign w:val="center"/>
          </w:tcPr>
          <w:p>
            <w:pPr>
              <w:jc w:val="center"/>
              <w:rPr>
                <w:rFonts w:ascii="Times New Roman" w:hAnsi="Times New Roman"/>
              </w:rPr>
            </w:pPr>
          </w:p>
        </w:tc>
        <w:tc>
          <w:tcPr>
            <w:tcW w:w="1418" w:type="dxa"/>
            <w:vMerge w:val="continue"/>
            <w:noWrap w:val="0"/>
            <w:vAlign w:val="center"/>
          </w:tcPr>
          <w:p>
            <w:pPr>
              <w:rPr>
                <w:rFonts w:ascii="Times New Roman" w:hAnsi="Times New Roman"/>
              </w:rPr>
            </w:pPr>
          </w:p>
        </w:tc>
        <w:tc>
          <w:tcPr>
            <w:tcW w:w="3544" w:type="dxa"/>
            <w:noWrap w:val="0"/>
            <w:vAlign w:val="center"/>
          </w:tcPr>
          <w:p>
            <w:pPr>
              <w:rPr>
                <w:rFonts w:ascii="Times New Roman" w:hAnsi="Times New Roman"/>
              </w:rPr>
            </w:pPr>
            <w:r>
              <w:rPr>
                <w:rFonts w:ascii="Times New Roman" w:hAnsi="Times New Roman"/>
              </w:rPr>
              <w:t>50%以上可开启外窗室内外表面的风压差大于0.5Pa</w:t>
            </w:r>
          </w:p>
        </w:tc>
        <w:tc>
          <w:tcPr>
            <w:tcW w:w="1701" w:type="dxa"/>
            <w:noWrap w:val="0"/>
            <w:vAlign w:val="center"/>
          </w:tcPr>
          <w:p>
            <w:pPr>
              <w:jc w:val="center"/>
              <w:rPr>
                <w:rFonts w:ascii="Times New Roman" w:hAnsi="Times New Roman"/>
                <w:lang w:val="zh-CN"/>
              </w:rPr>
            </w:pPr>
            <w:r>
              <w:rPr>
                <w:rFonts w:ascii="Times New Roman" w:hAnsi="Times New Roman"/>
                <w:lang w:val="zh-CN"/>
              </w:rPr>
              <w:t>2</w:t>
            </w:r>
          </w:p>
        </w:tc>
        <w:tc>
          <w:tcPr>
            <w:tcW w:w="1628"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5884" w:type="dxa"/>
            <w:gridSpan w:val="3"/>
            <w:noWrap w:val="0"/>
            <w:vAlign w:val="center"/>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628"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bl>
    <w:p>
      <w:pPr>
        <w:rPr>
          <w:rFonts w:ascii="Times New Roman" w:hAnsi="Times New Roman"/>
          <w:b/>
          <w:szCs w:val="21"/>
        </w:rPr>
      </w:pPr>
      <w:r>
        <w:rPr>
          <w:rFonts w:ascii="Times New Roman" w:hAnsi="Times New Roman"/>
          <w:b/>
          <w:szCs w:val="21"/>
        </w:rPr>
        <w:t>2 评价要点</w:t>
      </w:r>
    </w:p>
    <w:p>
      <w:pPr>
        <w:rPr>
          <w:rFonts w:ascii="Times New Roman" w:hAnsi="Times New Roman"/>
          <w:lang w:val="zh-CN"/>
        </w:rPr>
      </w:pPr>
      <w:r>
        <w:rPr>
          <w:rFonts w:hint="eastAsia"/>
          <w:lang w:val="zh-CN"/>
        </w:rPr>
        <w:t>冬季典型风速和风向条件下，建筑物周围人行区距地</w:t>
      </w:r>
      <w:r>
        <w:rPr>
          <w:lang w:val="zh-CN"/>
        </w:rPr>
        <w:t>1</w:t>
      </w:r>
      <w:r>
        <w:rPr>
          <w:rFonts w:ascii="Times New Roman" w:hAnsi="Times New Roman"/>
          <w:lang w:val="zh-CN"/>
        </w:rPr>
        <w:t>.5m</w:t>
      </w:r>
      <w:r>
        <w:rPr>
          <w:rFonts w:hint="eastAsia" w:ascii="Times New Roman"/>
          <w:lang w:val="zh-CN"/>
        </w:rPr>
        <w:t>高处的风速为</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lang w:val="zh-CN"/>
        </w:rPr>
        <w:t>m/s</w:t>
      </w:r>
      <w:r>
        <w:rPr>
          <w:rFonts w:hint="eastAsia" w:ascii="Times New Roman" w:hAnsi="Times New Roman"/>
          <w:lang w:val="zh-CN"/>
        </w:rPr>
        <w:t>，最大</w:t>
      </w:r>
      <w:r>
        <w:rPr>
          <w:rFonts w:hint="eastAsia" w:ascii="Times New Roman"/>
          <w:lang w:val="zh-CN"/>
        </w:rPr>
        <w:t>风速放大系数为</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lang w:val="zh-CN"/>
        </w:rPr>
        <w:t>除迎风第一排建筑外，建筑迎风面与背风面表面风压差为</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lang w:val="zh-CN"/>
        </w:rPr>
        <w:t>Pa</w:t>
      </w:r>
      <w:r>
        <w:rPr>
          <w:rFonts w:hint="eastAsia" w:ascii="Times New Roman" w:hAnsi="Times New Roman"/>
          <w:lang w:val="zh-CN"/>
        </w:rPr>
        <w:t>；</w:t>
      </w:r>
    </w:p>
    <w:p>
      <w:pPr>
        <w:rPr>
          <w:lang w:val="zh-CN"/>
        </w:rPr>
      </w:pPr>
      <w:r>
        <w:rPr>
          <w:rFonts w:hint="eastAsia"/>
          <w:lang w:val="zh-CN"/>
        </w:rPr>
        <w:t>过渡季、夏季典型风速和风向条件下，场地内人活动区是否会出现涡旋或无风区：</w:t>
      </w:r>
      <w:r>
        <w:rPr>
          <w:rFonts w:hint="eastAsia"/>
          <w:sz w:val="28"/>
        </w:rPr>
        <w:sym w:font="Wingdings 2" w:char="F0A3"/>
      </w:r>
      <w:r>
        <w:rPr>
          <w:rFonts w:hint="eastAsia"/>
          <w:lang w:val="zh-CN"/>
        </w:rPr>
        <w:t xml:space="preserve">是 </w:t>
      </w:r>
      <w:r>
        <w:rPr>
          <w:rFonts w:hint="eastAsia"/>
          <w:sz w:val="28"/>
        </w:rPr>
        <w:sym w:font="Wingdings 2" w:char="F0A3"/>
      </w:r>
      <w:r>
        <w:rPr>
          <w:rFonts w:hint="eastAsia"/>
          <w:lang w:val="zh-CN"/>
        </w:rPr>
        <w:t>否</w:t>
      </w:r>
    </w:p>
    <w:p>
      <w:pPr>
        <w:rPr>
          <w:lang w:val="zh-CN"/>
        </w:rPr>
      </w:pPr>
      <w:r>
        <w:rPr>
          <w:rFonts w:hint="eastAsia"/>
          <w:lang w:val="zh-CN"/>
        </w:rPr>
        <w:t>外窗中室内外表面的风压差大于</w:t>
      </w:r>
      <w:r>
        <w:rPr>
          <w:lang w:val="zh-CN"/>
        </w:rPr>
        <w:t>0.5Pa</w:t>
      </w:r>
      <w:r>
        <w:rPr>
          <w:rFonts w:hint="eastAsia"/>
          <w:lang w:val="zh-CN"/>
        </w:rPr>
        <w:t>的可开启外窗的面积比例</w:t>
      </w:r>
      <w:r>
        <w:rPr>
          <w:u w:val="single"/>
        </w:rPr>
        <w:t xml:space="preserve"> </w:t>
      </w:r>
      <w:r>
        <w:rPr>
          <w:rFonts w:hint="eastAsia"/>
          <w:u w:val="single"/>
        </w:rPr>
        <w:t xml:space="preserve"> </w:t>
      </w:r>
      <w:r>
        <w:rPr>
          <w:u w:val="single"/>
        </w:rPr>
        <w:t xml:space="preserve">    </w:t>
      </w:r>
      <w:r>
        <w:rPr>
          <w:lang w:val="zh-CN"/>
        </w:rPr>
        <w:t>%</w:t>
      </w:r>
      <w:r>
        <w:rPr>
          <w:rFonts w:hint="eastAsia"/>
          <w:lang w:val="zh-CN"/>
        </w:rPr>
        <w:t>。</w:t>
      </w:r>
    </w:p>
    <w:p>
      <w:pPr>
        <w:rPr>
          <w:rFonts w:ascii="Times New Roman" w:hAnsi="Times New Roman"/>
          <w:szCs w:val="21"/>
        </w:rPr>
      </w:pPr>
      <w:r>
        <w:rPr>
          <w:rFonts w:hint="eastAsia"/>
          <w:lang w:val="zh-CN"/>
        </w:rPr>
        <w:t>请简要说明项目室外风环境情况以及改善风环境的措施。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70" w:hRule="atLeast"/>
          <w:jc w:val="center"/>
        </w:trPr>
        <w:tc>
          <w:tcPr>
            <w:tcW w:w="9356" w:type="dxa"/>
            <w:shd w:val="clear" w:color="auto" w:fill="auto"/>
            <w:noWrap w:val="0"/>
            <w:vAlign w:val="top"/>
          </w:tcPr>
          <w:p>
            <w:pPr>
              <w:ind w:firstLine="400" w:firstLineChars="200"/>
              <w:rPr>
                <w:rFonts w:ascii="Times New Roman" w:hAnsi="Times New Roman"/>
                <w:kern w:val="0"/>
                <w:sz w:val="20"/>
                <w:szCs w:val="21"/>
              </w:rPr>
            </w:pPr>
            <w:r>
              <w:rPr>
                <w:rFonts w:hint="eastAsia" w:ascii="Times New Roman" w:hAnsi="Times New Roman"/>
                <w:kern w:val="0"/>
                <w:sz w:val="20"/>
                <w:szCs w:val="21"/>
              </w:rPr>
              <w:t>冬季工况时，建筑物周围人行区风速低于5m/s，且室外风速放大系数小于2，符合行人舒适性要求。人行区域风速放大系数小于2，满足要求。冬季主导风向条件下，前后压差小于5KPa，有利于冬季的防风节能效果。</w:t>
            </w:r>
          </w:p>
          <w:p>
            <w:pPr>
              <w:ind w:firstLine="400" w:firstLineChars="200"/>
              <w:rPr>
                <w:rFonts w:ascii="Times New Roman" w:hAnsi="Times New Roman"/>
                <w:kern w:val="0"/>
                <w:sz w:val="20"/>
                <w:szCs w:val="21"/>
              </w:rPr>
            </w:pPr>
            <w:r>
              <w:rPr>
                <w:rFonts w:hint="eastAsia" w:ascii="Times New Roman" w:hAnsi="Times New Roman"/>
                <w:kern w:val="0"/>
                <w:sz w:val="20"/>
                <w:szCs w:val="21"/>
              </w:rPr>
              <w:t>夏季主导风向条件下，可开启外窗室内外表面的风差值基本大于0.5KPa，有利于室内利用自然通风。</w:t>
            </w:r>
          </w:p>
          <w:p>
            <w:pPr>
              <w:ind w:firstLine="400" w:firstLineChars="200"/>
              <w:rPr>
                <w:rFonts w:ascii="Times New Roman" w:hAnsi="Times New Roman"/>
                <w:kern w:val="0"/>
                <w:sz w:val="20"/>
                <w:szCs w:val="21"/>
              </w:rPr>
            </w:pPr>
            <w:r>
              <w:rPr>
                <w:rFonts w:hint="eastAsia" w:ascii="Times New Roman" w:hAnsi="Times New Roman"/>
                <w:kern w:val="0"/>
                <w:sz w:val="20"/>
                <w:szCs w:val="21"/>
              </w:rPr>
              <w:t>项目总体规划紧凑，规划布局结构清晰。项目方案学习传统岭南建筑的空间策略，采用现代建筑形式及模块化小体量建筑手法，将传统岭南建筑空间处理手法运用到现代建筑设计中，空间布局灵活，体量轻盈通透、疏密有致。</w:t>
            </w:r>
          </w:p>
        </w:tc>
      </w:tr>
    </w:tbl>
    <w:p>
      <w:pPr>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ind w:left="210" w:hanging="210" w:hangingChars="100"/>
        <w:rPr>
          <w:lang w:val="zh-CN"/>
        </w:rPr>
      </w:pPr>
      <w:r>
        <w:rPr>
          <w:rFonts w:hint="eastAsia"/>
        </w:rPr>
        <w:t>1）室外风环境模拟计算分析报告</w:t>
      </w:r>
      <w:r>
        <w:rPr>
          <w:rFonts w:hint="eastAsia"/>
          <w:lang w:val="zh-CN"/>
        </w:rPr>
        <w:t>；</w:t>
      </w:r>
    </w:p>
    <w:p>
      <w:pPr>
        <w:ind w:left="210" w:hanging="210" w:hangingChars="100"/>
      </w:pPr>
      <w:r>
        <w:t>2</w:t>
      </w:r>
      <w:r>
        <w:rPr>
          <w:rFonts w:hint="eastAsia"/>
        </w:rPr>
        <w:t>）竣工总平面图；</w:t>
      </w:r>
    </w:p>
    <w:p>
      <w:pPr>
        <w:ind w:left="210" w:hanging="210" w:hangingChars="100"/>
      </w:pPr>
      <w:r>
        <w:rPr>
          <w:rFonts w:hint="eastAsia"/>
        </w:rPr>
        <w:t>3）景观专业竣工图纸及设计说明；</w:t>
      </w:r>
    </w:p>
    <w:p>
      <w:pPr>
        <w:ind w:left="210" w:hanging="210" w:hangingChars="100"/>
      </w:pPr>
      <w:r>
        <w:rPr>
          <w:rFonts w:hint="eastAsia"/>
        </w:rPr>
        <w:t>4）场地周边及建筑物的实景影像资料。</w:t>
      </w: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8.2.9 采取措施降低热岛强度。（10分）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976"/>
        <w:gridCol w:w="1985"/>
        <w:gridCol w:w="170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7" w:hRule="atLeast"/>
          <w:jc w:val="center"/>
        </w:trPr>
        <w:tc>
          <w:tcPr>
            <w:tcW w:w="872" w:type="dxa"/>
            <w:noWrap w:val="0"/>
            <w:vAlign w:val="top"/>
          </w:tcPr>
          <w:p>
            <w:pPr>
              <w:jc w:val="center"/>
              <w:rPr>
                <w:rFonts w:ascii="Times New Roman" w:hAnsi="Times New Roman"/>
                <w:lang w:val="zh-CN"/>
              </w:rPr>
            </w:pPr>
            <w:r>
              <w:rPr>
                <w:rFonts w:ascii="Times New Roman" w:hAnsi="Times New Roman"/>
                <w:lang w:val="zh-CN"/>
              </w:rPr>
              <w:t>序号</w:t>
            </w:r>
          </w:p>
        </w:tc>
        <w:tc>
          <w:tcPr>
            <w:tcW w:w="4961" w:type="dxa"/>
            <w:gridSpan w:val="2"/>
            <w:noWrap w:val="0"/>
            <w:vAlign w:val="top"/>
          </w:tcPr>
          <w:p>
            <w:pPr>
              <w:jc w:val="center"/>
              <w:rPr>
                <w:rFonts w:ascii="Times New Roman" w:hAnsi="Times New Roman"/>
                <w:lang w:val="zh-CN"/>
              </w:rPr>
            </w:pPr>
            <w:r>
              <w:rPr>
                <w:rFonts w:ascii="Times New Roman" w:hAnsi="Times New Roman"/>
                <w:lang w:val="zh-CN"/>
              </w:rPr>
              <w:t>评价内容</w:t>
            </w:r>
          </w:p>
        </w:tc>
        <w:tc>
          <w:tcPr>
            <w:tcW w:w="1701" w:type="dxa"/>
            <w:noWrap w:val="0"/>
            <w:vAlign w:val="top"/>
          </w:tcPr>
          <w:p>
            <w:pPr>
              <w:jc w:val="center"/>
              <w:rPr>
                <w:rFonts w:ascii="Times New Roman" w:hAnsi="Times New Roman"/>
                <w:lang w:val="zh-CN"/>
              </w:rPr>
            </w:pPr>
            <w:r>
              <w:rPr>
                <w:rFonts w:ascii="Times New Roman" w:hAnsi="Times New Roman"/>
                <w:lang w:val="zh-CN"/>
              </w:rPr>
              <w:t>评价分值</w:t>
            </w:r>
          </w:p>
        </w:tc>
        <w:tc>
          <w:tcPr>
            <w:tcW w:w="1663" w:type="dxa"/>
            <w:noWrap w:val="0"/>
            <w:vAlign w:val="center"/>
          </w:tcPr>
          <w:p>
            <w:pPr>
              <w:jc w:val="center"/>
              <w:rPr>
                <w:rFonts w:ascii="Times New Roman" w:hAnsi="Times New Roman"/>
                <w:lang w:val="zh-CN"/>
              </w:rPr>
            </w:pPr>
            <w:r>
              <w:rPr>
                <w:rFonts w:ascii="Times New Roman" w:hAnsi="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3" w:hRule="atLeast"/>
          <w:jc w:val="center"/>
        </w:trPr>
        <w:tc>
          <w:tcPr>
            <w:tcW w:w="872" w:type="dxa"/>
            <w:vMerge w:val="restart"/>
            <w:noWrap w:val="0"/>
            <w:vAlign w:val="center"/>
          </w:tcPr>
          <w:p>
            <w:pPr>
              <w:jc w:val="center"/>
              <w:rPr>
                <w:rFonts w:ascii="Times New Roman" w:hAnsi="Times New Roman"/>
              </w:rPr>
            </w:pPr>
            <w:r>
              <w:rPr>
                <w:rFonts w:ascii="Times New Roman" w:hAnsi="Times New Roman"/>
              </w:rPr>
              <w:t>1</w:t>
            </w:r>
          </w:p>
        </w:tc>
        <w:tc>
          <w:tcPr>
            <w:tcW w:w="2976" w:type="dxa"/>
            <w:vMerge w:val="restart"/>
            <w:noWrap w:val="0"/>
            <w:vAlign w:val="center"/>
          </w:tcPr>
          <w:p>
            <w:pPr>
              <w:rPr>
                <w:rFonts w:ascii="Times New Roman" w:hAnsi="Times New Roman"/>
              </w:rPr>
            </w:pPr>
            <w:r>
              <w:rPr>
                <w:rFonts w:ascii="Times New Roman" w:hAnsi="Times New Roman"/>
              </w:rPr>
              <w:t>场地中处于建筑阴影区外的步道、游憩场、庭院、广场等室外活动场地设有乔木、花架等遮阴措施的面积比例</w:t>
            </w:r>
          </w:p>
        </w:tc>
        <w:tc>
          <w:tcPr>
            <w:tcW w:w="1985" w:type="dxa"/>
            <w:noWrap w:val="0"/>
            <w:vAlign w:val="center"/>
          </w:tcPr>
          <w:p>
            <w:pPr>
              <w:rPr>
                <w:rFonts w:ascii="Times New Roman" w:hAnsi="Times New Roman"/>
              </w:rPr>
            </w:pPr>
            <w:r>
              <w:rPr>
                <w:rFonts w:hint="eastAsia"/>
                <w:sz w:val="28"/>
              </w:rPr>
              <w:sym w:font="Wingdings 2" w:char="F0A3"/>
            </w:r>
            <w:r>
              <w:rPr>
                <w:rFonts w:ascii="Times New Roman" w:hAnsi="Times New Roman"/>
              </w:rPr>
              <w:t>居建达30%</w:t>
            </w:r>
          </w:p>
          <w:p>
            <w:pPr>
              <w:rPr>
                <w:rFonts w:ascii="Times New Roman" w:hAnsi="Times New Roman"/>
              </w:rPr>
            </w:pPr>
            <w:r>
              <w:rPr>
                <w:rFonts w:hint="eastAsia"/>
                <w:sz w:val="28"/>
              </w:rPr>
              <w:sym w:font="Wingdings 2" w:char="F0A3"/>
            </w:r>
            <w:r>
              <w:rPr>
                <w:rFonts w:ascii="Times New Roman" w:hAnsi="Times New Roman"/>
              </w:rPr>
              <w:t>公建达10%</w:t>
            </w:r>
          </w:p>
        </w:tc>
        <w:tc>
          <w:tcPr>
            <w:tcW w:w="1701" w:type="dxa"/>
            <w:noWrap w:val="0"/>
            <w:vAlign w:val="center"/>
          </w:tcPr>
          <w:p>
            <w:pPr>
              <w:jc w:val="center"/>
              <w:rPr>
                <w:rFonts w:ascii="Times New Roman" w:hAnsi="Times New Roman"/>
                <w:lang w:val="zh-CN"/>
              </w:rPr>
            </w:pPr>
            <w:r>
              <w:rPr>
                <w:rFonts w:ascii="Times New Roman" w:hAnsi="Times New Roman"/>
                <w:lang w:val="zh-CN"/>
              </w:rPr>
              <w:t>2</w:t>
            </w:r>
          </w:p>
        </w:tc>
        <w:tc>
          <w:tcPr>
            <w:tcW w:w="1663" w:type="dxa"/>
            <w:vMerge w:val="restart"/>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3" w:hRule="atLeast"/>
          <w:jc w:val="center"/>
        </w:trPr>
        <w:tc>
          <w:tcPr>
            <w:tcW w:w="872" w:type="dxa"/>
            <w:vMerge w:val="continue"/>
            <w:noWrap w:val="0"/>
            <w:vAlign w:val="center"/>
          </w:tcPr>
          <w:p>
            <w:pPr>
              <w:jc w:val="center"/>
              <w:rPr>
                <w:rFonts w:ascii="Times New Roman" w:hAnsi="Times New Roman"/>
              </w:rPr>
            </w:pPr>
          </w:p>
        </w:tc>
        <w:tc>
          <w:tcPr>
            <w:tcW w:w="2976" w:type="dxa"/>
            <w:vMerge w:val="continue"/>
            <w:noWrap w:val="0"/>
            <w:vAlign w:val="center"/>
          </w:tcPr>
          <w:p>
            <w:pPr>
              <w:rPr>
                <w:rFonts w:ascii="Times New Roman" w:hAnsi="Times New Roman"/>
              </w:rPr>
            </w:pPr>
          </w:p>
        </w:tc>
        <w:tc>
          <w:tcPr>
            <w:tcW w:w="1985" w:type="dxa"/>
            <w:noWrap w:val="0"/>
            <w:vAlign w:val="center"/>
          </w:tcPr>
          <w:p>
            <w:pPr>
              <w:rPr>
                <w:rFonts w:ascii="Times New Roman" w:hAnsi="Times New Roman"/>
              </w:rPr>
            </w:pPr>
            <w:r>
              <w:rPr>
                <w:rFonts w:hint="eastAsia"/>
                <w:sz w:val="28"/>
              </w:rPr>
              <w:sym w:font="Wingdings 2" w:char="F0A3"/>
            </w:r>
            <w:r>
              <w:rPr>
                <w:rFonts w:ascii="Times New Roman" w:hAnsi="Times New Roman"/>
              </w:rPr>
              <w:t xml:space="preserve">居建达50% </w:t>
            </w:r>
          </w:p>
          <w:p>
            <w:pPr>
              <w:rPr>
                <w:rFonts w:ascii="Times New Roman" w:hAnsi="Times New Roman"/>
              </w:rPr>
            </w:pPr>
            <w:r>
              <w:rPr>
                <w:rFonts w:hint="eastAsia"/>
                <w:sz w:val="28"/>
              </w:rPr>
              <w:sym w:font="Wingdings 2" w:char="F0A3"/>
            </w:r>
            <w:r>
              <w:rPr>
                <w:rFonts w:ascii="Times New Roman" w:hAnsi="Times New Roman"/>
              </w:rPr>
              <w:t>公建达20%</w:t>
            </w:r>
          </w:p>
        </w:tc>
        <w:tc>
          <w:tcPr>
            <w:tcW w:w="1701" w:type="dxa"/>
            <w:noWrap w:val="0"/>
            <w:vAlign w:val="center"/>
          </w:tcPr>
          <w:p>
            <w:pPr>
              <w:jc w:val="center"/>
              <w:rPr>
                <w:rFonts w:ascii="Times New Roman" w:hAnsi="Times New Roman"/>
                <w:lang w:val="zh-CN"/>
              </w:rPr>
            </w:pPr>
            <w:r>
              <w:rPr>
                <w:rFonts w:ascii="Times New Roman" w:hAnsi="Times New Roman"/>
                <w:lang w:val="zh-CN"/>
              </w:rPr>
              <w:t>3</w:t>
            </w:r>
          </w:p>
        </w:tc>
        <w:tc>
          <w:tcPr>
            <w:tcW w:w="1663" w:type="dxa"/>
            <w:vMerge w:val="continue"/>
            <w:noWrap w:val="0"/>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72" w:type="dxa"/>
            <w:noWrap w:val="0"/>
            <w:vAlign w:val="center"/>
          </w:tcPr>
          <w:p>
            <w:pPr>
              <w:jc w:val="center"/>
              <w:rPr>
                <w:rFonts w:ascii="Times New Roman" w:hAnsi="Times New Roman"/>
              </w:rPr>
            </w:pPr>
            <w:r>
              <w:rPr>
                <w:rFonts w:ascii="Times New Roman" w:hAnsi="Times New Roman"/>
              </w:rPr>
              <w:t>2</w:t>
            </w:r>
          </w:p>
        </w:tc>
        <w:tc>
          <w:tcPr>
            <w:tcW w:w="4961" w:type="dxa"/>
            <w:gridSpan w:val="2"/>
            <w:noWrap w:val="0"/>
            <w:vAlign w:val="center"/>
          </w:tcPr>
          <w:p>
            <w:pPr>
              <w:rPr>
                <w:rFonts w:ascii="Times New Roman" w:hAnsi="Times New Roman"/>
              </w:rPr>
            </w:pPr>
            <w:r>
              <w:rPr>
                <w:rFonts w:ascii="Times New Roman" w:hAnsi="Times New Roman"/>
              </w:rPr>
              <w:t>场地中处于建筑阴影区外的机动车道，路面太阳辐射反射系数不小于0.4，或设有遮荫面积较大的行道树的路段长度超过70%</w:t>
            </w:r>
          </w:p>
        </w:tc>
        <w:tc>
          <w:tcPr>
            <w:tcW w:w="1701" w:type="dxa"/>
            <w:noWrap w:val="0"/>
            <w:vAlign w:val="center"/>
          </w:tcPr>
          <w:p>
            <w:pPr>
              <w:jc w:val="center"/>
              <w:rPr>
                <w:rFonts w:ascii="Times New Roman" w:hAnsi="Times New Roman"/>
                <w:lang w:val="zh-CN"/>
              </w:rPr>
            </w:pPr>
            <w:r>
              <w:rPr>
                <w:rFonts w:ascii="Times New Roman" w:hAnsi="Times New Roman"/>
                <w:lang w:val="zh-CN"/>
              </w:rPr>
              <w:t>3</w:t>
            </w:r>
          </w:p>
        </w:tc>
        <w:tc>
          <w:tcPr>
            <w:tcW w:w="1663"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72" w:type="dxa"/>
            <w:noWrap w:val="0"/>
            <w:vAlign w:val="center"/>
          </w:tcPr>
          <w:p>
            <w:pPr>
              <w:jc w:val="center"/>
              <w:rPr>
                <w:rFonts w:ascii="Times New Roman" w:hAnsi="Times New Roman"/>
              </w:rPr>
            </w:pPr>
            <w:r>
              <w:rPr>
                <w:rFonts w:ascii="Times New Roman" w:hAnsi="Times New Roman"/>
              </w:rPr>
              <w:t>3</w:t>
            </w:r>
          </w:p>
        </w:tc>
        <w:tc>
          <w:tcPr>
            <w:tcW w:w="4961" w:type="dxa"/>
            <w:gridSpan w:val="2"/>
            <w:noWrap w:val="0"/>
            <w:vAlign w:val="center"/>
          </w:tcPr>
          <w:p>
            <w:pPr>
              <w:rPr>
                <w:rFonts w:ascii="Times New Roman" w:hAnsi="Times New Roman"/>
              </w:rPr>
            </w:pPr>
            <w:r>
              <w:rPr>
                <w:rFonts w:ascii="Times New Roman" w:hAnsi="Times New Roman"/>
              </w:rPr>
              <w:t>屋顶的绿化面积、太阳能板水平投影面积以及太阳辐射反射系数不小于0.4的屋面面积合计达到75%</w:t>
            </w:r>
          </w:p>
        </w:tc>
        <w:tc>
          <w:tcPr>
            <w:tcW w:w="1701" w:type="dxa"/>
            <w:noWrap w:val="0"/>
            <w:vAlign w:val="center"/>
          </w:tcPr>
          <w:p>
            <w:pPr>
              <w:jc w:val="center"/>
              <w:rPr>
                <w:rFonts w:ascii="Times New Roman" w:hAnsi="Times New Roman"/>
                <w:lang w:val="zh-CN"/>
              </w:rPr>
            </w:pPr>
            <w:r>
              <w:rPr>
                <w:rFonts w:ascii="Times New Roman" w:hAnsi="Times New Roman"/>
                <w:lang w:val="zh-CN"/>
              </w:rPr>
              <w:t>4</w:t>
            </w:r>
          </w:p>
        </w:tc>
        <w:tc>
          <w:tcPr>
            <w:tcW w:w="1663"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5833" w:type="dxa"/>
            <w:gridSpan w:val="3"/>
            <w:noWrap w:val="0"/>
            <w:vAlign w:val="top"/>
          </w:tcPr>
          <w:p>
            <w:pPr>
              <w:jc w:val="center"/>
              <w:rPr>
                <w:rFonts w:ascii="Times New Roman" w:hAnsi="Times New Roman"/>
              </w:rPr>
            </w:pPr>
            <w:r>
              <w:rPr>
                <w:rFonts w:ascii="Times New Roman" w:hAnsi="Times New Roman"/>
              </w:rPr>
              <w:t>合计</w:t>
            </w:r>
          </w:p>
        </w:tc>
        <w:tc>
          <w:tcPr>
            <w:tcW w:w="1701" w:type="dxa"/>
            <w:noWrap w:val="0"/>
            <w:vAlign w:val="center"/>
          </w:tcPr>
          <w:p>
            <w:pPr>
              <w:jc w:val="center"/>
              <w:rPr>
                <w:rFonts w:ascii="Times New Roman" w:hAnsi="Times New Roman"/>
                <w:lang w:val="zh-CN"/>
              </w:rPr>
            </w:pPr>
            <w:r>
              <w:rPr>
                <w:rFonts w:ascii="Times New Roman" w:hAnsi="Times New Roman"/>
                <w:lang w:val="zh-CN"/>
              </w:rPr>
              <w:t>10</w:t>
            </w:r>
          </w:p>
        </w:tc>
        <w:tc>
          <w:tcPr>
            <w:tcW w:w="1663" w:type="dxa"/>
            <w:noWrap w:val="0"/>
            <w:vAlign w:val="center"/>
          </w:tcPr>
          <w:p>
            <w:pPr>
              <w:jc w:val="center"/>
              <w:rPr>
                <w:rFonts w:ascii="Times New Roman" w:hAnsi="Times New Roman"/>
                <w:lang w:val="zh-CN"/>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r>
        <w:rPr>
          <w:rFonts w:hint="eastAsia"/>
        </w:rPr>
        <w:t>室外活动场地内的遮荫措施有：</w:t>
      </w:r>
      <w:r>
        <w:rPr>
          <w:rFonts w:hint="eastAsia"/>
          <w:sz w:val="28"/>
        </w:rPr>
        <w:sym w:font="Wingdings 2" w:char="F0A3"/>
      </w:r>
      <w:r>
        <w:rPr>
          <w:rFonts w:hint="eastAsia"/>
        </w:rPr>
        <w:t xml:space="preserve">乔木 </w:t>
      </w:r>
      <w:r>
        <w:rPr>
          <w:rFonts w:hint="eastAsia"/>
          <w:sz w:val="28"/>
        </w:rPr>
        <w:sym w:font="Wingdings 2" w:char="F0A3"/>
      </w:r>
      <w:r>
        <w:rPr>
          <w:rFonts w:hint="eastAsia"/>
        </w:rPr>
        <w:t>构筑物（类型</w:t>
      </w:r>
      <w:r>
        <w:rPr>
          <w:u w:val="single"/>
        </w:rPr>
        <w:t xml:space="preserve">      </w:t>
      </w:r>
      <w:r>
        <w:rPr>
          <w:rFonts w:hint="eastAsia"/>
        </w:rPr>
        <w:t>）</w:t>
      </w:r>
      <w:r>
        <w:rPr>
          <w:rFonts w:hint="eastAsia"/>
          <w:sz w:val="28"/>
        </w:rPr>
        <w:sym w:font="Wingdings 2" w:char="F0A3"/>
      </w:r>
      <w:r>
        <w:rPr>
          <w:rFonts w:hint="eastAsia"/>
        </w:rPr>
        <w:t>以上皆无。</w:t>
      </w: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6237"/>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类型</w:t>
            </w:r>
          </w:p>
        </w:tc>
        <w:tc>
          <w:tcPr>
            <w:tcW w:w="623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项目</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rPr>
                <w:u w:val="single"/>
              </w:rPr>
            </w:pPr>
            <w:r>
              <w:rPr>
                <w:rFonts w:hint="eastAsia"/>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场地内遮荫措施</w:t>
            </w:r>
          </w:p>
        </w:tc>
        <w:tc>
          <w:tcPr>
            <w:tcW w:w="6237" w:type="dxa"/>
            <w:tcBorders>
              <w:top w:val="single" w:color="auto" w:sz="4" w:space="0"/>
              <w:left w:val="single" w:color="auto" w:sz="4" w:space="0"/>
              <w:bottom w:val="single" w:color="auto" w:sz="4" w:space="0"/>
              <w:right w:val="single" w:color="auto" w:sz="4" w:space="0"/>
            </w:tcBorders>
            <w:noWrap w:val="0"/>
            <w:vAlign w:val="top"/>
          </w:tcPr>
          <w:p>
            <w:pPr>
              <w:rPr>
                <w:u w:val="single"/>
              </w:rPr>
            </w:pPr>
            <w:r>
              <w:rPr>
                <w:rFonts w:hint="eastAsia"/>
              </w:rPr>
              <w:t>户外活动场地面积（</w:t>
            </w:r>
            <w:r>
              <w:t>m</w:t>
            </w:r>
            <w:r>
              <w:rPr>
                <w:vertAlign w:val="superscript"/>
              </w:rPr>
              <w:t>2</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pPr>
              <w:rPr>
                <w:u w:val="single"/>
              </w:rPr>
            </w:pPr>
            <w:r>
              <w:rPr>
                <w:rFonts w:hint="eastAsia"/>
              </w:rPr>
              <w:t>户外活动场地内乔木遮荫措施的面积（</w:t>
            </w:r>
            <w:r>
              <w:t>m</w:t>
            </w:r>
            <w:r>
              <w:rPr>
                <w:vertAlign w:val="superscript"/>
              </w:rPr>
              <w:t>2</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户外活动场地构筑物遮荫措施的面积（</w:t>
            </w:r>
            <w:r>
              <w:t>m</w:t>
            </w:r>
            <w:r>
              <w:rPr>
                <w:vertAlign w:val="superscript"/>
              </w:rPr>
              <w:t>2</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户外活动场地内有乔木、构筑物遮荫措施的面积比例（</w:t>
            </w:r>
            <w:r>
              <w:t>%</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restart"/>
            <w:tcBorders>
              <w:top w:val="single" w:color="auto" w:sz="4" w:space="0"/>
              <w:left w:val="single" w:color="auto" w:sz="4" w:space="0"/>
              <w:right w:val="single" w:color="auto" w:sz="4" w:space="0"/>
            </w:tcBorders>
            <w:noWrap w:val="0"/>
            <w:vAlign w:val="center"/>
          </w:tcPr>
          <w:p>
            <w:pPr>
              <w:jc w:val="center"/>
            </w:pPr>
            <w:r>
              <w:rPr>
                <w:rFonts w:hint="eastAsia"/>
              </w:rPr>
              <w:t>路面太阳辐射反射系数</w:t>
            </w: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处于建筑阴影区外的机动车道、路面面积（</w:t>
            </w:r>
            <w:r>
              <w:t>m</w:t>
            </w:r>
            <w:r>
              <w:rPr>
                <w:vertAlign w:val="superscript"/>
              </w:rPr>
              <w:t>2</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left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太阳辐射反射系数</w:t>
            </w:r>
            <w:r>
              <w:rPr>
                <w:rFonts w:hint="eastAsia"/>
                <w:kern w:val="0"/>
              </w:rPr>
              <w:t>不低于</w:t>
            </w:r>
            <w:r>
              <w:rPr>
                <w:kern w:val="0"/>
              </w:rPr>
              <w:t>0.4</w:t>
            </w:r>
            <w:r>
              <w:rPr>
                <w:rFonts w:hint="eastAsia"/>
                <w:kern w:val="0"/>
              </w:rPr>
              <w:t>的机动车道、路面面积（</w:t>
            </w:r>
            <w:r>
              <w:t>m</w:t>
            </w:r>
            <w:r>
              <w:rPr>
                <w:vertAlign w:val="superscript"/>
              </w:rPr>
              <w:t>2</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left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太阳辐射反射系数不低于</w:t>
            </w:r>
            <w:r>
              <w:t>0.4</w:t>
            </w:r>
            <w:r>
              <w:rPr>
                <w:rFonts w:hint="eastAsia"/>
              </w:rPr>
              <w:t>的机动车道、路面所占比例（</w:t>
            </w:r>
            <w:r>
              <w:t>%</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left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行道树的路段总长度（m）</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left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设有遮阴面积较大的行道树的路段长度（m）</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left w:val="single" w:color="auto" w:sz="4" w:space="0"/>
              <w:bottom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设有遮阴面积较大的行道树的路段长度所占比例（%）</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restart"/>
            <w:tcBorders>
              <w:top w:val="single" w:color="auto" w:sz="4" w:space="0"/>
              <w:left w:val="single" w:color="auto" w:sz="4" w:space="0"/>
              <w:right w:val="single" w:color="auto" w:sz="4" w:space="0"/>
            </w:tcBorders>
            <w:noWrap w:val="0"/>
            <w:vAlign w:val="center"/>
          </w:tcPr>
          <w:p>
            <w:pPr>
              <w:widowControl/>
              <w:jc w:val="left"/>
            </w:pPr>
            <w:r>
              <w:rPr>
                <w:rFonts w:hint="eastAsia"/>
              </w:rPr>
              <w:t>屋面太阳辐射反射系数</w:t>
            </w: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建筑屋面面积（</w:t>
            </w:r>
            <w:r>
              <w:t>m</w:t>
            </w:r>
            <w:r>
              <w:rPr>
                <w:vertAlign w:val="superscript"/>
              </w:rPr>
              <w:t>2</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left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屋顶的绿化面积、太阳能板水平投影面积以及太阳辐射反射系数不小于0.4的屋面面积（</w:t>
            </w:r>
            <w:r>
              <w:t>m</w:t>
            </w:r>
            <w:r>
              <w:rPr>
                <w:vertAlign w:val="superscript"/>
              </w:rPr>
              <w:t>2</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63" w:type="dxa"/>
            <w:vMerge w:val="continue"/>
            <w:tcBorders>
              <w:left w:val="single" w:color="auto" w:sz="4" w:space="0"/>
              <w:bottom w:val="single" w:color="auto" w:sz="4" w:space="0"/>
              <w:right w:val="single" w:color="auto" w:sz="4" w:space="0"/>
            </w:tcBorders>
            <w:noWrap w:val="0"/>
            <w:vAlign w:val="center"/>
          </w:tcPr>
          <w:p>
            <w:pPr>
              <w:widowControl/>
              <w:jc w:val="left"/>
            </w:pPr>
          </w:p>
        </w:tc>
        <w:tc>
          <w:tcPr>
            <w:tcW w:w="6237" w:type="dxa"/>
            <w:tcBorders>
              <w:top w:val="single" w:color="auto" w:sz="4" w:space="0"/>
              <w:left w:val="single" w:color="auto" w:sz="4" w:space="0"/>
              <w:bottom w:val="single" w:color="auto" w:sz="4" w:space="0"/>
              <w:right w:val="single" w:color="auto" w:sz="4" w:space="0"/>
            </w:tcBorders>
            <w:noWrap w:val="0"/>
            <w:vAlign w:val="top"/>
          </w:tcPr>
          <w:p>
            <w:r>
              <w:rPr>
                <w:rFonts w:hint="eastAsia"/>
              </w:rPr>
              <w:t>屋顶的绿化面积、太阳能板水平投影面积以及太阳辐射反射系数不小于0.4的屋面面积所占比例（</w:t>
            </w:r>
            <w:r>
              <w:t>%</w:t>
            </w:r>
            <w:r>
              <w:rPr>
                <w:rFonts w:hint="eastAsia"/>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ind w:left="210" w:hanging="210" w:hangingChars="100"/>
        <w:jc w:val="left"/>
      </w:pPr>
      <w:r>
        <w:rPr>
          <w:rFonts w:hint="eastAsia"/>
        </w:rPr>
        <w:t>1）室外活动场地遮阴设计，应包括规划总平面图、乔木种植平面图、乔木苗木表、日照分析报告、户外活动场地遮阴面积比例计算书；</w:t>
      </w:r>
    </w:p>
    <w:p>
      <w:pPr>
        <w:ind w:left="210" w:hanging="210" w:hangingChars="100"/>
        <w:jc w:val="left"/>
      </w:pPr>
      <w:r>
        <w:rPr>
          <w:rFonts w:hint="eastAsia"/>
        </w:rPr>
        <w:t>2）地面遮阴设计，应包括道路交通组织、路面构造做法大样、道路用热反射涂料性能检测报告、机动车道遮阴及高反射面积比例计算书；</w:t>
      </w:r>
    </w:p>
    <w:p>
      <w:r>
        <w:rPr>
          <w:rFonts w:hint="eastAsia"/>
        </w:rPr>
        <w:t>3）屋顶遮阴设计， 应包括屋面施工图、屋面做法大样、屋面涂料性能检测报告、屋面太阳辐射反射性能现场检测报告；屋面遮阴及高反射面积比例计算书。</w:t>
      </w:r>
    </w:p>
    <w:p>
      <w:pPr>
        <w:rPr>
          <w:rFonts w:ascii="Times New Roman" w:hAnsi="Times New Roman"/>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jc w:val="center"/>
      </w:pPr>
      <w:r>
        <w:rPr>
          <w:rFonts w:ascii="宋体" w:hAnsi="宋体"/>
          <w:b/>
          <w:bCs/>
          <w:color w:val="000000"/>
          <w:sz w:val="24"/>
          <w:szCs w:val="24"/>
        </w:rPr>
        <w:br w:type="page"/>
      </w:r>
      <w:r>
        <w:rPr>
          <w:rFonts w:hint="eastAsia" w:ascii="宋体" w:hAnsi="宋体"/>
          <w:b/>
          <w:bCs/>
          <w:color w:val="000000"/>
          <w:sz w:val="24"/>
          <w:szCs w:val="24"/>
        </w:rPr>
        <w:t>9 提高与创新</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0"/>
        <w:gridCol w:w="876"/>
        <w:gridCol w:w="5000"/>
        <w:gridCol w:w="80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shd w:val="clear" w:color="auto" w:fill="DCDCDC"/>
            <w:noWrap w:val="0"/>
            <w:vAlign w:val="center"/>
          </w:tcPr>
          <w:p>
            <w:pPr>
              <w:jc w:val="center"/>
            </w:pPr>
            <w:r>
              <w:rPr>
                <w:rFonts w:hint="eastAsia" w:ascii="宋体" w:hAnsi="宋体"/>
                <w:b/>
                <w:bCs/>
                <w:color w:val="000000"/>
                <w:sz w:val="20"/>
                <w:szCs w:val="20"/>
              </w:rPr>
              <w:t>子项</w:t>
            </w:r>
          </w:p>
        </w:tc>
        <w:tc>
          <w:tcPr>
            <w:tcW w:w="800" w:type="dxa"/>
            <w:shd w:val="clear" w:color="auto" w:fill="DCDCDC"/>
            <w:noWrap w:val="0"/>
            <w:vAlign w:val="center"/>
          </w:tcPr>
          <w:p>
            <w:pPr>
              <w:jc w:val="center"/>
            </w:pPr>
            <w:r>
              <w:rPr>
                <w:rFonts w:hint="eastAsia" w:ascii="宋体" w:hAnsi="宋体"/>
                <w:b/>
                <w:bCs/>
                <w:color w:val="000000"/>
                <w:sz w:val="22"/>
              </w:rPr>
              <w:t>条文编号</w:t>
            </w:r>
          </w:p>
        </w:tc>
        <w:tc>
          <w:tcPr>
            <w:tcW w:w="5000" w:type="dxa"/>
            <w:shd w:val="clear" w:color="auto" w:fill="DCDCDC"/>
            <w:noWrap w:val="0"/>
            <w:vAlign w:val="center"/>
          </w:tcPr>
          <w:p>
            <w:pPr>
              <w:jc w:val="center"/>
            </w:pPr>
            <w:r>
              <w:rPr>
                <w:rFonts w:hint="eastAsia" w:ascii="宋体" w:hAnsi="宋体"/>
                <w:b/>
                <w:bCs/>
                <w:color w:val="000000"/>
                <w:sz w:val="20"/>
                <w:szCs w:val="20"/>
              </w:rPr>
              <w:t>条文</w:t>
            </w:r>
          </w:p>
        </w:tc>
        <w:tc>
          <w:tcPr>
            <w:tcW w:w="800" w:type="dxa"/>
            <w:shd w:val="clear" w:color="auto" w:fill="DCDCDC"/>
            <w:noWrap w:val="0"/>
            <w:vAlign w:val="center"/>
          </w:tcPr>
          <w:p>
            <w:pPr>
              <w:jc w:val="center"/>
            </w:pPr>
            <w:r>
              <w:rPr>
                <w:rFonts w:hint="eastAsia" w:ascii="宋体" w:hAnsi="宋体"/>
                <w:b/>
                <w:bCs/>
                <w:color w:val="000000"/>
                <w:sz w:val="20"/>
                <w:szCs w:val="20"/>
              </w:rPr>
              <w:t>满分</w:t>
            </w:r>
          </w:p>
        </w:tc>
        <w:tc>
          <w:tcPr>
            <w:tcW w:w="800" w:type="dxa"/>
            <w:shd w:val="clear" w:color="auto" w:fill="DCDCDC"/>
            <w:noWrap w:val="0"/>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restart"/>
            <w:shd w:val="clear" w:color="auto" w:fill="DCDCDC"/>
            <w:noWrap w:val="0"/>
            <w:vAlign w:val="center"/>
          </w:tcPr>
          <w:p>
            <w:pPr>
              <w:jc w:val="center"/>
            </w:pPr>
            <w:r>
              <w:rPr>
                <w:rFonts w:hint="eastAsia" w:ascii="宋体" w:hAnsi="宋体"/>
                <w:b/>
                <w:bCs/>
                <w:color w:val="000000"/>
                <w:sz w:val="20"/>
                <w:szCs w:val="20"/>
              </w:rPr>
              <w:t>评分项</w:t>
            </w:r>
          </w:p>
        </w:tc>
        <w:tc>
          <w:tcPr>
            <w:tcW w:w="800" w:type="dxa"/>
            <w:noWrap w:val="0"/>
            <w:vAlign w:val="center"/>
          </w:tcPr>
          <w:p>
            <w:r>
              <w:rPr>
                <w:rFonts w:hint="eastAsia" w:ascii="宋体" w:hAnsi="宋体"/>
                <w:bCs/>
                <w:color w:val="000000"/>
                <w:sz w:val="22"/>
              </w:rPr>
              <w:t>9.2.1</w:t>
            </w:r>
          </w:p>
        </w:tc>
        <w:tc>
          <w:tcPr>
            <w:tcW w:w="5000" w:type="dxa"/>
            <w:noWrap w:val="0"/>
            <w:vAlign w:val="center"/>
          </w:tcPr>
          <w:p>
            <w:r>
              <w:rPr>
                <w:rFonts w:hint="eastAsia" w:ascii="宋体" w:hAnsi="宋体"/>
                <w:bCs/>
                <w:color w:val="000000"/>
                <w:sz w:val="22"/>
              </w:rPr>
              <w:t>能耗高要求</w:t>
            </w:r>
          </w:p>
        </w:tc>
        <w:tc>
          <w:tcPr>
            <w:tcW w:w="800" w:type="dxa"/>
            <w:noWrap w:val="0"/>
            <w:vAlign w:val="center"/>
          </w:tcPr>
          <w:p>
            <w:pPr>
              <w:jc w:val="center"/>
            </w:pPr>
            <w:r>
              <w:rPr>
                <w:rFonts w:hint="eastAsia" w:ascii="宋体" w:hAnsi="宋体"/>
                <w:bCs/>
                <w:color w:val="000000"/>
                <w:sz w:val="22"/>
              </w:rPr>
              <w:t>30</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9.2.2</w:t>
            </w:r>
          </w:p>
        </w:tc>
        <w:tc>
          <w:tcPr>
            <w:tcW w:w="5000" w:type="dxa"/>
            <w:noWrap w:val="0"/>
            <w:vAlign w:val="center"/>
          </w:tcPr>
          <w:p>
            <w:r>
              <w:rPr>
                <w:rFonts w:hint="eastAsia" w:ascii="宋体" w:hAnsi="宋体"/>
                <w:bCs/>
                <w:color w:val="000000"/>
                <w:sz w:val="22"/>
              </w:rPr>
              <w:t>建筑风貌适宜</w:t>
            </w:r>
          </w:p>
        </w:tc>
        <w:tc>
          <w:tcPr>
            <w:tcW w:w="800" w:type="dxa"/>
            <w:noWrap w:val="0"/>
            <w:vAlign w:val="center"/>
          </w:tcPr>
          <w:p>
            <w:pPr>
              <w:jc w:val="center"/>
            </w:pPr>
            <w:r>
              <w:rPr>
                <w:rFonts w:hint="eastAsia" w:ascii="宋体" w:hAnsi="宋体"/>
                <w:bCs/>
                <w:color w:val="000000"/>
                <w:sz w:val="22"/>
              </w:rPr>
              <w:t>20</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9.2.3</w:t>
            </w:r>
          </w:p>
        </w:tc>
        <w:tc>
          <w:tcPr>
            <w:tcW w:w="5000" w:type="dxa"/>
            <w:noWrap w:val="0"/>
            <w:vAlign w:val="center"/>
          </w:tcPr>
          <w:p>
            <w:r>
              <w:rPr>
                <w:rFonts w:hint="eastAsia" w:ascii="宋体" w:hAnsi="宋体"/>
                <w:bCs/>
                <w:color w:val="000000"/>
                <w:sz w:val="22"/>
              </w:rPr>
              <w:t>废旧场地利用</w:t>
            </w:r>
          </w:p>
        </w:tc>
        <w:tc>
          <w:tcPr>
            <w:tcW w:w="800" w:type="dxa"/>
            <w:noWrap w:val="0"/>
            <w:vAlign w:val="center"/>
          </w:tcPr>
          <w:p>
            <w:pPr>
              <w:jc w:val="center"/>
            </w:pPr>
            <w:r>
              <w:rPr>
                <w:rFonts w:hint="eastAsia" w:ascii="宋体" w:hAnsi="宋体"/>
                <w:bCs/>
                <w:color w:val="000000"/>
                <w:sz w:val="22"/>
              </w:rPr>
              <w:t>8</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9.2.4</w:t>
            </w:r>
          </w:p>
        </w:tc>
        <w:tc>
          <w:tcPr>
            <w:tcW w:w="5000" w:type="dxa"/>
            <w:noWrap w:val="0"/>
            <w:vAlign w:val="center"/>
          </w:tcPr>
          <w:p>
            <w:r>
              <w:rPr>
                <w:rFonts w:hint="eastAsia" w:ascii="宋体" w:hAnsi="宋体"/>
                <w:bCs/>
                <w:color w:val="000000"/>
                <w:sz w:val="22"/>
              </w:rPr>
              <w:t>绿容率</w:t>
            </w:r>
          </w:p>
        </w:tc>
        <w:tc>
          <w:tcPr>
            <w:tcW w:w="800" w:type="dxa"/>
            <w:noWrap w:val="0"/>
            <w:vAlign w:val="center"/>
          </w:tcPr>
          <w:p>
            <w:pPr>
              <w:jc w:val="center"/>
            </w:pPr>
            <w:r>
              <w:rPr>
                <w:rFonts w:hint="eastAsia" w:ascii="宋体" w:hAnsi="宋体"/>
                <w:bCs/>
                <w:color w:val="000000"/>
                <w:sz w:val="22"/>
              </w:rPr>
              <w:t>5</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9.2.5</w:t>
            </w:r>
          </w:p>
        </w:tc>
        <w:tc>
          <w:tcPr>
            <w:tcW w:w="5000" w:type="dxa"/>
            <w:noWrap w:val="0"/>
            <w:vAlign w:val="center"/>
          </w:tcPr>
          <w:p>
            <w:r>
              <w:rPr>
                <w:rFonts w:hint="eastAsia" w:ascii="宋体" w:hAnsi="宋体"/>
                <w:bCs/>
                <w:color w:val="000000"/>
                <w:sz w:val="22"/>
              </w:rPr>
              <w:t>工业化建造要求</w:t>
            </w:r>
          </w:p>
        </w:tc>
        <w:tc>
          <w:tcPr>
            <w:tcW w:w="800" w:type="dxa"/>
            <w:noWrap w:val="0"/>
            <w:vAlign w:val="center"/>
          </w:tcPr>
          <w:p>
            <w:pPr>
              <w:jc w:val="center"/>
            </w:pPr>
            <w:r>
              <w:rPr>
                <w:rFonts w:hint="eastAsia" w:ascii="宋体" w:hAnsi="宋体"/>
                <w:bCs/>
                <w:color w:val="000000"/>
                <w:sz w:val="22"/>
              </w:rPr>
              <w:t>10</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9.2.6</w:t>
            </w:r>
          </w:p>
        </w:tc>
        <w:tc>
          <w:tcPr>
            <w:tcW w:w="5000" w:type="dxa"/>
            <w:noWrap w:val="0"/>
            <w:vAlign w:val="center"/>
          </w:tcPr>
          <w:p>
            <w:r>
              <w:rPr>
                <w:rFonts w:hint="eastAsia" w:ascii="宋体" w:hAnsi="宋体"/>
                <w:bCs/>
                <w:color w:val="000000"/>
                <w:sz w:val="22"/>
              </w:rPr>
              <w:t>BIM技术</w:t>
            </w:r>
          </w:p>
        </w:tc>
        <w:tc>
          <w:tcPr>
            <w:tcW w:w="800" w:type="dxa"/>
            <w:noWrap w:val="0"/>
            <w:vAlign w:val="center"/>
          </w:tcPr>
          <w:p>
            <w:pPr>
              <w:jc w:val="center"/>
            </w:pPr>
            <w:r>
              <w:rPr>
                <w:rFonts w:hint="eastAsia" w:ascii="宋体" w:hAnsi="宋体"/>
                <w:bCs/>
                <w:color w:val="000000"/>
                <w:sz w:val="22"/>
              </w:rPr>
              <w:t>15</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9.2.7</w:t>
            </w:r>
          </w:p>
        </w:tc>
        <w:tc>
          <w:tcPr>
            <w:tcW w:w="5000" w:type="dxa"/>
            <w:noWrap w:val="0"/>
            <w:vAlign w:val="center"/>
          </w:tcPr>
          <w:p>
            <w:r>
              <w:rPr>
                <w:rFonts w:hint="eastAsia" w:ascii="宋体" w:hAnsi="宋体"/>
                <w:bCs/>
                <w:color w:val="000000"/>
                <w:sz w:val="22"/>
              </w:rPr>
              <w:t>建筑碳排放量</w:t>
            </w:r>
          </w:p>
        </w:tc>
        <w:tc>
          <w:tcPr>
            <w:tcW w:w="800" w:type="dxa"/>
            <w:noWrap w:val="0"/>
            <w:vAlign w:val="center"/>
          </w:tcPr>
          <w:p>
            <w:pPr>
              <w:jc w:val="center"/>
            </w:pPr>
            <w:r>
              <w:rPr>
                <w:rFonts w:hint="eastAsia" w:ascii="宋体" w:hAnsi="宋体"/>
                <w:bCs/>
                <w:color w:val="000000"/>
                <w:sz w:val="22"/>
              </w:rPr>
              <w:t>12</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9.2.8</w:t>
            </w:r>
          </w:p>
        </w:tc>
        <w:tc>
          <w:tcPr>
            <w:tcW w:w="5000" w:type="dxa"/>
            <w:noWrap w:val="0"/>
            <w:vAlign w:val="center"/>
          </w:tcPr>
          <w:p>
            <w:r>
              <w:rPr>
                <w:rFonts w:hint="eastAsia" w:ascii="宋体" w:hAnsi="宋体"/>
                <w:bCs/>
                <w:color w:val="000000"/>
                <w:sz w:val="22"/>
              </w:rPr>
              <w:t>绿色施工管理</w:t>
            </w:r>
          </w:p>
        </w:tc>
        <w:tc>
          <w:tcPr>
            <w:tcW w:w="800" w:type="dxa"/>
            <w:noWrap w:val="0"/>
            <w:vAlign w:val="center"/>
          </w:tcPr>
          <w:p>
            <w:pPr>
              <w:jc w:val="center"/>
            </w:pPr>
            <w:r>
              <w:rPr>
                <w:rFonts w:hint="eastAsia" w:ascii="宋体" w:hAnsi="宋体"/>
                <w:bCs/>
                <w:color w:val="000000"/>
                <w:sz w:val="22"/>
              </w:rPr>
              <w:t>20</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9.2.9</w:t>
            </w:r>
          </w:p>
        </w:tc>
        <w:tc>
          <w:tcPr>
            <w:tcW w:w="5000" w:type="dxa"/>
            <w:noWrap w:val="0"/>
            <w:vAlign w:val="center"/>
          </w:tcPr>
          <w:p>
            <w:r>
              <w:rPr>
                <w:rFonts w:hint="eastAsia" w:ascii="宋体" w:hAnsi="宋体"/>
                <w:bCs/>
                <w:color w:val="000000"/>
                <w:sz w:val="22"/>
              </w:rPr>
              <w:t>工程质量保险</w:t>
            </w:r>
          </w:p>
        </w:tc>
        <w:tc>
          <w:tcPr>
            <w:tcW w:w="800" w:type="dxa"/>
            <w:noWrap w:val="0"/>
            <w:vAlign w:val="center"/>
          </w:tcPr>
          <w:p>
            <w:pPr>
              <w:jc w:val="center"/>
            </w:pPr>
            <w:r>
              <w:rPr>
                <w:rFonts w:hint="eastAsia" w:ascii="宋体" w:hAnsi="宋体"/>
                <w:bCs/>
                <w:color w:val="000000"/>
                <w:sz w:val="22"/>
              </w:rPr>
              <w:t>20</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vMerge w:val="continue"/>
            <w:shd w:val="clear" w:color="auto" w:fill="DCDCDC"/>
            <w:noWrap w:val="0"/>
            <w:vAlign w:val="center"/>
          </w:tcPr>
          <w:p>
            <w:pPr>
              <w:jc w:val="center"/>
            </w:pPr>
          </w:p>
        </w:tc>
        <w:tc>
          <w:tcPr>
            <w:tcW w:w="800" w:type="dxa"/>
            <w:noWrap w:val="0"/>
            <w:vAlign w:val="center"/>
          </w:tcPr>
          <w:p>
            <w:r>
              <w:rPr>
                <w:rFonts w:hint="eastAsia" w:ascii="宋体" w:hAnsi="宋体"/>
                <w:bCs/>
                <w:color w:val="000000"/>
                <w:sz w:val="22"/>
              </w:rPr>
              <w:t>9.2.10</w:t>
            </w:r>
          </w:p>
        </w:tc>
        <w:tc>
          <w:tcPr>
            <w:tcW w:w="5000" w:type="dxa"/>
            <w:noWrap w:val="0"/>
            <w:vAlign w:val="center"/>
          </w:tcPr>
          <w:p>
            <w:r>
              <w:rPr>
                <w:rFonts w:hint="eastAsia" w:ascii="宋体" w:hAnsi="宋体"/>
                <w:bCs/>
                <w:color w:val="000000"/>
                <w:sz w:val="22"/>
              </w:rPr>
              <w:t>其他创新</w:t>
            </w:r>
          </w:p>
        </w:tc>
        <w:tc>
          <w:tcPr>
            <w:tcW w:w="800" w:type="dxa"/>
            <w:noWrap w:val="0"/>
            <w:vAlign w:val="center"/>
          </w:tcPr>
          <w:p>
            <w:pPr>
              <w:jc w:val="center"/>
            </w:pPr>
            <w:r>
              <w:rPr>
                <w:rFonts w:hint="eastAsia" w:ascii="宋体" w:hAnsi="宋体"/>
                <w:bCs/>
                <w:color w:val="000000"/>
                <w:sz w:val="22"/>
              </w:rPr>
              <w:t>40</w:t>
            </w:r>
          </w:p>
        </w:tc>
        <w:tc>
          <w:tcPr>
            <w:tcW w:w="800" w:type="dxa"/>
            <w:noWrap w:val="0"/>
            <w:vAlign w:val="center"/>
          </w:tcPr>
          <w:p>
            <w:pPr>
              <w:jc w:val="center"/>
            </w:pPr>
            <w:r>
              <w:rPr>
                <w:rFonts w:hint="eastAsia" w:ascii="宋体" w:hAnsi="宋体"/>
                <w:bCs/>
                <w:color w:val="000000"/>
                <w:sz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jc w:val="center"/>
        </w:trPr>
        <w:tc>
          <w:tcPr>
            <w:tcW w:w="1000" w:type="dxa"/>
            <w:gridSpan w:val="3"/>
            <w:shd w:val="clear" w:color="auto" w:fill="DCDCDC"/>
            <w:noWrap w:val="0"/>
            <w:vAlign w:val="center"/>
          </w:tcPr>
          <w:p>
            <w:pPr>
              <w:jc w:val="center"/>
            </w:pPr>
            <w:r>
              <w:rPr>
                <w:rFonts w:hint="eastAsia" w:ascii="宋体" w:hAnsi="宋体"/>
                <w:b/>
                <w:bCs/>
                <w:color w:val="000000"/>
                <w:sz w:val="20"/>
                <w:szCs w:val="20"/>
              </w:rPr>
              <w:t>合计</w:t>
            </w:r>
          </w:p>
        </w:tc>
        <w:tc>
          <w:tcPr>
            <w:tcW w:w="800" w:type="dxa"/>
            <w:noWrap w:val="0"/>
            <w:vAlign w:val="center"/>
          </w:tcPr>
          <w:p>
            <w:pPr>
              <w:jc w:val="center"/>
            </w:pPr>
            <w:r>
              <w:rPr>
                <w:rFonts w:hint="eastAsia" w:ascii="宋体" w:hAnsi="宋体"/>
                <w:bCs/>
                <w:color w:val="000000"/>
                <w:sz w:val="22"/>
              </w:rPr>
              <w:t>180.0</w:t>
            </w:r>
          </w:p>
        </w:tc>
        <w:tc>
          <w:tcPr>
            <w:tcW w:w="800" w:type="dxa"/>
            <w:noWrap w:val="0"/>
            <w:vAlign w:val="center"/>
          </w:tcPr>
          <w:p>
            <w:pPr>
              <w:jc w:val="center"/>
            </w:pPr>
            <w:r>
              <w:rPr>
                <w:rFonts w:hint="eastAsia" w:ascii="宋体" w:hAnsi="宋体"/>
                <w:bCs/>
                <w:color w:val="000000"/>
                <w:sz w:val="22"/>
              </w:rPr>
              <w:t>0.0</w:t>
            </w:r>
          </w:p>
        </w:tc>
      </w:tr>
    </w:tbl>
    <w:p/>
    <w:p>
      <w:pPr>
        <w:widowControl/>
        <w:jc w:val="left"/>
        <w:rPr>
          <w:rFonts w:ascii="Times New Roman" w:hAnsi="Times New Roman"/>
          <w:b/>
          <w:bCs/>
          <w:sz w:val="24"/>
          <w:szCs w:val="40"/>
        </w:rPr>
      </w:pPr>
      <w:r>
        <w:rPr>
          <w:sz w:val="24"/>
          <w:szCs w:val="40"/>
        </w:rPr>
        <w:br w:type="page"/>
      </w:r>
    </w:p>
    <w:p>
      <w:pPr>
        <w:pStyle w:val="3"/>
        <w:rPr>
          <w:sz w:val="24"/>
          <w:szCs w:val="40"/>
        </w:rPr>
      </w:pPr>
      <w:bookmarkStart w:id="281" w:name="OLE_LINK125"/>
      <w:r>
        <w:rPr>
          <w:rFonts w:hint="eastAsia"/>
          <w:sz w:val="24"/>
          <w:szCs w:val="40"/>
        </w:rPr>
        <w:t>9.2.1 采取措施</w:t>
      </w:r>
      <w:r>
        <w:rPr>
          <w:sz w:val="24"/>
          <w:szCs w:val="40"/>
        </w:rPr>
        <w:t>进一步降低建筑供暖空调系统的</w:t>
      </w:r>
      <w:r>
        <w:rPr>
          <w:rFonts w:hint="eastAsia"/>
          <w:sz w:val="24"/>
          <w:szCs w:val="40"/>
        </w:rPr>
        <w:t>能</w:t>
      </w:r>
      <w:r>
        <w:rPr>
          <w:sz w:val="24"/>
          <w:szCs w:val="40"/>
        </w:rPr>
        <w:t>耗。</w:t>
      </w:r>
      <w:r>
        <w:rPr>
          <w:rFonts w:hint="eastAsia"/>
          <w:sz w:val="24"/>
          <w:szCs w:val="40"/>
        </w:rPr>
        <w:t>（</w:t>
      </w:r>
      <w:r>
        <w:rPr>
          <w:sz w:val="24"/>
          <w:szCs w:val="40"/>
        </w:rPr>
        <w:t>30</w:t>
      </w:r>
      <w:r>
        <w:rPr>
          <w:rFonts w:hint="eastAsia"/>
          <w:sz w:val="24"/>
          <w:szCs w:val="40"/>
        </w:rPr>
        <w:t>分）</w:t>
      </w:r>
    </w:p>
    <w:bookmarkEnd w:id="281"/>
    <w:p>
      <w:pPr>
        <w:spacing w:before="156" w:beforeLines="50" w:after="156" w:afterLines="50"/>
        <w:rPr>
          <w:rFonts w:ascii="Times New Roman" w:hAnsi="Times New Roman"/>
          <w:b/>
          <w:szCs w:val="21"/>
        </w:rPr>
      </w:pPr>
      <w:r>
        <w:rPr>
          <w:rFonts w:ascii="Times New Roman" w:hAnsi="Times New Roman"/>
          <w:b/>
          <w:szCs w:val="21"/>
        </w:rPr>
        <w:t>1 得分自评</w:t>
      </w:r>
    </w:p>
    <w:p>
      <w:pPr>
        <w:pStyle w:val="10"/>
        <w:ind w:firstLine="0" w:firstLineChars="0"/>
        <w:jc w:val="left"/>
      </w:pPr>
      <w:r>
        <w:rPr>
          <w:rFonts w:hint="eastAsia"/>
        </w:rPr>
        <w:t>建筑供暖空调</w:t>
      </w:r>
      <w:r>
        <w:t>系统能耗相比国家现行有关建筑节能标准降低</w:t>
      </w:r>
      <w:r>
        <w:rPr>
          <w:rFonts w:hint="eastAsia"/>
        </w:rPr>
        <w:t>幅度及对应得分情况：</w:t>
      </w:r>
    </w:p>
    <w:tbl>
      <w:tblPr>
        <w:tblStyle w:val="7"/>
        <w:tblW w:w="7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394"/>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62" w:type="dxa"/>
            <w:noWrap w:val="0"/>
            <w:vAlign w:val="top"/>
          </w:tcPr>
          <w:p>
            <w:pPr>
              <w:pStyle w:val="10"/>
              <w:ind w:firstLine="0" w:firstLineChars="0"/>
              <w:jc w:val="center"/>
              <w:rPr>
                <w:b/>
                <w:szCs w:val="21"/>
              </w:rPr>
            </w:pPr>
            <w:r>
              <w:rPr>
                <w:szCs w:val="21"/>
                <w:lang w:val="zh-CN"/>
              </w:rPr>
              <w:t>序号</w:t>
            </w:r>
          </w:p>
        </w:tc>
        <w:tc>
          <w:tcPr>
            <w:tcW w:w="4394" w:type="dxa"/>
            <w:noWrap w:val="0"/>
            <w:vAlign w:val="top"/>
          </w:tcPr>
          <w:p>
            <w:pPr>
              <w:pStyle w:val="10"/>
              <w:ind w:firstLine="0" w:firstLineChars="0"/>
              <w:jc w:val="center"/>
              <w:rPr>
                <w:b/>
                <w:szCs w:val="21"/>
              </w:rPr>
            </w:pPr>
            <w:r>
              <w:rPr>
                <w:szCs w:val="21"/>
                <w:lang w:val="zh-CN"/>
              </w:rPr>
              <w:t>评价内容</w:t>
            </w:r>
          </w:p>
        </w:tc>
        <w:tc>
          <w:tcPr>
            <w:tcW w:w="1559" w:type="dxa"/>
            <w:noWrap w:val="0"/>
            <w:vAlign w:val="top"/>
          </w:tcPr>
          <w:p>
            <w:pPr>
              <w:pStyle w:val="10"/>
              <w:ind w:firstLine="0" w:firstLineChars="0"/>
              <w:jc w:val="center"/>
              <w:rPr>
                <w:b/>
                <w:szCs w:val="21"/>
              </w:rPr>
            </w:pPr>
            <w:r>
              <w:rPr>
                <w:szCs w:val="21"/>
                <w:lang w:val="zh-CN"/>
              </w:rPr>
              <w:t>评价分值</w:t>
            </w:r>
          </w:p>
        </w:tc>
        <w:tc>
          <w:tcPr>
            <w:tcW w:w="1276" w:type="dxa"/>
            <w:noWrap w:val="0"/>
            <w:vAlign w:val="top"/>
          </w:tcPr>
          <w:p>
            <w:pPr>
              <w:pStyle w:val="10"/>
              <w:ind w:firstLine="0" w:firstLineChars="0"/>
              <w:jc w:val="center"/>
              <w:rPr>
                <w:b/>
                <w:szCs w:val="21"/>
              </w:rPr>
            </w:pPr>
            <w:r>
              <w:rPr>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62" w:type="dxa"/>
            <w:noWrap w:val="0"/>
            <w:vAlign w:val="top"/>
          </w:tcPr>
          <w:p>
            <w:pPr>
              <w:pStyle w:val="10"/>
              <w:ind w:firstLine="0" w:firstLineChars="0"/>
              <w:jc w:val="center"/>
              <w:rPr>
                <w:szCs w:val="21"/>
              </w:rPr>
            </w:pPr>
            <w:r>
              <w:rPr>
                <w:szCs w:val="21"/>
              </w:rPr>
              <w:t>1</w:t>
            </w:r>
          </w:p>
        </w:tc>
        <w:tc>
          <w:tcPr>
            <w:tcW w:w="4394" w:type="dxa"/>
            <w:noWrap w:val="0"/>
            <w:vAlign w:val="top"/>
          </w:tcPr>
          <w:p>
            <w:pPr>
              <w:pStyle w:val="10"/>
              <w:ind w:firstLine="0" w:firstLineChars="0"/>
              <w:jc w:val="center"/>
              <w:rPr>
                <w:szCs w:val="21"/>
              </w:rPr>
            </w:pPr>
            <w:r>
              <w:rPr>
                <w:szCs w:val="21"/>
              </w:rPr>
              <w:t>降低40%</w:t>
            </w:r>
          </w:p>
        </w:tc>
        <w:tc>
          <w:tcPr>
            <w:tcW w:w="1559" w:type="dxa"/>
            <w:noWrap w:val="0"/>
            <w:vAlign w:val="top"/>
          </w:tcPr>
          <w:p>
            <w:pPr>
              <w:pStyle w:val="10"/>
              <w:ind w:firstLine="0" w:firstLineChars="0"/>
              <w:jc w:val="center"/>
              <w:rPr>
                <w:szCs w:val="21"/>
              </w:rPr>
            </w:pPr>
            <w:r>
              <w:rPr>
                <w:szCs w:val="21"/>
              </w:rPr>
              <w:t>10</w:t>
            </w:r>
          </w:p>
        </w:tc>
        <w:tc>
          <w:tcPr>
            <w:tcW w:w="1276" w:type="dxa"/>
            <w:noWrap w:val="0"/>
            <w:vAlign w:val="top"/>
          </w:tcPr>
          <w:p>
            <w:pPr>
              <w:pStyle w:val="10"/>
              <w:ind w:firstLine="0" w:firstLineChars="0"/>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62" w:type="dxa"/>
            <w:noWrap w:val="0"/>
            <w:vAlign w:val="top"/>
          </w:tcPr>
          <w:p>
            <w:pPr>
              <w:pStyle w:val="10"/>
              <w:ind w:firstLine="0" w:firstLineChars="0"/>
              <w:jc w:val="center"/>
              <w:rPr>
                <w:szCs w:val="21"/>
              </w:rPr>
            </w:pPr>
            <w:r>
              <w:rPr>
                <w:szCs w:val="21"/>
              </w:rPr>
              <w:t>2</w:t>
            </w:r>
          </w:p>
        </w:tc>
        <w:tc>
          <w:tcPr>
            <w:tcW w:w="4394" w:type="dxa"/>
            <w:noWrap w:val="0"/>
            <w:vAlign w:val="top"/>
          </w:tcPr>
          <w:p>
            <w:pPr>
              <w:pStyle w:val="10"/>
              <w:ind w:firstLine="0" w:firstLineChars="0"/>
              <w:jc w:val="center"/>
              <w:rPr>
                <w:szCs w:val="21"/>
              </w:rPr>
            </w:pPr>
            <w:r>
              <w:rPr>
                <w:szCs w:val="21"/>
              </w:rPr>
              <w:t>降低50%</w:t>
            </w:r>
          </w:p>
        </w:tc>
        <w:tc>
          <w:tcPr>
            <w:tcW w:w="1559" w:type="dxa"/>
            <w:noWrap w:val="0"/>
            <w:vAlign w:val="top"/>
          </w:tcPr>
          <w:p>
            <w:pPr>
              <w:pStyle w:val="10"/>
              <w:ind w:firstLine="0" w:firstLineChars="0"/>
              <w:jc w:val="center"/>
              <w:rPr>
                <w:szCs w:val="21"/>
              </w:rPr>
            </w:pPr>
            <w:r>
              <w:rPr>
                <w:szCs w:val="21"/>
              </w:rPr>
              <w:t>15</w:t>
            </w:r>
          </w:p>
        </w:tc>
        <w:tc>
          <w:tcPr>
            <w:tcW w:w="1276" w:type="dxa"/>
            <w:noWrap w:val="0"/>
            <w:vAlign w:val="top"/>
          </w:tcPr>
          <w:p>
            <w:pPr>
              <w:pStyle w:val="10"/>
              <w:ind w:firstLine="0" w:firstLineChars="0"/>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62" w:type="dxa"/>
            <w:noWrap w:val="0"/>
            <w:vAlign w:val="top"/>
          </w:tcPr>
          <w:p>
            <w:pPr>
              <w:pStyle w:val="10"/>
              <w:ind w:firstLine="0" w:firstLineChars="0"/>
              <w:jc w:val="center"/>
              <w:rPr>
                <w:szCs w:val="21"/>
              </w:rPr>
            </w:pPr>
            <w:r>
              <w:rPr>
                <w:szCs w:val="21"/>
              </w:rPr>
              <w:t>3</w:t>
            </w:r>
          </w:p>
        </w:tc>
        <w:tc>
          <w:tcPr>
            <w:tcW w:w="4394" w:type="dxa"/>
            <w:noWrap w:val="0"/>
            <w:vAlign w:val="top"/>
          </w:tcPr>
          <w:p>
            <w:pPr>
              <w:pStyle w:val="10"/>
              <w:ind w:firstLine="0" w:firstLineChars="0"/>
              <w:jc w:val="center"/>
              <w:rPr>
                <w:szCs w:val="21"/>
              </w:rPr>
            </w:pPr>
            <w:r>
              <w:rPr>
                <w:szCs w:val="21"/>
              </w:rPr>
              <w:t>降低60%</w:t>
            </w:r>
          </w:p>
        </w:tc>
        <w:tc>
          <w:tcPr>
            <w:tcW w:w="1559" w:type="dxa"/>
            <w:noWrap w:val="0"/>
            <w:vAlign w:val="top"/>
          </w:tcPr>
          <w:p>
            <w:pPr>
              <w:pStyle w:val="10"/>
              <w:ind w:firstLine="0" w:firstLineChars="0"/>
              <w:jc w:val="center"/>
              <w:rPr>
                <w:szCs w:val="21"/>
              </w:rPr>
            </w:pPr>
            <w:r>
              <w:rPr>
                <w:szCs w:val="21"/>
              </w:rPr>
              <w:t>20</w:t>
            </w:r>
          </w:p>
        </w:tc>
        <w:tc>
          <w:tcPr>
            <w:tcW w:w="1276" w:type="dxa"/>
            <w:noWrap w:val="0"/>
            <w:vAlign w:val="top"/>
          </w:tcPr>
          <w:p>
            <w:pPr>
              <w:pStyle w:val="10"/>
              <w:ind w:firstLine="0" w:firstLineChars="0"/>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62" w:type="dxa"/>
            <w:noWrap w:val="0"/>
            <w:vAlign w:val="top"/>
          </w:tcPr>
          <w:p>
            <w:pPr>
              <w:pStyle w:val="10"/>
              <w:ind w:firstLine="0" w:firstLineChars="0"/>
              <w:jc w:val="center"/>
              <w:rPr>
                <w:szCs w:val="21"/>
              </w:rPr>
            </w:pPr>
            <w:r>
              <w:rPr>
                <w:szCs w:val="21"/>
              </w:rPr>
              <w:t>4</w:t>
            </w:r>
          </w:p>
        </w:tc>
        <w:tc>
          <w:tcPr>
            <w:tcW w:w="4394" w:type="dxa"/>
            <w:noWrap w:val="0"/>
            <w:vAlign w:val="top"/>
          </w:tcPr>
          <w:p>
            <w:pPr>
              <w:pStyle w:val="10"/>
              <w:ind w:firstLine="0" w:firstLineChars="0"/>
              <w:jc w:val="center"/>
              <w:rPr>
                <w:szCs w:val="21"/>
              </w:rPr>
            </w:pPr>
            <w:r>
              <w:rPr>
                <w:szCs w:val="21"/>
              </w:rPr>
              <w:t>降低70%</w:t>
            </w:r>
          </w:p>
        </w:tc>
        <w:tc>
          <w:tcPr>
            <w:tcW w:w="1559" w:type="dxa"/>
            <w:noWrap w:val="0"/>
            <w:vAlign w:val="top"/>
          </w:tcPr>
          <w:p>
            <w:pPr>
              <w:pStyle w:val="10"/>
              <w:ind w:firstLine="0" w:firstLineChars="0"/>
              <w:jc w:val="center"/>
              <w:rPr>
                <w:szCs w:val="21"/>
              </w:rPr>
            </w:pPr>
            <w:r>
              <w:rPr>
                <w:szCs w:val="21"/>
              </w:rPr>
              <w:t>25</w:t>
            </w:r>
          </w:p>
        </w:tc>
        <w:tc>
          <w:tcPr>
            <w:tcW w:w="1276" w:type="dxa"/>
            <w:noWrap w:val="0"/>
            <w:vAlign w:val="top"/>
          </w:tcPr>
          <w:p>
            <w:pPr>
              <w:pStyle w:val="10"/>
              <w:ind w:firstLine="0" w:firstLineChars="0"/>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62" w:type="dxa"/>
            <w:noWrap w:val="0"/>
            <w:vAlign w:val="top"/>
          </w:tcPr>
          <w:p>
            <w:pPr>
              <w:pStyle w:val="10"/>
              <w:ind w:firstLine="0" w:firstLineChars="0"/>
              <w:jc w:val="center"/>
              <w:rPr>
                <w:szCs w:val="21"/>
              </w:rPr>
            </w:pPr>
            <w:r>
              <w:rPr>
                <w:szCs w:val="21"/>
              </w:rPr>
              <w:t>5</w:t>
            </w:r>
          </w:p>
        </w:tc>
        <w:tc>
          <w:tcPr>
            <w:tcW w:w="4394" w:type="dxa"/>
            <w:noWrap w:val="0"/>
            <w:vAlign w:val="top"/>
          </w:tcPr>
          <w:p>
            <w:pPr>
              <w:pStyle w:val="10"/>
              <w:ind w:firstLine="0" w:firstLineChars="0"/>
              <w:jc w:val="center"/>
              <w:rPr>
                <w:szCs w:val="21"/>
              </w:rPr>
            </w:pPr>
            <w:r>
              <w:rPr>
                <w:szCs w:val="21"/>
              </w:rPr>
              <w:t>降低80%</w:t>
            </w:r>
          </w:p>
        </w:tc>
        <w:tc>
          <w:tcPr>
            <w:tcW w:w="1559" w:type="dxa"/>
            <w:noWrap w:val="0"/>
            <w:vAlign w:val="top"/>
          </w:tcPr>
          <w:p>
            <w:pPr>
              <w:pStyle w:val="10"/>
              <w:ind w:firstLine="0" w:firstLineChars="0"/>
              <w:jc w:val="center"/>
              <w:rPr>
                <w:szCs w:val="21"/>
              </w:rPr>
            </w:pPr>
            <w:r>
              <w:rPr>
                <w:szCs w:val="21"/>
              </w:rPr>
              <w:t>30</w:t>
            </w:r>
          </w:p>
        </w:tc>
        <w:tc>
          <w:tcPr>
            <w:tcW w:w="1276" w:type="dxa"/>
            <w:noWrap w:val="0"/>
            <w:vAlign w:val="top"/>
          </w:tcPr>
          <w:p>
            <w:pPr>
              <w:pStyle w:val="10"/>
              <w:ind w:firstLine="0" w:firstLineChars="0"/>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156" w:type="dxa"/>
            <w:gridSpan w:val="2"/>
            <w:noWrap w:val="0"/>
            <w:vAlign w:val="top"/>
          </w:tcPr>
          <w:p>
            <w:pPr>
              <w:pStyle w:val="10"/>
              <w:ind w:firstLine="0" w:firstLineChars="0"/>
              <w:jc w:val="center"/>
              <w:rPr>
                <w:szCs w:val="21"/>
              </w:rPr>
            </w:pPr>
            <w:r>
              <w:rPr>
                <w:szCs w:val="21"/>
              </w:rPr>
              <w:t>合计</w:t>
            </w:r>
          </w:p>
        </w:tc>
        <w:tc>
          <w:tcPr>
            <w:tcW w:w="1559" w:type="dxa"/>
            <w:noWrap w:val="0"/>
            <w:vAlign w:val="top"/>
          </w:tcPr>
          <w:p>
            <w:pPr>
              <w:pStyle w:val="10"/>
              <w:ind w:firstLine="0" w:firstLineChars="0"/>
              <w:jc w:val="center"/>
              <w:rPr>
                <w:szCs w:val="21"/>
              </w:rPr>
            </w:pPr>
            <w:r>
              <w:rPr>
                <w:szCs w:val="21"/>
              </w:rPr>
              <w:t>30</w:t>
            </w:r>
          </w:p>
        </w:tc>
        <w:tc>
          <w:tcPr>
            <w:tcW w:w="1276" w:type="dxa"/>
            <w:noWrap w:val="0"/>
            <w:vAlign w:val="top"/>
          </w:tcPr>
          <w:p>
            <w:pPr>
              <w:pStyle w:val="10"/>
              <w:ind w:firstLine="0" w:firstLineChars="0"/>
              <w:jc w:val="center"/>
              <w:rPr>
                <w:szCs w:val="21"/>
              </w:rPr>
            </w:pPr>
            <w:r>
              <w:rPr>
                <w:rFonts w:hint="eastAsia"/>
                <w:kern w:val="0"/>
                <w:szCs w:val="21"/>
              </w:rPr>
              <w:t xml:space="preserve">  </w:t>
            </w:r>
          </w:p>
        </w:tc>
      </w:tr>
    </w:tbl>
    <w:p>
      <w:pPr>
        <w:spacing w:before="156" w:beforeLines="50" w:after="156" w:afterLines="50"/>
        <w:rPr>
          <w:rFonts w:ascii="Times New Roman" w:hAnsi="Times New Roman"/>
          <w:b/>
          <w:szCs w:val="21"/>
        </w:rPr>
      </w:pPr>
      <w:bookmarkStart w:id="282" w:name="_Toc9944816"/>
      <w:bookmarkStart w:id="283" w:name="_Toc9945096"/>
      <w:bookmarkStart w:id="284" w:name="_Toc9945240"/>
      <w:bookmarkStart w:id="285" w:name="_Toc9945382"/>
      <w:bookmarkStart w:id="286" w:name="_Toc9945523"/>
      <w:r>
        <w:rPr>
          <w:rFonts w:ascii="Times New Roman" w:hAnsi="Times New Roman"/>
          <w:b/>
          <w:szCs w:val="21"/>
        </w:rPr>
        <w:t>2 评价要点</w:t>
      </w:r>
    </w:p>
    <w:p>
      <w:r>
        <w:rPr>
          <w:rFonts w:hint="eastAsia"/>
        </w:rPr>
        <w:t>建筑所处城市</w:t>
      </w:r>
      <w:r>
        <w:rPr>
          <w:rFonts w:hint="eastAsia" w:ascii="宋体" w:hAnsi="宋体"/>
          <w:u w:val="single"/>
        </w:rPr>
        <w:t xml:space="preserve"> </w:t>
      </w:r>
      <w:r>
        <w:rPr>
          <w:rFonts w:ascii="宋体" w:hAnsi="宋体"/>
          <w:u w:val="single"/>
        </w:rPr>
        <w:t xml:space="preserve">    </w:t>
      </w:r>
      <w:r>
        <w:rPr>
          <w:rFonts w:hint="eastAsia"/>
        </w:rPr>
        <w:t>；建筑热工气候分区：</w:t>
      </w:r>
      <w:r>
        <w:rPr>
          <w:rFonts w:hint="eastAsia" w:ascii="宋体" w:hAnsi="宋体"/>
          <w:u w:val="single"/>
        </w:rPr>
        <w:t xml:space="preserve">   </w:t>
      </w:r>
      <w:r>
        <w:rPr>
          <w:rFonts w:hint="eastAsia"/>
        </w:rPr>
        <w:t>；</w:t>
      </w:r>
    </w:p>
    <w:p>
      <w:pPr>
        <w:rPr>
          <w:u w:val="single"/>
        </w:rPr>
      </w:pPr>
      <w:r>
        <w:rPr>
          <w:rFonts w:hint="eastAsia"/>
        </w:rPr>
        <w:t>执行的建筑节能标准：</w:t>
      </w:r>
      <w:r>
        <w:rPr>
          <w:rFonts w:hint="eastAsia" w:ascii="宋体" w:hAnsi="宋体"/>
          <w:u w:val="single"/>
        </w:rPr>
        <w:t xml:space="preserve">   </w:t>
      </w:r>
      <w:r>
        <w:rPr>
          <w:rFonts w:ascii="宋体" w:hAnsi="宋体"/>
          <w:u w:val="single"/>
        </w:rPr>
        <w:t xml:space="preserve">  </w:t>
      </w:r>
    </w:p>
    <w:bookmarkEnd w:id="282"/>
    <w:bookmarkEnd w:id="283"/>
    <w:bookmarkEnd w:id="284"/>
    <w:bookmarkEnd w:id="285"/>
    <w:bookmarkEnd w:id="286"/>
    <w:p>
      <w:pPr>
        <w:jc w:val="left"/>
        <w:rPr>
          <w:color w:val="FF0000"/>
        </w:rPr>
      </w:pPr>
      <w:r>
        <w:rPr>
          <w:rFonts w:hint="eastAsia"/>
        </w:rPr>
        <w:t>供暖空调全年能耗分析：</w:t>
      </w:r>
    </w:p>
    <w:tbl>
      <w:tblPr>
        <w:tblStyle w:val="7"/>
        <w:tblW w:w="8042" w:type="dxa"/>
        <w:jc w:val="center"/>
        <w:tblLayout w:type="fixed"/>
        <w:tblCellMar>
          <w:top w:w="0" w:type="dxa"/>
          <w:left w:w="108" w:type="dxa"/>
          <w:bottom w:w="0" w:type="dxa"/>
          <w:right w:w="108" w:type="dxa"/>
        </w:tblCellMar>
      </w:tblPr>
      <w:tblGrid>
        <w:gridCol w:w="2320"/>
        <w:gridCol w:w="1569"/>
        <w:gridCol w:w="2358"/>
        <w:gridCol w:w="1795"/>
      </w:tblGrid>
      <w:tr>
        <w:tblPrEx>
          <w:tblCellMar>
            <w:top w:w="0" w:type="dxa"/>
            <w:left w:w="108" w:type="dxa"/>
            <w:bottom w:w="0" w:type="dxa"/>
            <w:right w:w="108" w:type="dxa"/>
          </w:tblCellMar>
        </w:tblPrEx>
        <w:trPr>
          <w:wBefore w:w="0" w:type="dxa"/>
          <w:cantSplit/>
          <w:trHeight w:val="285" w:hRule="atLeast"/>
          <w:jc w:val="center"/>
        </w:trPr>
        <w:tc>
          <w:tcPr>
            <w:tcW w:w="2320"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用能类别</w:t>
            </w:r>
          </w:p>
        </w:tc>
        <w:tc>
          <w:tcPr>
            <w:tcW w:w="1569" w:type="dxa"/>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单位</w:t>
            </w:r>
          </w:p>
        </w:tc>
        <w:tc>
          <w:tcPr>
            <w:tcW w:w="2358" w:type="dxa"/>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参照建筑（限值）</w:t>
            </w:r>
          </w:p>
        </w:tc>
        <w:tc>
          <w:tcPr>
            <w:tcW w:w="1795" w:type="dxa"/>
            <w:tcBorders>
              <w:top w:val="single" w:color="auto" w:sz="8" w:space="0"/>
              <w:left w:val="nil"/>
              <w:bottom w:val="single" w:color="auto" w:sz="4" w:space="0"/>
              <w:right w:val="single" w:color="auto" w:sz="8"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实际建筑</w:t>
            </w:r>
          </w:p>
        </w:tc>
      </w:tr>
      <w:tr>
        <w:tblPrEx>
          <w:tblCellMar>
            <w:top w:w="0" w:type="dxa"/>
            <w:left w:w="108" w:type="dxa"/>
            <w:bottom w:w="0" w:type="dxa"/>
            <w:right w:w="108" w:type="dxa"/>
          </w:tblCellMar>
        </w:tblPrEx>
        <w:trPr>
          <w:wBefore w:w="0" w:type="dxa"/>
          <w:cantSplit/>
          <w:trHeight w:val="285" w:hRule="atLeast"/>
          <w:jc w:val="center"/>
        </w:trPr>
        <w:tc>
          <w:tcPr>
            <w:tcW w:w="2320"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供暖</w:t>
            </w:r>
          </w:p>
        </w:tc>
        <w:tc>
          <w:tcPr>
            <w:tcW w:w="1569"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kWh</w:t>
            </w:r>
          </w:p>
        </w:tc>
        <w:tc>
          <w:tcPr>
            <w:tcW w:w="2358" w:type="dxa"/>
            <w:tcBorders>
              <w:top w:val="nil"/>
              <w:left w:val="nil"/>
              <w:bottom w:val="single" w:color="auto" w:sz="4" w:space="0"/>
              <w:right w:val="single" w:color="auto" w:sz="4" w:space="0"/>
            </w:tcBorders>
            <w:noWrap w:val="0"/>
            <w:vAlign w:val="top"/>
          </w:tcPr>
          <w:p>
            <w:pPr>
              <w:widowControl/>
              <w:jc w:val="center"/>
              <w:rPr>
                <w:rFonts w:ascii="Times New Roman" w:hAnsi="Times New Roman"/>
                <w:kern w:val="0"/>
                <w:szCs w:val="21"/>
              </w:rPr>
            </w:pPr>
            <w:r>
              <w:rPr>
                <w:rFonts w:hint="eastAsia"/>
                <w:szCs w:val="21"/>
              </w:rPr>
              <w:t xml:space="preserve">  </w:t>
            </w:r>
          </w:p>
        </w:tc>
        <w:tc>
          <w:tcPr>
            <w:tcW w:w="1795" w:type="dxa"/>
            <w:tcBorders>
              <w:top w:val="nil"/>
              <w:left w:val="nil"/>
              <w:bottom w:val="single" w:color="auto" w:sz="4" w:space="0"/>
              <w:right w:val="single" w:color="auto" w:sz="8" w:space="0"/>
            </w:tcBorders>
            <w:noWrap w:val="0"/>
            <w:vAlign w:val="top"/>
          </w:tcPr>
          <w:p>
            <w:pPr>
              <w:widowControl/>
              <w:jc w:val="center"/>
              <w:rPr>
                <w:rFonts w:ascii="Times New Roman" w:hAnsi="Times New Roman"/>
                <w:kern w:val="0"/>
                <w:szCs w:val="21"/>
              </w:rPr>
            </w:pPr>
            <w:r>
              <w:rPr>
                <w:rFonts w:hint="eastAsia"/>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2320"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供冷</w:t>
            </w:r>
          </w:p>
        </w:tc>
        <w:tc>
          <w:tcPr>
            <w:tcW w:w="1569"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kWh</w:t>
            </w:r>
          </w:p>
        </w:tc>
        <w:tc>
          <w:tcPr>
            <w:tcW w:w="2358" w:type="dxa"/>
            <w:tcBorders>
              <w:top w:val="nil"/>
              <w:left w:val="nil"/>
              <w:bottom w:val="single" w:color="auto" w:sz="4" w:space="0"/>
              <w:right w:val="single" w:color="auto" w:sz="4" w:space="0"/>
            </w:tcBorders>
            <w:noWrap w:val="0"/>
            <w:vAlign w:val="top"/>
          </w:tcPr>
          <w:p>
            <w:pPr>
              <w:jc w:val="center"/>
              <w:rPr>
                <w:rFonts w:ascii="Times New Roman" w:hAnsi="Times New Roman"/>
                <w:szCs w:val="21"/>
              </w:rPr>
            </w:pPr>
            <w:r>
              <w:rPr>
                <w:rFonts w:hint="eastAsia"/>
                <w:szCs w:val="21"/>
              </w:rPr>
              <w:t xml:space="preserve">  </w:t>
            </w:r>
          </w:p>
        </w:tc>
        <w:tc>
          <w:tcPr>
            <w:tcW w:w="1795" w:type="dxa"/>
            <w:tcBorders>
              <w:top w:val="nil"/>
              <w:left w:val="nil"/>
              <w:bottom w:val="single" w:color="auto" w:sz="4" w:space="0"/>
              <w:right w:val="single" w:color="auto" w:sz="8" w:space="0"/>
            </w:tcBorders>
            <w:noWrap w:val="0"/>
            <w:vAlign w:val="top"/>
          </w:tcPr>
          <w:p>
            <w:pPr>
              <w:jc w:val="center"/>
              <w:rPr>
                <w:rFonts w:ascii="Times New Roman" w:hAnsi="Times New Roman"/>
                <w:szCs w:val="21"/>
              </w:rPr>
            </w:pPr>
            <w:r>
              <w:rPr>
                <w:rFonts w:hint="eastAsia"/>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2320"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风机</w:t>
            </w:r>
          </w:p>
        </w:tc>
        <w:tc>
          <w:tcPr>
            <w:tcW w:w="1569"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kWh</w:t>
            </w:r>
          </w:p>
        </w:tc>
        <w:tc>
          <w:tcPr>
            <w:tcW w:w="2358" w:type="dxa"/>
            <w:tcBorders>
              <w:top w:val="nil"/>
              <w:left w:val="nil"/>
              <w:bottom w:val="single" w:color="auto" w:sz="4" w:space="0"/>
              <w:right w:val="single" w:color="auto" w:sz="4" w:space="0"/>
            </w:tcBorders>
            <w:noWrap w:val="0"/>
            <w:vAlign w:val="top"/>
          </w:tcPr>
          <w:p>
            <w:pPr>
              <w:jc w:val="center"/>
              <w:rPr>
                <w:rFonts w:ascii="Times New Roman" w:hAnsi="Times New Roman"/>
                <w:szCs w:val="21"/>
              </w:rPr>
            </w:pPr>
            <w:r>
              <w:rPr>
                <w:rFonts w:hint="eastAsia"/>
                <w:szCs w:val="21"/>
              </w:rPr>
              <w:t xml:space="preserve">  </w:t>
            </w:r>
          </w:p>
        </w:tc>
        <w:tc>
          <w:tcPr>
            <w:tcW w:w="1795" w:type="dxa"/>
            <w:tcBorders>
              <w:top w:val="nil"/>
              <w:left w:val="nil"/>
              <w:bottom w:val="single" w:color="auto" w:sz="4" w:space="0"/>
              <w:right w:val="single" w:color="auto" w:sz="8" w:space="0"/>
            </w:tcBorders>
            <w:noWrap w:val="0"/>
            <w:vAlign w:val="top"/>
          </w:tcPr>
          <w:p>
            <w:pPr>
              <w:jc w:val="center"/>
              <w:rPr>
                <w:rFonts w:ascii="Times New Roman" w:hAnsi="Times New Roman"/>
                <w:szCs w:val="21"/>
              </w:rPr>
            </w:pPr>
            <w:r>
              <w:rPr>
                <w:rFonts w:hint="eastAsia"/>
                <w:szCs w:val="21"/>
              </w:rPr>
              <w:t xml:space="preserve">  </w:t>
            </w:r>
          </w:p>
        </w:tc>
      </w:tr>
      <w:tr>
        <w:tblPrEx>
          <w:tblCellMar>
            <w:top w:w="0" w:type="dxa"/>
            <w:left w:w="108" w:type="dxa"/>
            <w:bottom w:w="0" w:type="dxa"/>
            <w:right w:w="108" w:type="dxa"/>
          </w:tblCellMar>
        </w:tblPrEx>
        <w:trPr>
          <w:wBefore w:w="0" w:type="dxa"/>
          <w:cantSplit/>
          <w:trHeight w:val="285" w:hRule="atLeast"/>
          <w:jc w:val="center"/>
        </w:trPr>
        <w:tc>
          <w:tcPr>
            <w:tcW w:w="2320"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总能耗</w:t>
            </w:r>
          </w:p>
        </w:tc>
        <w:tc>
          <w:tcPr>
            <w:tcW w:w="1569"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kWh</w:t>
            </w:r>
          </w:p>
        </w:tc>
        <w:tc>
          <w:tcPr>
            <w:tcW w:w="2358" w:type="dxa"/>
            <w:tcBorders>
              <w:top w:val="nil"/>
              <w:left w:val="nil"/>
              <w:bottom w:val="single" w:color="auto" w:sz="4" w:space="0"/>
              <w:right w:val="single" w:color="auto" w:sz="4" w:space="0"/>
            </w:tcBorders>
            <w:noWrap w:val="0"/>
            <w:vAlign w:val="top"/>
          </w:tcPr>
          <w:p>
            <w:pPr>
              <w:jc w:val="center"/>
              <w:rPr>
                <w:rFonts w:ascii="Times New Roman" w:hAnsi="Times New Roman"/>
                <w:szCs w:val="21"/>
              </w:rPr>
            </w:pPr>
            <w:r>
              <w:rPr>
                <w:rFonts w:hint="eastAsia"/>
                <w:szCs w:val="21"/>
              </w:rPr>
              <w:t xml:space="preserve">  </w:t>
            </w:r>
          </w:p>
        </w:tc>
        <w:tc>
          <w:tcPr>
            <w:tcW w:w="1795" w:type="dxa"/>
            <w:tcBorders>
              <w:top w:val="nil"/>
              <w:left w:val="nil"/>
              <w:bottom w:val="single" w:color="auto" w:sz="4" w:space="0"/>
              <w:right w:val="single" w:color="auto" w:sz="8" w:space="0"/>
            </w:tcBorders>
            <w:noWrap w:val="0"/>
            <w:vAlign w:val="top"/>
          </w:tcPr>
          <w:p>
            <w:pPr>
              <w:jc w:val="center"/>
              <w:rPr>
                <w:rFonts w:ascii="Times New Roman" w:hAnsi="Times New Roman"/>
                <w:szCs w:val="21"/>
              </w:rPr>
            </w:pPr>
            <w:r>
              <w:rPr>
                <w:rFonts w:hint="eastAsia"/>
                <w:szCs w:val="21"/>
              </w:rPr>
              <w:t xml:space="preserve">  </w:t>
            </w:r>
          </w:p>
        </w:tc>
      </w:tr>
      <w:tr>
        <w:tblPrEx>
          <w:tblCellMar>
            <w:top w:w="0" w:type="dxa"/>
            <w:left w:w="108" w:type="dxa"/>
            <w:bottom w:w="0" w:type="dxa"/>
            <w:right w:w="108" w:type="dxa"/>
          </w:tblCellMar>
        </w:tblPrEx>
        <w:trPr>
          <w:wBefore w:w="0" w:type="dxa"/>
          <w:cantSplit/>
          <w:trHeight w:val="300" w:hRule="atLeast"/>
          <w:jc w:val="center"/>
        </w:trPr>
        <w:tc>
          <w:tcPr>
            <w:tcW w:w="2320" w:type="dxa"/>
            <w:tcBorders>
              <w:top w:val="nil"/>
              <w:left w:val="single" w:color="auto" w:sz="8" w:space="0"/>
              <w:bottom w:val="single" w:color="auto" w:sz="8" w:space="0"/>
              <w:right w:val="single" w:color="auto" w:sz="4" w:space="0"/>
            </w:tcBorders>
            <w:noWrap w:val="0"/>
            <w:vAlign w:val="center"/>
          </w:tcPr>
          <w:p>
            <w:pPr>
              <w:widowControl/>
              <w:jc w:val="center"/>
              <w:rPr>
                <w:rFonts w:ascii="Times New Roman" w:hAnsi="Times New Roman"/>
                <w:kern w:val="0"/>
                <w:szCs w:val="21"/>
              </w:rPr>
            </w:pPr>
            <w:r>
              <w:rPr>
                <w:rFonts w:ascii="Times New Roman" w:hAnsi="Times New Roman"/>
                <w:kern w:val="0"/>
                <w:szCs w:val="21"/>
              </w:rPr>
              <w:t>能耗降低幅度</w:t>
            </w:r>
          </w:p>
        </w:tc>
        <w:tc>
          <w:tcPr>
            <w:tcW w:w="1569" w:type="dxa"/>
            <w:tcBorders>
              <w:top w:val="nil"/>
              <w:left w:val="nil"/>
              <w:bottom w:val="single" w:color="auto" w:sz="8" w:space="0"/>
              <w:right w:val="single" w:color="auto" w:sz="4" w:space="0"/>
            </w:tcBorders>
            <w:noWrap w:val="0"/>
            <w:vAlign w:val="center"/>
          </w:tcPr>
          <w:p>
            <w:pPr>
              <w:widowControl/>
              <w:jc w:val="center"/>
              <w:rPr>
                <w:rFonts w:ascii="Times New Roman" w:hAnsi="Times New Roman"/>
                <w:kern w:val="0"/>
                <w:szCs w:val="21"/>
              </w:rPr>
            </w:pPr>
            <w:r>
              <w:rPr>
                <w:rFonts w:hint="eastAsia" w:ascii="Times New Roman" w:hAnsi="Times New Roman"/>
                <w:kern w:val="0"/>
                <w:szCs w:val="21"/>
              </w:rPr>
              <w:t>%</w:t>
            </w:r>
          </w:p>
        </w:tc>
        <w:tc>
          <w:tcPr>
            <w:tcW w:w="4153" w:type="dxa"/>
            <w:gridSpan w:val="2"/>
            <w:tcBorders>
              <w:top w:val="nil"/>
              <w:left w:val="nil"/>
              <w:bottom w:val="single" w:color="auto" w:sz="8" w:space="0"/>
              <w:right w:val="single" w:color="auto" w:sz="8" w:space="0"/>
            </w:tcBorders>
            <w:noWrap w:val="0"/>
            <w:vAlign w:val="center"/>
          </w:tcPr>
          <w:p>
            <w:pPr>
              <w:pStyle w:val="11"/>
              <w:spacing w:line="288" w:lineRule="auto"/>
              <w:ind w:firstLine="360"/>
              <w:jc w:val="center"/>
              <w:outlineLvl w:val="9"/>
              <w:rPr>
                <w:sz w:val="21"/>
                <w:szCs w:val="21"/>
              </w:rPr>
            </w:pPr>
            <w:r>
              <w:rPr>
                <w:rFonts w:hint="eastAsia"/>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pStyle w:val="10"/>
        <w:spacing w:line="240" w:lineRule="auto"/>
        <w:ind w:firstLine="0" w:firstLineChars="0"/>
      </w:pPr>
      <w:r>
        <w:rPr>
          <w:rFonts w:hint="eastAsia"/>
          <w:szCs w:val="21"/>
        </w:rPr>
        <w:t>1）暖通竣工图及设计说明、应</w:t>
      </w:r>
      <w:r>
        <w:rPr>
          <w:szCs w:val="21"/>
        </w:rPr>
        <w:t>包含设备材料表</w:t>
      </w:r>
      <w:r>
        <w:rPr>
          <w:rFonts w:hint="eastAsia" w:cs="宋体"/>
          <w:szCs w:val="21"/>
        </w:rPr>
        <w:t>；</w:t>
      </w:r>
    </w:p>
    <w:p>
      <w:pPr>
        <w:pStyle w:val="10"/>
        <w:spacing w:line="240" w:lineRule="auto"/>
        <w:ind w:firstLine="0" w:firstLineChars="0"/>
        <w:rPr>
          <w:rFonts w:cs="宋体"/>
        </w:rPr>
      </w:pPr>
      <w:r>
        <w:rPr>
          <w:rFonts w:hint="eastAsia"/>
          <w:szCs w:val="21"/>
        </w:rPr>
        <w:t>2）供暖空调系统能耗节能率分析报告</w:t>
      </w:r>
      <w:r>
        <w:rPr>
          <w:rFonts w:hint="eastAsia" w:cs="宋体"/>
          <w:szCs w:val="21"/>
        </w:rPr>
        <w:t>；</w:t>
      </w:r>
    </w:p>
    <w:p>
      <w:pPr>
        <w:pStyle w:val="10"/>
        <w:ind w:firstLine="0" w:firstLineChars="0"/>
        <w:rPr>
          <w:szCs w:val="21"/>
        </w:rPr>
      </w:pPr>
      <w:r>
        <w:rPr>
          <w:rFonts w:hint="eastAsia"/>
          <w:szCs w:val="21"/>
        </w:rPr>
        <w:t>3）节能计算书。</w:t>
      </w:r>
    </w:p>
    <w:p>
      <w:pPr>
        <w:pStyle w:val="10"/>
        <w:ind w:firstLine="0" w:firstLineChars="0"/>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bookmarkStart w:id="287" w:name="_GoBack"/>
            <w:bookmarkEnd w:id="287"/>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9.2.2 采用适宜</w:t>
      </w:r>
      <w:r>
        <w:rPr>
          <w:sz w:val="24"/>
          <w:szCs w:val="40"/>
        </w:rPr>
        <w:t>地区特色的建筑风貌设计，因地制宜传承地域建筑文化。</w:t>
      </w:r>
      <w:r>
        <w:rPr>
          <w:rFonts w:hint="eastAsia"/>
          <w:sz w:val="24"/>
          <w:szCs w:val="40"/>
        </w:rPr>
        <w:t>（</w:t>
      </w:r>
      <w:r>
        <w:rPr>
          <w:sz w:val="24"/>
          <w:szCs w:val="40"/>
        </w:rPr>
        <w:t>20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center"/>
              <w:rPr>
                <w:rFonts w:ascii="Times New Roman" w:hAnsi="Times New Roman"/>
                <w:szCs w:val="21"/>
              </w:rPr>
            </w:pPr>
            <w:r>
              <w:rPr>
                <w:rFonts w:ascii="Times New Roman" w:hAnsi="Times New Roman"/>
                <w:color w:val="000000"/>
                <w:kern w:val="0"/>
                <w:szCs w:val="21"/>
              </w:rPr>
              <w:t>因地制宜传承地域建筑文化</w:t>
            </w:r>
          </w:p>
        </w:tc>
        <w:tc>
          <w:tcPr>
            <w:tcW w:w="984" w:type="pct"/>
            <w:noWrap w:val="0"/>
            <w:vAlign w:val="center"/>
          </w:tcPr>
          <w:p>
            <w:pPr>
              <w:jc w:val="center"/>
              <w:rPr>
                <w:rFonts w:ascii="Times New Roman" w:hAnsi="Times New Roman"/>
                <w:szCs w:val="21"/>
              </w:rPr>
            </w:pPr>
            <w:r>
              <w:rPr>
                <w:rFonts w:ascii="Times New Roman" w:hAnsi="Times New Roman"/>
                <w:bCs/>
                <w:lang w:val="zh-CN"/>
              </w:rPr>
              <w:t>20</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rPr>
          <w:rFonts w:ascii="宋体" w:hAnsi="宋体"/>
          <w:kern w:val="0"/>
          <w:szCs w:val="21"/>
        </w:rPr>
      </w:pPr>
      <w:r>
        <w:rPr>
          <w:rFonts w:hint="eastAsia" w:ascii="宋体" w:hAnsi="宋体"/>
          <w:kern w:val="0"/>
          <w:szCs w:val="21"/>
        </w:rPr>
        <w:t>项目所在城市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，该地区建筑风貌特色为</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rPr>
          <w:rFonts w:ascii="Times New Roman" w:hAnsi="Times New Roman"/>
          <w:szCs w:val="21"/>
        </w:rPr>
      </w:pPr>
      <w:r>
        <w:rPr>
          <w:rFonts w:hint="eastAsia" w:ascii="宋体" w:hAnsi="宋体"/>
        </w:rPr>
        <w:t>请</w:t>
      </w:r>
      <w:r>
        <w:rPr>
          <w:rFonts w:ascii="宋体" w:hAnsi="宋体"/>
        </w:rPr>
        <w:t>简要说明项目</w:t>
      </w:r>
      <w:r>
        <w:rPr>
          <w:rFonts w:hint="eastAsia" w:ascii="宋体" w:hAnsi="宋体" w:cs="宋体"/>
          <w:kern w:val="0"/>
          <w:szCs w:val="21"/>
        </w:rPr>
        <w:t>设计如何适宜地区特色的建筑风貌以及传承建筑文化</w:t>
      </w:r>
      <w:r>
        <w:rPr>
          <w:rFonts w:hint="eastAsia" w:ascii="宋体" w:hAnsi="宋体"/>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spacing w:line="288" w:lineRule="auto"/>
        <w:rPr>
          <w:rFonts w:ascii="Times New Roman" w:hAnsi="Times New Roman"/>
        </w:rPr>
      </w:pPr>
      <w:r>
        <w:rPr>
          <w:rFonts w:ascii="Times New Roman" w:hAnsi="Times New Roman"/>
        </w:rPr>
        <w:t>1）建筑</w:t>
      </w:r>
      <w:r>
        <w:rPr>
          <w:rFonts w:hint="eastAsia" w:ascii="Times New Roman" w:hAnsi="Times New Roman"/>
        </w:rPr>
        <w:t>专业</w:t>
      </w:r>
      <w:r>
        <w:rPr>
          <w:rFonts w:ascii="Times New Roman" w:hAnsi="Times New Roman"/>
        </w:rPr>
        <w:t>竣工图及设计说明；</w:t>
      </w:r>
    </w:p>
    <w:p>
      <w:pPr>
        <w:spacing w:line="288" w:lineRule="auto"/>
        <w:rPr>
          <w:rFonts w:ascii="Times New Roman" w:hAnsi="Times New Roman"/>
          <w:szCs w:val="21"/>
        </w:rPr>
      </w:pPr>
      <w:r>
        <w:rPr>
          <w:rFonts w:ascii="Times New Roman" w:hAnsi="Times New Roman"/>
        </w:rPr>
        <w:t>2）方案设计及传承建筑文化的专项论证报告</w:t>
      </w:r>
      <w:r>
        <w:rPr>
          <w:rFonts w:ascii="Times New Roman" w:hAnsi="Times New Roman"/>
          <w:szCs w:val="21"/>
        </w:rPr>
        <w:t>；</w:t>
      </w:r>
    </w:p>
    <w:p>
      <w:pPr>
        <w:spacing w:line="288" w:lineRule="auto"/>
        <w:rPr>
          <w:rFonts w:ascii="Times New Roman" w:hAnsi="Times New Roman"/>
        </w:rPr>
      </w:pPr>
      <w:r>
        <w:rPr>
          <w:rFonts w:ascii="Times New Roman" w:hAnsi="Times New Roman"/>
        </w:rPr>
        <w:t>3）项目实际影像资料。</w:t>
      </w:r>
    </w:p>
    <w:p>
      <w:pPr>
        <w:spacing w:line="288" w:lineRule="auto"/>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9.2.3 合理选用废弃场地进行建设，或充分利尚可使用的旧建筑。（</w:t>
      </w:r>
      <w:r>
        <w:rPr>
          <w:sz w:val="24"/>
          <w:szCs w:val="40"/>
        </w:rPr>
        <w:t>8</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left"/>
              <w:rPr>
                <w:rFonts w:ascii="Times New Roman" w:hAnsi="Times New Roman"/>
                <w:szCs w:val="21"/>
              </w:rPr>
            </w:pPr>
            <w:r>
              <w:rPr>
                <w:rFonts w:ascii="Times New Roman" w:hAnsi="Times New Roman"/>
                <w:kern w:val="0"/>
                <w:szCs w:val="21"/>
              </w:rPr>
              <w:t>合理选用废弃场地进行建设，或充分利尚可使用的旧建筑</w:t>
            </w:r>
          </w:p>
        </w:tc>
        <w:tc>
          <w:tcPr>
            <w:tcW w:w="984" w:type="pct"/>
            <w:noWrap w:val="0"/>
            <w:vAlign w:val="center"/>
          </w:tcPr>
          <w:p>
            <w:pPr>
              <w:jc w:val="center"/>
              <w:rPr>
                <w:rFonts w:ascii="Times New Roman" w:hAnsi="Times New Roman"/>
                <w:szCs w:val="21"/>
              </w:rPr>
            </w:pPr>
            <w:r>
              <w:rPr>
                <w:rFonts w:ascii="Times New Roman" w:hAnsi="Times New Roman"/>
                <w:kern w:val="0"/>
                <w:szCs w:val="21"/>
              </w:rPr>
              <w:t>8</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cs="宋体"/>
          <w:lang w:val="zh-CN"/>
        </w:rPr>
      </w:pPr>
      <w:r>
        <w:rPr>
          <w:rFonts w:hint="eastAsia" w:cs="宋体"/>
          <w:lang w:val="zh-CN"/>
        </w:rPr>
        <w:t>1）项目建设是否利用了废弃场地：</w:t>
      </w:r>
      <w:r>
        <w:rPr>
          <w:rFonts w:hint="eastAsia"/>
          <w:sz w:val="28"/>
        </w:rPr>
        <w:sym w:font="Wingdings 2" w:char="F0A3"/>
      </w:r>
      <w:r>
        <w:rPr>
          <w:rFonts w:hint="eastAsia" w:cs="宋体"/>
          <w:lang w:val="zh-CN"/>
        </w:rPr>
        <w:t>是、</w:t>
      </w:r>
      <w:r>
        <w:rPr>
          <w:rFonts w:hint="eastAsia"/>
          <w:sz w:val="28"/>
        </w:rPr>
        <w:sym w:font="Wingdings 2" w:char="F0A3"/>
      </w:r>
      <w:r>
        <w:rPr>
          <w:rFonts w:hint="eastAsia" w:cs="宋体"/>
          <w:lang w:val="zh-CN"/>
        </w:rPr>
        <w:t>否，如是，废弃场地属于：</w:t>
      </w:r>
      <w:r>
        <w:rPr>
          <w:rFonts w:hint="eastAsia"/>
          <w:sz w:val="28"/>
        </w:rPr>
        <w:sym w:font="Wingdings 2" w:char="F0A3"/>
      </w:r>
      <w:r>
        <w:rPr>
          <w:rFonts w:hint="eastAsia" w:cs="宋体"/>
          <w:lang w:val="zh-CN"/>
        </w:rPr>
        <w:t>不可建设用地、</w:t>
      </w:r>
      <w:r>
        <w:rPr>
          <w:rFonts w:hint="eastAsia"/>
          <w:sz w:val="28"/>
        </w:rPr>
        <w:sym w:font="Wingdings 2" w:char="F0A3"/>
      </w:r>
      <w:r>
        <w:rPr>
          <w:rFonts w:hint="eastAsia" w:cs="宋体"/>
          <w:lang w:val="zh-CN"/>
        </w:rPr>
        <w:t>工厂弃置地、</w:t>
      </w:r>
      <w:r>
        <w:rPr>
          <w:rFonts w:hint="eastAsia"/>
          <w:sz w:val="28"/>
        </w:rPr>
        <w:sym w:font="Wingdings 2" w:char="F0A3"/>
      </w:r>
      <w:r>
        <w:rPr>
          <w:rFonts w:hint="eastAsia" w:cs="宋体"/>
          <w:lang w:val="zh-CN"/>
        </w:rPr>
        <w:t>其他</w:t>
      </w:r>
      <w:r>
        <w:rPr>
          <w:rFonts w:hint="eastAsia" w:cs="宋体"/>
          <w:u w:val="single"/>
          <w:lang w:val="zh-CN"/>
        </w:rPr>
        <w:t xml:space="preserve"> </w:t>
      </w:r>
      <w:r>
        <w:rPr>
          <w:rFonts w:cs="宋体"/>
          <w:u w:val="single"/>
          <w:lang w:val="zh-CN"/>
        </w:rPr>
        <w:t xml:space="preserve">                 </w:t>
      </w:r>
      <w:r>
        <w:rPr>
          <w:rFonts w:hint="eastAsia" w:cs="宋体"/>
          <w:lang w:val="zh-CN"/>
        </w:rPr>
        <w:t>。对原有场地是否进行检测或处理：</w:t>
      </w:r>
      <w:r>
        <w:rPr>
          <w:rFonts w:hint="eastAsia"/>
          <w:sz w:val="28"/>
        </w:rPr>
        <w:sym w:font="Wingdings 2" w:char="F0A3"/>
      </w:r>
      <w:r>
        <w:rPr>
          <w:rFonts w:hint="eastAsia" w:cs="宋体"/>
          <w:lang w:val="zh-CN"/>
        </w:rPr>
        <w:t>是、</w:t>
      </w:r>
      <w:r>
        <w:rPr>
          <w:rFonts w:hint="eastAsia"/>
          <w:sz w:val="28"/>
        </w:rPr>
        <w:sym w:font="Wingdings 2" w:char="F0A3"/>
      </w:r>
      <w:r>
        <w:rPr>
          <w:rFonts w:hint="eastAsia" w:cs="宋体"/>
          <w:lang w:val="zh-CN"/>
        </w:rPr>
        <w:t>否。</w:t>
      </w:r>
    </w:p>
    <w:p>
      <w:pPr>
        <w:rPr>
          <w:rFonts w:cs="宋体"/>
          <w:lang w:val="zh-CN"/>
        </w:rPr>
      </w:pPr>
      <w:r>
        <w:rPr>
          <w:rFonts w:hint="eastAsia" w:cs="宋体"/>
          <w:lang w:val="zh-CN"/>
        </w:rPr>
        <w:t>2）项目建设是否利用了旧建筑：</w:t>
      </w:r>
      <w:r>
        <w:rPr>
          <w:rFonts w:hint="eastAsia"/>
          <w:sz w:val="28"/>
        </w:rPr>
        <w:sym w:font="Wingdings 2" w:char="F0A3"/>
      </w:r>
      <w:r>
        <w:rPr>
          <w:rFonts w:hint="eastAsia" w:cs="宋体"/>
          <w:lang w:val="zh-CN"/>
        </w:rPr>
        <w:t>是、</w:t>
      </w:r>
      <w:r>
        <w:rPr>
          <w:rFonts w:hint="eastAsia"/>
          <w:sz w:val="28"/>
        </w:rPr>
        <w:sym w:font="Wingdings 2" w:char="F0A3"/>
      </w:r>
      <w:r>
        <w:rPr>
          <w:rFonts w:hint="eastAsia" w:cs="宋体"/>
          <w:lang w:val="zh-CN"/>
        </w:rPr>
        <w:t>否，如是，旧建筑利用属于：</w:t>
      </w:r>
      <w:r>
        <w:rPr>
          <w:rFonts w:hint="eastAsia"/>
          <w:sz w:val="28"/>
        </w:rPr>
        <w:sym w:font="Wingdings 2" w:char="F0A3"/>
      </w:r>
      <w:r>
        <w:rPr>
          <w:rFonts w:hint="eastAsia" w:cs="宋体"/>
          <w:lang w:val="zh-CN"/>
        </w:rPr>
        <w:t>翻建、</w:t>
      </w:r>
      <w:r>
        <w:rPr>
          <w:rFonts w:hint="eastAsia"/>
          <w:sz w:val="28"/>
        </w:rPr>
        <w:sym w:font="Wingdings 2" w:char="F0A3"/>
      </w:r>
      <w:r>
        <w:rPr>
          <w:rFonts w:hint="eastAsia" w:cs="宋体"/>
          <w:lang w:val="zh-CN"/>
        </w:rPr>
        <w:t>改建、</w:t>
      </w:r>
      <w:r>
        <w:rPr>
          <w:rFonts w:hint="eastAsia"/>
          <w:sz w:val="28"/>
        </w:rPr>
        <w:sym w:font="Wingdings 2" w:char="F0A3"/>
      </w:r>
      <w:r>
        <w:rPr>
          <w:rFonts w:hint="eastAsia" w:cs="宋体"/>
          <w:lang w:val="zh-CN"/>
        </w:rPr>
        <w:t>扩建。</w:t>
      </w:r>
    </w:p>
    <w:p>
      <w:pPr>
        <w:rPr>
          <w:rFonts w:ascii="Times New Roman" w:hAnsi="Times New Roman"/>
          <w:szCs w:val="21"/>
        </w:rPr>
      </w:pPr>
      <w:r>
        <w:rPr>
          <w:rFonts w:hint="eastAsia" w:cs="宋体"/>
          <w:lang w:val="zh-CN"/>
        </w:rPr>
        <w:t>请简要说明</w:t>
      </w:r>
      <w:r>
        <w:rPr>
          <w:rFonts w:hint="eastAsia" w:cs="宋体"/>
        </w:rPr>
        <w:t>项目建设选用废弃场地或尚可使用的旧建筑的实施情况。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spacing w:line="288" w:lineRule="auto"/>
        <w:rPr>
          <w:rFonts w:cs="宋体"/>
        </w:rPr>
      </w:pPr>
      <w:r>
        <w:rPr>
          <w:rFonts w:hint="eastAsia" w:cs="宋体"/>
        </w:rPr>
        <w:t>1）项目</w:t>
      </w:r>
      <w:r>
        <w:rPr>
          <w:rFonts w:cs="宋体"/>
        </w:rPr>
        <w:t>规划设计总平面图、</w:t>
      </w:r>
      <w:r>
        <w:rPr>
          <w:rFonts w:hint="eastAsia" w:cs="宋体"/>
        </w:rPr>
        <w:t>场地地形图、环评报告表或环境影响自评估报告；</w:t>
      </w:r>
    </w:p>
    <w:p>
      <w:pPr>
        <w:spacing w:line="288" w:lineRule="auto"/>
        <w:rPr>
          <w:rFonts w:cs="宋体"/>
        </w:rPr>
      </w:pPr>
      <w:r>
        <w:rPr>
          <w:rFonts w:hint="eastAsia" w:cs="宋体"/>
        </w:rPr>
        <w:t>2）旧建筑利用专项报告、结构检测报告；</w:t>
      </w:r>
    </w:p>
    <w:p>
      <w:pPr>
        <w:spacing w:line="288" w:lineRule="auto"/>
        <w:rPr>
          <w:rFonts w:cs="宋体"/>
        </w:rPr>
      </w:pPr>
      <w:r>
        <w:rPr>
          <w:rFonts w:hint="eastAsia" w:cs="宋体"/>
        </w:rPr>
        <w:t>3）建筑、</w:t>
      </w:r>
      <w:r>
        <w:rPr>
          <w:rFonts w:cs="宋体"/>
        </w:rPr>
        <w:t>地基、结构专业</w:t>
      </w:r>
      <w:r>
        <w:rPr>
          <w:rFonts w:hint="eastAsia" w:cs="宋体"/>
        </w:rPr>
        <w:t>竣工图及设计说明。</w:t>
      </w:r>
    </w:p>
    <w:p>
      <w:pPr>
        <w:spacing w:line="288" w:lineRule="auto"/>
        <w:rPr>
          <w:rFonts w:cs="宋体"/>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9.2.4 场地</w:t>
      </w:r>
      <w:r>
        <w:rPr>
          <w:sz w:val="24"/>
          <w:szCs w:val="40"/>
        </w:rPr>
        <w:t>率容</w:t>
      </w:r>
      <w:r>
        <w:rPr>
          <w:rFonts w:hint="eastAsia"/>
          <w:sz w:val="24"/>
          <w:szCs w:val="40"/>
        </w:rPr>
        <w:t>绿</w:t>
      </w:r>
      <w:r>
        <w:rPr>
          <w:sz w:val="24"/>
          <w:szCs w:val="40"/>
        </w:rPr>
        <w:t>不低于</w:t>
      </w:r>
      <w:r>
        <w:rPr>
          <w:rFonts w:hint="eastAsia"/>
          <w:sz w:val="24"/>
          <w:szCs w:val="40"/>
        </w:rPr>
        <w:t>3.0。（</w:t>
      </w:r>
      <w:r>
        <w:rPr>
          <w:sz w:val="24"/>
          <w:szCs w:val="40"/>
        </w:rPr>
        <w:t>5</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left"/>
              <w:rPr>
                <w:rFonts w:ascii="Times New Roman" w:hAnsi="Times New Roman"/>
                <w:szCs w:val="21"/>
              </w:rPr>
            </w:pPr>
            <w:r>
              <w:rPr>
                <w:rFonts w:ascii="Times New Roman" w:hAnsi="Times New Roman"/>
                <w:kern w:val="0"/>
                <w:szCs w:val="21"/>
              </w:rPr>
              <w:t>场地绿容率计算值不低于3.0</w:t>
            </w:r>
          </w:p>
        </w:tc>
        <w:tc>
          <w:tcPr>
            <w:tcW w:w="984" w:type="pct"/>
            <w:noWrap w:val="0"/>
            <w:vAlign w:val="center"/>
          </w:tcPr>
          <w:p>
            <w:pPr>
              <w:jc w:val="center"/>
              <w:rPr>
                <w:rFonts w:ascii="Times New Roman" w:hAnsi="Times New Roman"/>
                <w:szCs w:val="21"/>
              </w:rPr>
            </w:pPr>
            <w:r>
              <w:rPr>
                <w:rFonts w:ascii="Times New Roman" w:hAnsi="Times New Roman"/>
                <w:kern w:val="0"/>
                <w:szCs w:val="21"/>
              </w:rPr>
              <w:t>3</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2</w:t>
            </w:r>
          </w:p>
        </w:tc>
        <w:tc>
          <w:tcPr>
            <w:tcW w:w="2727" w:type="pct"/>
            <w:noWrap w:val="0"/>
            <w:vAlign w:val="center"/>
          </w:tcPr>
          <w:p>
            <w:pPr>
              <w:jc w:val="left"/>
              <w:rPr>
                <w:rFonts w:ascii="Times New Roman" w:hAnsi="Times New Roman"/>
                <w:szCs w:val="21"/>
              </w:rPr>
            </w:pPr>
            <w:r>
              <w:rPr>
                <w:rFonts w:ascii="Times New Roman" w:hAnsi="Times New Roman"/>
                <w:kern w:val="0"/>
                <w:szCs w:val="21"/>
              </w:rPr>
              <w:t>场地绿容率实测值不低于3.0</w:t>
            </w:r>
          </w:p>
        </w:tc>
        <w:tc>
          <w:tcPr>
            <w:tcW w:w="984" w:type="pct"/>
            <w:noWrap w:val="0"/>
            <w:vAlign w:val="center"/>
          </w:tcPr>
          <w:p>
            <w:pPr>
              <w:jc w:val="center"/>
              <w:rPr>
                <w:rFonts w:ascii="Times New Roman" w:hAnsi="Times New Roman"/>
                <w:szCs w:val="21"/>
              </w:rPr>
            </w:pPr>
            <w:r>
              <w:rPr>
                <w:rFonts w:ascii="Times New Roman" w:hAnsi="Times New Roman"/>
                <w:kern w:val="0"/>
                <w:szCs w:val="21"/>
              </w:rPr>
              <w:t>5</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3182" w:type="pct"/>
            <w:gridSpan w:val="2"/>
            <w:noWrap w:val="0"/>
            <w:vAlign w:val="center"/>
          </w:tcPr>
          <w:p>
            <w:pPr>
              <w:jc w:val="center"/>
              <w:rPr>
                <w:rFonts w:ascii="Times New Roman" w:hAnsi="Times New Roman"/>
                <w:szCs w:val="21"/>
              </w:rPr>
            </w:pPr>
            <w:r>
              <w:rPr>
                <w:rFonts w:ascii="Times New Roman" w:hAnsi="Times New Roman"/>
                <w:kern w:val="0"/>
              </w:rPr>
              <w:t>合计</w:t>
            </w:r>
          </w:p>
        </w:tc>
        <w:tc>
          <w:tcPr>
            <w:tcW w:w="984" w:type="pct"/>
            <w:noWrap w:val="0"/>
            <w:vAlign w:val="center"/>
          </w:tcPr>
          <w:p>
            <w:pPr>
              <w:jc w:val="center"/>
              <w:rPr>
                <w:rFonts w:ascii="Times New Roman" w:hAnsi="Times New Roman"/>
                <w:szCs w:val="21"/>
              </w:rPr>
            </w:pPr>
            <w:r>
              <w:rPr>
                <w:rFonts w:ascii="Times New Roman" w:hAnsi="Times New Roman"/>
                <w:szCs w:val="21"/>
              </w:rPr>
              <w:t>5</w:t>
            </w:r>
          </w:p>
        </w:tc>
        <w:tc>
          <w:tcPr>
            <w:tcW w:w="834"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rPr>
          <w:szCs w:val="21"/>
          <w:vertAlign w:val="superscript"/>
          <w:lang w:val="zh-CN"/>
        </w:rPr>
      </w:pPr>
      <w:r>
        <w:rPr>
          <w:rFonts w:hint="eastAsia"/>
          <w:szCs w:val="21"/>
          <w:lang w:val="zh-CN"/>
        </w:rPr>
        <w:t>场地乔木</w:t>
      </w:r>
      <w:r>
        <w:rPr>
          <w:szCs w:val="21"/>
          <w:lang w:val="zh-CN"/>
        </w:rPr>
        <w:t>叶面积指数：</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rFonts w:hint="eastAsia"/>
          <w:szCs w:val="21"/>
        </w:rPr>
        <w:t xml:space="preserve">  </w:t>
      </w:r>
      <w:r>
        <w:rPr>
          <w:szCs w:val="21"/>
        </w:rPr>
        <w:t xml:space="preserve">  </w:t>
      </w:r>
      <w:r>
        <w:rPr>
          <w:rFonts w:hint="eastAsia"/>
          <w:szCs w:val="21"/>
          <w:lang w:val="zh-CN"/>
        </w:rPr>
        <w:t>场地乔木投影</w:t>
      </w:r>
      <w:r>
        <w:rPr>
          <w:szCs w:val="21"/>
          <w:lang w:val="zh-CN"/>
        </w:rPr>
        <w:t>面积：</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m</w:t>
      </w:r>
      <w:r>
        <w:rPr>
          <w:szCs w:val="21"/>
          <w:vertAlign w:val="superscript"/>
          <w:lang w:val="zh-CN"/>
        </w:rPr>
        <w:t>2</w:t>
      </w:r>
    </w:p>
    <w:p>
      <w:pPr>
        <w:spacing w:line="288" w:lineRule="auto"/>
        <w:rPr>
          <w:szCs w:val="21"/>
          <w:vertAlign w:val="superscript"/>
          <w:lang w:val="zh-CN"/>
        </w:rPr>
      </w:pPr>
      <w:r>
        <w:rPr>
          <w:rFonts w:hint="eastAsia"/>
          <w:szCs w:val="21"/>
          <w:lang w:val="zh-CN"/>
        </w:rPr>
        <w:t>场地乔木株数</w:t>
      </w:r>
      <w:r>
        <w:rPr>
          <w:szCs w:val="21"/>
          <w:lang w:val="zh-CN"/>
        </w:rPr>
        <w:t>：</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vertAlign w:val="superscript"/>
          <w:lang w:val="zh-CN"/>
        </w:rPr>
        <w:t xml:space="preserve">             </w:t>
      </w:r>
      <w:r>
        <w:rPr>
          <w:rFonts w:hint="eastAsia"/>
          <w:szCs w:val="21"/>
          <w:lang w:val="zh-CN"/>
        </w:rPr>
        <w:t>场地灌木占地</w:t>
      </w:r>
      <w:r>
        <w:rPr>
          <w:szCs w:val="21"/>
          <w:lang w:val="zh-CN"/>
        </w:rPr>
        <w:t>面积：</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m</w:t>
      </w:r>
      <w:r>
        <w:rPr>
          <w:szCs w:val="21"/>
          <w:vertAlign w:val="superscript"/>
          <w:lang w:val="zh-CN"/>
        </w:rPr>
        <w:t>2</w:t>
      </w:r>
    </w:p>
    <w:p>
      <w:pPr>
        <w:spacing w:line="288" w:lineRule="auto"/>
        <w:rPr>
          <w:szCs w:val="21"/>
          <w:vertAlign w:val="superscript"/>
          <w:lang w:val="zh-CN"/>
        </w:rPr>
      </w:pPr>
      <w:r>
        <w:rPr>
          <w:rFonts w:hint="eastAsia"/>
          <w:szCs w:val="21"/>
          <w:lang w:val="zh-CN"/>
        </w:rPr>
        <w:t>草地</w:t>
      </w:r>
      <w:r>
        <w:rPr>
          <w:szCs w:val="21"/>
          <w:lang w:val="zh-CN"/>
        </w:rPr>
        <w:t>面积：</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m</w:t>
      </w:r>
      <w:r>
        <w:rPr>
          <w:szCs w:val="21"/>
          <w:vertAlign w:val="superscript"/>
          <w:lang w:val="zh-CN"/>
        </w:rPr>
        <w:t xml:space="preserve">2                    </w:t>
      </w:r>
      <w:r>
        <w:rPr>
          <w:rFonts w:hint="eastAsia"/>
          <w:szCs w:val="21"/>
          <w:lang w:val="zh-CN"/>
        </w:rPr>
        <w:t>场地面积</w:t>
      </w:r>
      <w:r>
        <w:rPr>
          <w:szCs w:val="21"/>
          <w:lang w:val="zh-CN"/>
        </w:rPr>
        <w:t>：</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m</w:t>
      </w:r>
      <w:r>
        <w:rPr>
          <w:szCs w:val="21"/>
          <w:vertAlign w:val="superscript"/>
          <w:lang w:val="zh-CN"/>
        </w:rPr>
        <w:t>2</w:t>
      </w:r>
    </w:p>
    <w:p>
      <w:pPr>
        <w:spacing w:line="288" w:lineRule="auto"/>
        <w:rPr>
          <w:szCs w:val="21"/>
        </w:rPr>
      </w:pPr>
      <w:r>
        <w:rPr>
          <w:rFonts w:hint="eastAsia" w:ascii="宋体" w:hAnsi="宋体" w:cs="宋体"/>
          <w:kern w:val="0"/>
          <w:szCs w:val="21"/>
        </w:rPr>
        <w:t>场地</w:t>
      </w:r>
      <w:r>
        <w:rPr>
          <w:rFonts w:ascii="宋体" w:hAnsi="宋体" w:cs="宋体"/>
          <w:kern w:val="0"/>
          <w:szCs w:val="21"/>
        </w:rPr>
        <w:t>绿容率</w:t>
      </w:r>
      <w:r>
        <w:rPr>
          <w:szCs w:val="21"/>
          <w:lang w:val="zh-CN"/>
        </w:rPr>
        <w:t>：</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 xml:space="preserve"> </w:t>
      </w:r>
    </w:p>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spacing w:line="288" w:lineRule="auto"/>
      </w:pPr>
      <w:r>
        <w:rPr>
          <w:rFonts w:hint="eastAsia"/>
        </w:rPr>
        <w:t>1）景观专业竣工图及设计说明，</w:t>
      </w:r>
      <w:r>
        <w:t>应包含绿化种植平面图、苗木表等</w:t>
      </w:r>
      <w:r>
        <w:rPr>
          <w:rFonts w:hint="eastAsia"/>
        </w:rPr>
        <w:t>；</w:t>
      </w:r>
    </w:p>
    <w:p>
      <w:pPr>
        <w:spacing w:line="288" w:lineRule="auto"/>
      </w:pPr>
      <w:r>
        <w:rPr>
          <w:rFonts w:hint="eastAsia"/>
        </w:rPr>
        <w:t>2）绿容率计算书或植被叶面积测量报告、当地叶面积调研数据相关证明材料等</w:t>
      </w:r>
      <w:r>
        <w:t>。</w:t>
      </w:r>
    </w:p>
    <w:p>
      <w:pPr>
        <w:spacing w:line="288" w:lineRule="auto"/>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9.2.5 采用符合</w:t>
      </w:r>
      <w:r>
        <w:rPr>
          <w:sz w:val="24"/>
          <w:szCs w:val="40"/>
        </w:rPr>
        <w:t>工业化建造要求的结构体系与建筑构件。</w:t>
      </w:r>
      <w:r>
        <w:rPr>
          <w:rFonts w:hint="eastAsia"/>
          <w:sz w:val="24"/>
          <w:szCs w:val="40"/>
        </w:rPr>
        <w:t>（1</w:t>
      </w:r>
      <w:r>
        <w:rPr>
          <w:sz w:val="24"/>
          <w:szCs w:val="40"/>
        </w:rPr>
        <w:t>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left"/>
              <w:rPr>
                <w:rFonts w:ascii="Times New Roman" w:hAnsi="Times New Roman"/>
                <w:szCs w:val="21"/>
              </w:rPr>
            </w:pPr>
            <w:r>
              <w:rPr>
                <w:rFonts w:ascii="Times New Roman" w:hAnsi="Times New Roman"/>
              </w:rPr>
              <w:t>主体结构采用钢结构、木结构</w:t>
            </w:r>
          </w:p>
        </w:tc>
        <w:tc>
          <w:tcPr>
            <w:tcW w:w="984" w:type="pct"/>
            <w:noWrap w:val="0"/>
            <w:vAlign w:val="center"/>
          </w:tcPr>
          <w:p>
            <w:pPr>
              <w:jc w:val="center"/>
              <w:rPr>
                <w:rFonts w:ascii="Times New Roman" w:hAnsi="Times New Roman"/>
                <w:szCs w:val="21"/>
              </w:rPr>
            </w:pPr>
            <w:r>
              <w:rPr>
                <w:rFonts w:ascii="Times New Roman" w:hAnsi="Times New Roman"/>
                <w:bCs/>
                <w:lang w:val="zh-CN"/>
              </w:rPr>
              <w:t>10</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2</w:t>
            </w:r>
          </w:p>
        </w:tc>
        <w:tc>
          <w:tcPr>
            <w:tcW w:w="2727" w:type="pct"/>
            <w:noWrap w:val="0"/>
            <w:vAlign w:val="center"/>
          </w:tcPr>
          <w:p>
            <w:pPr>
              <w:jc w:val="left"/>
              <w:rPr>
                <w:rFonts w:ascii="Times New Roman" w:hAnsi="Times New Roman"/>
                <w:szCs w:val="21"/>
              </w:rPr>
            </w:pPr>
            <w:r>
              <w:rPr>
                <w:rFonts w:ascii="Times New Roman" w:hAnsi="Times New Roman"/>
              </w:rPr>
              <w:t>主体结构采用装配式混凝土结构，地上部分预制构件应用混凝土体积占混凝土总体积的比例达到35%</w:t>
            </w:r>
          </w:p>
        </w:tc>
        <w:tc>
          <w:tcPr>
            <w:tcW w:w="984" w:type="pct"/>
            <w:noWrap w:val="0"/>
            <w:vAlign w:val="center"/>
          </w:tcPr>
          <w:p>
            <w:pPr>
              <w:jc w:val="center"/>
              <w:rPr>
                <w:rFonts w:ascii="Times New Roman" w:hAnsi="Times New Roman"/>
                <w:szCs w:val="21"/>
              </w:rPr>
            </w:pPr>
            <w:r>
              <w:rPr>
                <w:rFonts w:ascii="Times New Roman" w:hAnsi="Times New Roman"/>
                <w:bCs/>
                <w:lang w:val="zh-CN"/>
              </w:rPr>
              <w:t>5</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3</w:t>
            </w:r>
          </w:p>
        </w:tc>
        <w:tc>
          <w:tcPr>
            <w:tcW w:w="2727" w:type="pct"/>
            <w:noWrap w:val="0"/>
            <w:vAlign w:val="center"/>
          </w:tcPr>
          <w:p>
            <w:pPr>
              <w:jc w:val="left"/>
              <w:rPr>
                <w:rFonts w:ascii="Times New Roman" w:hAnsi="Times New Roman"/>
                <w:szCs w:val="21"/>
              </w:rPr>
            </w:pPr>
            <w:r>
              <w:rPr>
                <w:rFonts w:ascii="Times New Roman" w:hAnsi="Times New Roman"/>
              </w:rPr>
              <w:t>主体结构采用装配式混凝土结构，地上部分预制构件应用混凝土体积占混凝土总体积的比例达到50%</w:t>
            </w:r>
          </w:p>
        </w:tc>
        <w:tc>
          <w:tcPr>
            <w:tcW w:w="984" w:type="pct"/>
            <w:noWrap w:val="0"/>
            <w:vAlign w:val="center"/>
          </w:tcPr>
          <w:p>
            <w:pPr>
              <w:jc w:val="center"/>
              <w:rPr>
                <w:rFonts w:ascii="Times New Roman" w:hAnsi="Times New Roman"/>
                <w:szCs w:val="21"/>
              </w:rPr>
            </w:pPr>
            <w:r>
              <w:rPr>
                <w:rFonts w:ascii="Times New Roman" w:hAnsi="Times New Roman"/>
                <w:bCs/>
                <w:lang w:val="zh-CN"/>
              </w:rPr>
              <w:t>10</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3182" w:type="pct"/>
            <w:gridSpan w:val="2"/>
            <w:noWrap w:val="0"/>
            <w:vAlign w:val="center"/>
          </w:tcPr>
          <w:p>
            <w:pPr>
              <w:jc w:val="center"/>
              <w:rPr>
                <w:rFonts w:ascii="Times New Roman" w:hAnsi="Times New Roman"/>
                <w:szCs w:val="21"/>
              </w:rPr>
            </w:pPr>
            <w:r>
              <w:rPr>
                <w:rFonts w:ascii="Times New Roman" w:hAnsi="Times New Roman"/>
                <w:bCs/>
                <w:lang w:val="zh-CN"/>
              </w:rPr>
              <w:t>合计</w:t>
            </w:r>
          </w:p>
        </w:tc>
        <w:tc>
          <w:tcPr>
            <w:tcW w:w="984" w:type="pct"/>
            <w:noWrap w:val="0"/>
            <w:vAlign w:val="center"/>
          </w:tcPr>
          <w:p>
            <w:pPr>
              <w:jc w:val="center"/>
              <w:rPr>
                <w:rFonts w:ascii="Times New Roman" w:hAnsi="Times New Roman"/>
                <w:szCs w:val="21"/>
              </w:rPr>
            </w:pPr>
            <w:r>
              <w:rPr>
                <w:rFonts w:ascii="Times New Roman" w:hAnsi="Times New Roman"/>
                <w:bCs/>
                <w:lang w:val="zh-CN"/>
              </w:rPr>
              <w:t>10</w:t>
            </w:r>
          </w:p>
        </w:tc>
        <w:tc>
          <w:tcPr>
            <w:tcW w:w="834"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pPr>
      <w:r>
        <w:rPr>
          <w:rFonts w:hint="eastAsia"/>
          <w:bCs/>
        </w:rPr>
        <w:t>建筑主体结构采用：</w:t>
      </w:r>
      <w:r>
        <w:rPr>
          <w:rFonts w:hint="eastAsia"/>
          <w:sz w:val="28"/>
        </w:rPr>
        <w:sym w:font="Wingdings 2" w:char="F0A3"/>
      </w:r>
      <w:r>
        <w:rPr>
          <w:rFonts w:hint="eastAsia" w:ascii="宋体" w:hAnsi="宋体"/>
          <w:bCs/>
          <w:lang w:val="zh-CN"/>
        </w:rPr>
        <w:t>钢</w:t>
      </w:r>
      <w:r>
        <w:rPr>
          <w:rFonts w:ascii="宋体" w:hAnsi="宋体"/>
          <w:bCs/>
          <w:lang w:val="zh-CN"/>
        </w:rPr>
        <w:t>结构</w:t>
      </w:r>
      <w:r>
        <w:rPr>
          <w:rFonts w:hint="eastAsia" w:ascii="宋体" w:hAnsi="宋体"/>
          <w:b/>
          <w:bCs/>
          <w:lang w:val="zh-CN"/>
        </w:rPr>
        <w:t xml:space="preserve"> 、</w:t>
      </w:r>
      <w:r>
        <w:rPr>
          <w:rFonts w:hint="eastAsia"/>
          <w:sz w:val="28"/>
        </w:rPr>
        <w:sym w:font="Wingdings 2" w:char="F0A3"/>
      </w:r>
      <w:r>
        <w:rPr>
          <w:bCs/>
          <w:szCs w:val="21"/>
        </w:rPr>
        <w:t>木结构</w:t>
      </w:r>
      <w:r>
        <w:rPr>
          <w:rFonts w:hint="eastAsia"/>
          <w:bCs/>
          <w:szCs w:val="21"/>
        </w:rPr>
        <w:t xml:space="preserve"> 、</w:t>
      </w:r>
      <w:r>
        <w:rPr>
          <w:rFonts w:hint="eastAsia"/>
          <w:sz w:val="28"/>
        </w:rPr>
        <w:sym w:font="Wingdings 2" w:char="F0A3"/>
      </w:r>
      <w:r>
        <w:rPr>
          <w:rFonts w:hint="eastAsia"/>
          <w:bCs/>
          <w:szCs w:val="21"/>
        </w:rPr>
        <w:t>装配式混凝土结构，其中</w:t>
      </w:r>
      <w:r>
        <w:rPr>
          <w:rFonts w:hint="eastAsia" w:cs="宋体"/>
          <w:lang w:val="zh-CN"/>
        </w:rPr>
        <w:t>地上部分预制构件应用混凝土体积占混凝土总体积的比例达到</w:t>
      </w:r>
      <w:r>
        <w:rPr>
          <w:rFonts w:cs="宋体"/>
          <w:u w:val="single"/>
          <w:lang w:val="zh-CN"/>
        </w:rPr>
        <w:t xml:space="preserve">  </w:t>
      </w:r>
      <w:r>
        <w:rPr>
          <w:rFonts w:hint="eastAsia" w:cs="宋体"/>
          <w:lang w:val="zh-CN"/>
        </w:rPr>
        <w:t>%。</w:t>
      </w:r>
    </w:p>
    <w:p>
      <w:pPr>
        <w:rPr>
          <w:rFonts w:ascii="Times New Roman" w:hAnsi="Times New Roman"/>
          <w:szCs w:val="21"/>
        </w:rPr>
      </w:pPr>
      <w:r>
        <w:rPr>
          <w:rFonts w:hint="eastAsia" w:cs="宋体"/>
          <w:lang w:val="zh-CN"/>
        </w:rPr>
        <w:t>请简要说明本项目选用的结构体系及实施情况。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line="300" w:lineRule="exact"/>
        <w:rPr>
          <w:rFonts w:ascii="Times New Roman" w:hAnsi="Times New Roman"/>
          <w:b/>
          <w:szCs w:val="21"/>
        </w:rPr>
      </w:pPr>
      <w:r>
        <w:rPr>
          <w:rFonts w:ascii="Times New Roman" w:hAnsi="Times New Roman"/>
          <w:b/>
          <w:szCs w:val="21"/>
        </w:rPr>
        <w:t>3 证明材料</w:t>
      </w:r>
    </w:p>
    <w:p>
      <w:pPr>
        <w:spacing w:line="300" w:lineRule="exact"/>
        <w:rPr>
          <w:rFonts w:ascii="Times New Roman" w:hAnsi="Times New Roman"/>
          <w:szCs w:val="21"/>
        </w:rPr>
      </w:pPr>
      <w:r>
        <w:rPr>
          <w:rFonts w:ascii="Times New Roman" w:hAnsi="Times New Roman"/>
          <w:szCs w:val="21"/>
        </w:rPr>
        <w:t>提交材料及要求：</w:t>
      </w:r>
    </w:p>
    <w:p>
      <w:pPr>
        <w:spacing w:line="300" w:lineRule="exact"/>
      </w:pPr>
      <w:r>
        <w:rPr>
          <w:rFonts w:hint="eastAsia" w:cs="宋体"/>
        </w:rPr>
        <w:t>1）结构专业竣工图及设计说明，</w:t>
      </w:r>
      <w:r>
        <w:rPr>
          <w:rFonts w:cs="宋体"/>
        </w:rPr>
        <w:t>应</w:t>
      </w:r>
      <w:r>
        <w:rPr>
          <w:rFonts w:hint="eastAsia" w:cs="宋体"/>
        </w:rPr>
        <w:t>包含</w:t>
      </w:r>
      <w:r>
        <w:rPr>
          <w:rFonts w:cs="宋体"/>
        </w:rPr>
        <w:t>平立</w:t>
      </w:r>
      <w:r>
        <w:rPr>
          <w:rFonts w:hint="eastAsia" w:cs="宋体"/>
        </w:rPr>
        <w:t>剖</w:t>
      </w:r>
      <w:r>
        <w:rPr>
          <w:rFonts w:cs="宋体"/>
        </w:rPr>
        <w:t>图、构件详图、节点详图、大样图</w:t>
      </w:r>
      <w:r>
        <w:rPr>
          <w:rFonts w:hint="eastAsia" w:cs="宋体"/>
        </w:rPr>
        <w:t>、</w:t>
      </w:r>
      <w:r>
        <w:rPr>
          <w:rFonts w:cs="宋体"/>
        </w:rPr>
        <w:t>楼梯详图等</w:t>
      </w:r>
      <w:r>
        <w:rPr>
          <w:rFonts w:hint="eastAsia" w:cs="宋体"/>
        </w:rPr>
        <w:t>；</w:t>
      </w:r>
    </w:p>
    <w:p>
      <w:pPr>
        <w:spacing w:line="300" w:lineRule="exact"/>
        <w:rPr>
          <w:rFonts w:cs="宋体"/>
        </w:rPr>
      </w:pPr>
      <w:r>
        <w:rPr>
          <w:rFonts w:cs="宋体"/>
        </w:rPr>
        <w:t>2</w:t>
      </w:r>
      <w:r>
        <w:rPr>
          <w:rFonts w:hint="eastAsia" w:cs="宋体"/>
        </w:rPr>
        <w:t>）预制构件应用比例计算书、</w:t>
      </w:r>
      <w:r>
        <w:rPr>
          <w:rFonts w:cs="宋体"/>
        </w:rPr>
        <w:t>工程竣工质量报告、工程概况表、设计变更文件</w:t>
      </w:r>
      <w:r>
        <w:rPr>
          <w:rFonts w:hint="eastAsia" w:cs="宋体"/>
        </w:rPr>
        <w:t>。</w:t>
      </w:r>
    </w:p>
    <w:p>
      <w:pPr>
        <w:spacing w:line="288" w:lineRule="auto"/>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w:t>
      </w:r>
      <w:r>
        <w:rPr>
          <w:sz w:val="24"/>
          <w:szCs w:val="40"/>
        </w:rPr>
        <w:t xml:space="preserve">6 </w:t>
      </w:r>
      <w:r>
        <w:rPr>
          <w:rFonts w:hint="eastAsia"/>
          <w:sz w:val="24"/>
          <w:szCs w:val="40"/>
        </w:rPr>
        <w:t>应用建筑信息模型（BIM）技术。（</w:t>
      </w:r>
      <w:r>
        <w:rPr>
          <w:sz w:val="24"/>
          <w:szCs w:val="40"/>
        </w:rPr>
        <w:t>15</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p>
      <w:pPr>
        <w:spacing w:line="288" w:lineRule="auto"/>
        <w:rPr>
          <w:rFonts w:ascii="宋体" w:hAnsi="宋体" w:cs="宋体"/>
          <w:kern w:val="0"/>
          <w:szCs w:val="21"/>
        </w:rPr>
      </w:pPr>
      <w:r>
        <w:rPr>
          <w:rFonts w:hint="eastAsia" w:ascii="宋体" w:hAnsi="宋体" w:cs="宋体"/>
          <w:kern w:val="0"/>
          <w:szCs w:val="21"/>
        </w:rPr>
        <w:t>BIM技术在建筑</w:t>
      </w:r>
      <w:r>
        <w:rPr>
          <w:rFonts w:ascii="宋体" w:hAnsi="宋体" w:cs="宋体"/>
          <w:kern w:val="0"/>
          <w:szCs w:val="21"/>
        </w:rPr>
        <w:t>的规划设计、施工建造和运行维护阶段中应用</w:t>
      </w:r>
      <w:r>
        <w:rPr>
          <w:rFonts w:hint="eastAsia" w:ascii="宋体" w:hAnsi="宋体" w:cs="宋体"/>
          <w:kern w:val="0"/>
          <w:szCs w:val="21"/>
        </w:rPr>
        <w:t>情况与得分：</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center"/>
              <w:rPr>
                <w:rFonts w:ascii="Times New Roman" w:hAnsi="Times New Roman"/>
                <w:szCs w:val="21"/>
              </w:rPr>
            </w:pPr>
            <w:r>
              <w:rPr>
                <w:rFonts w:ascii="Times New Roman" w:hAnsi="Times New Roman"/>
                <w:kern w:val="0"/>
                <w:szCs w:val="21"/>
              </w:rPr>
              <w:t>在其中一个阶段应用</w:t>
            </w:r>
          </w:p>
        </w:tc>
        <w:tc>
          <w:tcPr>
            <w:tcW w:w="984" w:type="pct"/>
            <w:noWrap w:val="0"/>
            <w:vAlign w:val="center"/>
          </w:tcPr>
          <w:p>
            <w:pPr>
              <w:jc w:val="center"/>
              <w:rPr>
                <w:rFonts w:ascii="Times New Roman" w:hAnsi="Times New Roman"/>
                <w:szCs w:val="21"/>
              </w:rPr>
            </w:pPr>
            <w:r>
              <w:rPr>
                <w:rFonts w:ascii="Times New Roman" w:hAnsi="Times New Roman"/>
                <w:kern w:val="0"/>
                <w:szCs w:val="21"/>
              </w:rPr>
              <w:t>5</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2</w:t>
            </w:r>
          </w:p>
        </w:tc>
        <w:tc>
          <w:tcPr>
            <w:tcW w:w="2727" w:type="pct"/>
            <w:noWrap w:val="0"/>
            <w:vAlign w:val="center"/>
          </w:tcPr>
          <w:p>
            <w:pPr>
              <w:jc w:val="center"/>
              <w:rPr>
                <w:rFonts w:ascii="Times New Roman" w:hAnsi="Times New Roman"/>
                <w:szCs w:val="21"/>
              </w:rPr>
            </w:pPr>
            <w:r>
              <w:rPr>
                <w:rFonts w:ascii="Times New Roman" w:hAnsi="Times New Roman"/>
                <w:kern w:val="0"/>
                <w:szCs w:val="21"/>
              </w:rPr>
              <w:t>在其中两个阶段应用</w:t>
            </w:r>
          </w:p>
        </w:tc>
        <w:tc>
          <w:tcPr>
            <w:tcW w:w="984" w:type="pct"/>
            <w:noWrap w:val="0"/>
            <w:vAlign w:val="center"/>
          </w:tcPr>
          <w:p>
            <w:pPr>
              <w:jc w:val="center"/>
              <w:rPr>
                <w:rFonts w:ascii="Times New Roman" w:hAnsi="Times New Roman"/>
                <w:szCs w:val="21"/>
              </w:rPr>
            </w:pPr>
            <w:r>
              <w:rPr>
                <w:rFonts w:ascii="Times New Roman" w:hAnsi="Times New Roman"/>
                <w:kern w:val="0"/>
                <w:szCs w:val="21"/>
              </w:rPr>
              <w:t>10</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3</w:t>
            </w:r>
          </w:p>
        </w:tc>
        <w:tc>
          <w:tcPr>
            <w:tcW w:w="2727" w:type="pct"/>
            <w:noWrap w:val="0"/>
            <w:vAlign w:val="center"/>
          </w:tcPr>
          <w:p>
            <w:pPr>
              <w:jc w:val="center"/>
              <w:rPr>
                <w:rFonts w:ascii="Times New Roman" w:hAnsi="Times New Roman"/>
                <w:szCs w:val="21"/>
              </w:rPr>
            </w:pPr>
            <w:r>
              <w:rPr>
                <w:rFonts w:ascii="Times New Roman" w:hAnsi="Times New Roman"/>
                <w:kern w:val="0"/>
                <w:szCs w:val="21"/>
              </w:rPr>
              <w:t>在其中三个阶段应用</w:t>
            </w:r>
          </w:p>
        </w:tc>
        <w:tc>
          <w:tcPr>
            <w:tcW w:w="984" w:type="pct"/>
            <w:noWrap w:val="0"/>
            <w:vAlign w:val="center"/>
          </w:tcPr>
          <w:p>
            <w:pPr>
              <w:jc w:val="center"/>
              <w:rPr>
                <w:rFonts w:ascii="Times New Roman" w:hAnsi="Times New Roman"/>
                <w:szCs w:val="21"/>
              </w:rPr>
            </w:pPr>
            <w:r>
              <w:rPr>
                <w:rFonts w:ascii="Times New Roman" w:hAnsi="Times New Roman"/>
                <w:kern w:val="0"/>
                <w:szCs w:val="21"/>
              </w:rPr>
              <w:t>15</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3182" w:type="pct"/>
            <w:gridSpan w:val="2"/>
            <w:noWrap w:val="0"/>
            <w:vAlign w:val="center"/>
          </w:tcPr>
          <w:p>
            <w:pPr>
              <w:jc w:val="center"/>
              <w:rPr>
                <w:rFonts w:ascii="Times New Roman" w:hAnsi="Times New Roman"/>
                <w:szCs w:val="21"/>
              </w:rPr>
            </w:pPr>
            <w:r>
              <w:rPr>
                <w:rFonts w:ascii="Times New Roman" w:hAnsi="Times New Roman"/>
                <w:kern w:val="0"/>
                <w:szCs w:val="21"/>
              </w:rPr>
              <w:t>总计</w:t>
            </w:r>
          </w:p>
        </w:tc>
        <w:tc>
          <w:tcPr>
            <w:tcW w:w="984" w:type="pct"/>
            <w:noWrap w:val="0"/>
            <w:vAlign w:val="center"/>
          </w:tcPr>
          <w:p>
            <w:pPr>
              <w:jc w:val="center"/>
              <w:rPr>
                <w:rFonts w:ascii="Times New Roman" w:hAnsi="Times New Roman"/>
                <w:szCs w:val="21"/>
              </w:rPr>
            </w:pPr>
            <w:r>
              <w:rPr>
                <w:rFonts w:ascii="Times New Roman" w:hAnsi="Times New Roman"/>
                <w:kern w:val="0"/>
                <w:szCs w:val="21"/>
              </w:rPr>
              <w:t>15</w:t>
            </w:r>
          </w:p>
        </w:tc>
        <w:tc>
          <w:tcPr>
            <w:tcW w:w="834"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spacing w:line="288" w:lineRule="auto"/>
        <w:rPr>
          <w:rFonts w:ascii="宋体" w:hAnsi="宋体" w:cs="宋体"/>
          <w:kern w:val="0"/>
          <w:szCs w:val="21"/>
        </w:rPr>
      </w:pPr>
      <w:r>
        <w:rPr>
          <w:rFonts w:hint="eastAsia" w:ascii="宋体" w:hAnsi="宋体" w:cs="宋体"/>
          <w:kern w:val="0"/>
          <w:szCs w:val="21"/>
        </w:rPr>
        <w:t>项目</w:t>
      </w:r>
      <w:r>
        <w:rPr>
          <w:rFonts w:ascii="宋体" w:hAnsi="宋体" w:cs="宋体"/>
          <w:kern w:val="0"/>
          <w:szCs w:val="21"/>
        </w:rPr>
        <w:t>在</w:t>
      </w:r>
      <w:r>
        <w:rPr>
          <w:rFonts w:hint="eastAsia" w:ascii="宋体" w:hAnsi="宋体" w:cs="宋体"/>
          <w:kern w:val="0"/>
          <w:szCs w:val="21"/>
        </w:rPr>
        <w:t>建筑</w:t>
      </w:r>
      <w:r>
        <w:rPr>
          <w:rFonts w:ascii="宋体" w:hAnsi="宋体" w:cs="宋体"/>
          <w:kern w:val="0"/>
          <w:szCs w:val="21"/>
        </w:rPr>
        <w:t>的</w:t>
      </w:r>
      <w:r>
        <w:rPr>
          <w:rFonts w:hint="eastAsia"/>
          <w:sz w:val="28"/>
        </w:rPr>
        <w:sym w:font="Wingdings 2" w:char="F0A3"/>
      </w:r>
      <w:r>
        <w:rPr>
          <w:rFonts w:hint="eastAsia" w:ascii="宋体" w:hAnsi="宋体" w:cs="宋体"/>
          <w:kern w:val="0"/>
          <w:szCs w:val="21"/>
        </w:rPr>
        <w:t>规划设计、</w:t>
      </w:r>
      <w:r>
        <w:rPr>
          <w:rFonts w:hint="eastAsia"/>
          <w:sz w:val="28"/>
        </w:rPr>
        <w:sym w:font="Wingdings 2" w:char="F0A3"/>
      </w:r>
      <w:r>
        <w:rPr>
          <w:rFonts w:hint="eastAsia" w:ascii="宋体" w:hAnsi="宋体" w:cs="宋体"/>
          <w:kern w:val="0"/>
          <w:szCs w:val="21"/>
        </w:rPr>
        <w:t>施工建造、</w:t>
      </w:r>
      <w:r>
        <w:rPr>
          <w:rFonts w:hint="eastAsia"/>
          <w:sz w:val="28"/>
        </w:rPr>
        <w:sym w:font="Wingdings 2" w:char="F0A3"/>
      </w:r>
      <w:r>
        <w:rPr>
          <w:rFonts w:hint="eastAsia" w:ascii="宋体" w:hAnsi="宋体" w:cs="宋体"/>
          <w:kern w:val="0"/>
          <w:szCs w:val="21"/>
        </w:rPr>
        <w:t>运行维护阶段</w:t>
      </w:r>
      <w:r>
        <w:rPr>
          <w:rFonts w:ascii="宋体" w:hAnsi="宋体" w:cs="宋体"/>
          <w:kern w:val="0"/>
          <w:szCs w:val="21"/>
        </w:rPr>
        <w:t>应用了BIM技术</w:t>
      </w:r>
      <w:r>
        <w:rPr>
          <w:rFonts w:hint="eastAsia" w:ascii="宋体" w:hAnsi="宋体" w:cs="宋体"/>
          <w:kern w:val="0"/>
          <w:szCs w:val="21"/>
        </w:rPr>
        <w:t>。</w:t>
      </w:r>
    </w:p>
    <w:p>
      <w:pPr>
        <w:spacing w:line="288" w:lineRule="auto"/>
        <w:rPr>
          <w:rFonts w:ascii="宋体" w:hAnsi="宋体" w:cs="宋体"/>
          <w:kern w:val="0"/>
          <w:szCs w:val="21"/>
        </w:rPr>
      </w:pPr>
      <w:r>
        <w:rPr>
          <w:rFonts w:hint="eastAsia" w:ascii="宋体" w:hAnsi="宋体" w:cs="宋体"/>
          <w:kern w:val="0"/>
          <w:szCs w:val="21"/>
        </w:rPr>
        <w:t>请简要说明BIM在</w:t>
      </w:r>
      <w:r>
        <w:rPr>
          <w:rFonts w:ascii="宋体" w:hAnsi="宋体" w:cs="宋体"/>
          <w:kern w:val="0"/>
          <w:szCs w:val="21"/>
        </w:rPr>
        <w:t>各阶段的应用情况</w:t>
      </w:r>
      <w:r>
        <w:rPr>
          <w:rFonts w:hint="eastAsia" w:ascii="宋体" w:hAnsi="宋体" w:cs="宋体"/>
          <w:kern w:val="0"/>
          <w:szCs w:val="21"/>
        </w:rPr>
        <w:t>、取得的效果。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ind w:firstLine="405"/>
              <w:rPr>
                <w:rFonts w:ascii="Times New Roman" w:hAnsi="Times New Roman"/>
                <w:kern w:val="0"/>
                <w:sz w:val="20"/>
                <w:szCs w:val="21"/>
              </w:rPr>
            </w:pPr>
            <w:r>
              <w:rPr>
                <w:rFonts w:hint="eastAsia" w:ascii="Times New Roman" w:hAnsi="Times New Roman"/>
                <w:kern w:val="0"/>
                <w:sz w:val="20"/>
                <w:szCs w:val="21"/>
              </w:rPr>
              <w:t>设计阶段利用斯维尔建筑软件绘制各楼层施工图，正确设定门窗、墙体高度信息，形成基础BIM三维模型，一次建模，数据自动传递，协同分析，体现了BIM设计的高效、数据一致的核心价值。</w:t>
            </w:r>
          </w:p>
          <w:p>
            <w:pPr>
              <w:ind w:firstLine="405"/>
              <w:rPr>
                <w:rFonts w:ascii="Times New Roman" w:hAnsi="Times New Roman"/>
                <w:kern w:val="0"/>
                <w:sz w:val="20"/>
                <w:szCs w:val="21"/>
              </w:rPr>
            </w:pPr>
            <w:r>
              <w:rPr>
                <w:rFonts w:hint="eastAsia" w:ascii="Times New Roman" w:hAnsi="Times New Roman"/>
                <w:kern w:val="0"/>
                <w:sz w:val="20"/>
                <w:szCs w:val="21"/>
              </w:rPr>
              <w:t>采用</w:t>
            </w:r>
            <w:r>
              <w:rPr>
                <w:rFonts w:ascii="Times New Roman" w:hAnsi="Times New Roman"/>
                <w:kern w:val="0"/>
                <w:sz w:val="20"/>
                <w:szCs w:val="21"/>
              </w:rPr>
              <w:t>斯维尔系列软件进行</w:t>
            </w:r>
            <w:r>
              <w:rPr>
                <w:rFonts w:hint="eastAsia" w:ascii="Times New Roman" w:hAnsi="Times New Roman"/>
                <w:kern w:val="0"/>
                <w:sz w:val="20"/>
                <w:szCs w:val="21"/>
              </w:rPr>
              <w:t>节能设计、暖通冷热负荷计算、围护结构节能率计算、日照分析、室内外风环境分析、采光系数计算、窗地比计算、声环境模拟等一系列的模拟计算极大的提高了效率，节省了时间。</w:t>
            </w:r>
          </w:p>
        </w:tc>
      </w:tr>
    </w:tbl>
    <w:p>
      <w:pPr>
        <w:pStyle w:val="12"/>
        <w:numPr>
          <w:ilvl w:val="0"/>
          <w:numId w:val="5"/>
        </w:numPr>
        <w:spacing w:before="156" w:beforeLines="50" w:after="156" w:afterLines="50"/>
        <w:ind w:firstLineChars="0"/>
        <w:rPr>
          <w:b/>
        </w:rPr>
      </w:pPr>
      <w:r>
        <w:rPr>
          <w:b/>
        </w:rPr>
        <w:t>证明材料</w:t>
      </w:r>
    </w:p>
    <w:p>
      <w:pPr>
        <w:rPr>
          <w:rFonts w:ascii="Times New Roman" w:hAnsi="Times New Roman"/>
          <w:szCs w:val="21"/>
        </w:rPr>
      </w:pPr>
      <w:r>
        <w:rPr>
          <w:rFonts w:ascii="Times New Roman" w:hAnsi="Times New Roman"/>
          <w:szCs w:val="21"/>
        </w:rPr>
        <w:t>提交材料及要求：</w:t>
      </w:r>
    </w:p>
    <w:p>
      <w:pPr>
        <w:rPr>
          <w:rFonts w:ascii="Times New Roman" w:hAnsi="Times New Roman"/>
          <w:szCs w:val="21"/>
        </w:rPr>
      </w:pPr>
      <w:r>
        <w:rPr>
          <w:rFonts w:hint="eastAsia" w:ascii="Times New Roman" w:hAnsi="Times New Roman"/>
          <w:szCs w:val="21"/>
        </w:rPr>
        <w:t>1）</w:t>
      </w:r>
      <w:r>
        <w:rPr>
          <w:rFonts w:hint="eastAsia" w:ascii="宋体" w:hAnsi="宋体" w:cs="宋体"/>
          <w:kern w:val="0"/>
        </w:rPr>
        <w:t>BIM设计</w:t>
      </w:r>
      <w:r>
        <w:rPr>
          <w:rFonts w:ascii="宋体" w:hAnsi="宋体" w:cs="宋体"/>
          <w:kern w:val="0"/>
        </w:rPr>
        <w:t>的竣工文件</w:t>
      </w:r>
      <w:r>
        <w:rPr>
          <w:rFonts w:hint="eastAsia" w:ascii="宋体" w:hAnsi="宋体" w:cs="宋体"/>
          <w:kern w:val="0"/>
        </w:rPr>
        <w:t>；</w:t>
      </w:r>
    </w:p>
    <w:p>
      <w:pP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hint="eastAsia" w:ascii="宋体" w:hAnsi="宋体" w:cs="宋体"/>
          <w:kern w:val="0"/>
        </w:rPr>
        <w:t>BIM技术</w:t>
      </w:r>
      <w:r>
        <w:rPr>
          <w:rFonts w:ascii="宋体" w:hAnsi="宋体" w:cs="宋体"/>
          <w:kern w:val="0"/>
        </w:rPr>
        <w:t>应用报告</w:t>
      </w:r>
      <w:r>
        <w:rPr>
          <w:rFonts w:hint="eastAsia" w:ascii="宋体" w:hAnsi="宋体" w:cs="宋体"/>
          <w:kern w:val="0"/>
        </w:rPr>
        <w:t>，应</w:t>
      </w:r>
      <w:r>
        <w:rPr>
          <w:rFonts w:ascii="宋体" w:hAnsi="宋体" w:cs="宋体"/>
          <w:kern w:val="0"/>
        </w:rPr>
        <w:t>包括</w:t>
      </w:r>
      <w:r>
        <w:rPr>
          <w:rFonts w:hint="eastAsia" w:ascii="宋体" w:hAnsi="宋体" w:cs="宋体"/>
          <w:kern w:val="0"/>
        </w:rPr>
        <w:t>使用</w:t>
      </w:r>
      <w:r>
        <w:rPr>
          <w:rFonts w:ascii="宋体" w:hAnsi="宋体" w:cs="宋体"/>
          <w:kern w:val="0"/>
        </w:rPr>
        <w:t>的软件</w:t>
      </w:r>
      <w:r>
        <w:rPr>
          <w:rFonts w:hint="eastAsia" w:ascii="宋体" w:hAnsi="宋体" w:cs="宋体"/>
          <w:kern w:val="0"/>
        </w:rPr>
        <w:t>、</w:t>
      </w:r>
      <w:r>
        <w:rPr>
          <w:rFonts w:ascii="宋体" w:hAnsi="宋体" w:cs="宋体"/>
          <w:kern w:val="0"/>
        </w:rPr>
        <w:t>模型的</w:t>
      </w:r>
      <w:r>
        <w:rPr>
          <w:rFonts w:hint="eastAsia" w:ascii="宋体" w:hAnsi="宋体" w:cs="宋体"/>
          <w:kern w:val="0"/>
        </w:rPr>
        <w:t>建立</w:t>
      </w:r>
      <w:r>
        <w:rPr>
          <w:rFonts w:ascii="宋体" w:hAnsi="宋体" w:cs="宋体"/>
          <w:kern w:val="0"/>
        </w:rPr>
        <w:t>情况</w:t>
      </w:r>
      <w:r>
        <w:rPr>
          <w:rFonts w:hint="eastAsia" w:ascii="宋体" w:hAnsi="宋体" w:cs="宋体"/>
          <w:kern w:val="0"/>
        </w:rPr>
        <w:t>及</w:t>
      </w:r>
      <w:r>
        <w:rPr>
          <w:rFonts w:ascii="宋体" w:hAnsi="宋体" w:cs="宋体"/>
          <w:kern w:val="0"/>
        </w:rPr>
        <w:t>截图，应用范围</w:t>
      </w:r>
      <w:r>
        <w:rPr>
          <w:rFonts w:hint="eastAsia" w:ascii="宋体" w:hAnsi="宋体" w:cs="宋体"/>
          <w:kern w:val="0"/>
        </w:rPr>
        <w:t>及效果。</w:t>
      </w:r>
    </w:p>
    <w:p>
      <w:pPr>
        <w:pStyle w:val="12"/>
        <w:adjustRightInd w:val="0"/>
        <w:snapToGrid w:val="0"/>
        <w:spacing w:line="288" w:lineRule="auto"/>
        <w:ind w:left="360" w:firstLine="0" w:firstLineChars="0"/>
        <w:rPr>
          <w:rFonts w:ascii="宋体" w:hAnsi="宋体" w:cs="宋体"/>
          <w:bCs/>
          <w:kern w:val="0"/>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w:t>
      </w:r>
      <w:r>
        <w:rPr>
          <w:sz w:val="24"/>
          <w:szCs w:val="40"/>
        </w:rPr>
        <w:t>7</w:t>
      </w:r>
      <w:r>
        <w:rPr>
          <w:rFonts w:hint="eastAsia"/>
          <w:sz w:val="24"/>
          <w:szCs w:val="40"/>
        </w:rPr>
        <w:t xml:space="preserve"> 进行建筑碳排放计算分析，采取措施降低单位建筑面积碳排放强度。（总分1</w:t>
      </w:r>
      <w:r>
        <w:rPr>
          <w:sz w:val="24"/>
          <w:szCs w:val="40"/>
        </w:rPr>
        <w:t>2</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center"/>
              <w:rPr>
                <w:rFonts w:ascii="Times New Roman" w:hAnsi="Times New Roman"/>
                <w:szCs w:val="21"/>
              </w:rPr>
            </w:pPr>
            <w:r>
              <w:rPr>
                <w:rFonts w:hint="eastAsia" w:ascii="宋体" w:hAnsi="宋体" w:cs="宋体"/>
                <w:kern w:val="0"/>
                <w:szCs w:val="21"/>
              </w:rPr>
              <w:t>进行建筑碳排放计算分析，采取措施降低单位面积碳排放强度。</w:t>
            </w:r>
          </w:p>
        </w:tc>
        <w:tc>
          <w:tcPr>
            <w:tcW w:w="984" w:type="pct"/>
            <w:noWrap w:val="0"/>
            <w:vAlign w:val="center"/>
          </w:tcPr>
          <w:p>
            <w:pPr>
              <w:jc w:val="center"/>
              <w:rPr>
                <w:rFonts w:ascii="Times New Roman" w:hAnsi="Times New Roman"/>
                <w:szCs w:val="21"/>
              </w:rPr>
            </w:pPr>
            <w:r>
              <w:rPr>
                <w:rFonts w:ascii="宋体" w:hAnsi="宋体" w:cs="宋体"/>
                <w:kern w:val="0"/>
                <w:szCs w:val="21"/>
              </w:rPr>
              <w:t>12</w:t>
            </w:r>
          </w:p>
        </w:tc>
        <w:tc>
          <w:tcPr>
            <w:tcW w:w="834"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adjustRightInd w:val="0"/>
        <w:snapToGrid w:val="0"/>
        <w:spacing w:line="288" w:lineRule="auto"/>
        <w:rPr>
          <w:rFonts w:ascii="宋体" w:hAnsi="宋体" w:cs="宋体"/>
          <w:kern w:val="0"/>
          <w:szCs w:val="21"/>
          <w:u w:val="single"/>
        </w:rPr>
      </w:pPr>
      <w:r>
        <w:rPr>
          <w:rFonts w:hint="eastAsia" w:ascii="宋体" w:hAnsi="宋体" w:cs="宋体"/>
          <w:kern w:val="0"/>
          <w:szCs w:val="21"/>
        </w:rPr>
        <w:t>建筑固有</w:t>
      </w:r>
      <w:r>
        <w:rPr>
          <w:rFonts w:ascii="宋体" w:hAnsi="宋体" w:cs="宋体"/>
          <w:kern w:val="0"/>
          <w:szCs w:val="21"/>
        </w:rPr>
        <w:t>的碳排放量</w:t>
      </w:r>
      <w:r>
        <w:rPr>
          <w:rFonts w:hint="eastAsia" w:ascii="宋体" w:hAnsi="宋体" w:cs="宋体"/>
          <w:kern w:val="0"/>
          <w:szCs w:val="21"/>
        </w:rPr>
        <w:t>（建材生产</w:t>
      </w:r>
      <w:r>
        <w:rPr>
          <w:rFonts w:ascii="宋体" w:hAnsi="宋体" w:cs="宋体"/>
          <w:kern w:val="0"/>
          <w:szCs w:val="21"/>
        </w:rPr>
        <w:t>阶段</w:t>
      </w:r>
      <w:r>
        <w:rPr>
          <w:rFonts w:hint="eastAsia" w:ascii="宋体" w:hAnsi="宋体" w:cs="宋体"/>
          <w:kern w:val="0"/>
          <w:szCs w:val="21"/>
        </w:rPr>
        <w:t>）：</w:t>
      </w:r>
      <w:r>
        <w:rPr>
          <w:rFonts w:hint="eastAsia" w:ascii="宋体" w:hAnsi="宋体" w:cs="宋体"/>
          <w:kern w:val="0"/>
          <w:szCs w:val="21"/>
          <w:u w:val="single"/>
        </w:rPr>
        <w:t>（</w:t>
      </w:r>
      <w:r>
        <w:rPr>
          <w:color w:val="000000"/>
          <w:kern w:val="0"/>
          <w:sz w:val="22"/>
        </w:rPr>
        <w:t>kgCO</w:t>
      </w:r>
      <w:r>
        <w:rPr>
          <w:color w:val="000000"/>
          <w:kern w:val="0"/>
          <w:sz w:val="22"/>
          <w:vertAlign w:val="subscript"/>
        </w:rPr>
        <w:t>2</w:t>
      </w:r>
      <w:r>
        <w:rPr>
          <w:color w:val="000000"/>
          <w:kern w:val="0"/>
          <w:sz w:val="22"/>
        </w:rPr>
        <w:t>eq</w:t>
      </w:r>
      <w:r>
        <w:rPr>
          <w:rFonts w:hint="eastAsia"/>
          <w:color w:val="000000"/>
          <w:kern w:val="0"/>
          <w:sz w:val="22"/>
        </w:rPr>
        <w:t>）</w:t>
      </w:r>
    </w:p>
    <w:p>
      <w:pPr>
        <w:adjustRightInd w:val="0"/>
        <w:snapToGrid w:val="0"/>
        <w:spacing w:line="288" w:lineRule="auto"/>
        <w:rPr>
          <w:rFonts w:ascii="宋体" w:hAnsi="宋体" w:cs="宋体"/>
          <w:kern w:val="0"/>
          <w:szCs w:val="21"/>
          <w:u w:val="single"/>
        </w:rPr>
      </w:pPr>
      <w:r>
        <w:rPr>
          <w:rFonts w:hint="eastAsia" w:ascii="宋体" w:hAnsi="宋体" w:cs="宋体"/>
          <w:kern w:val="0"/>
          <w:szCs w:val="21"/>
        </w:rPr>
        <w:t>建筑</w:t>
      </w:r>
      <w:r>
        <w:rPr>
          <w:rFonts w:ascii="宋体" w:hAnsi="宋体" w:cs="宋体"/>
          <w:kern w:val="0"/>
          <w:szCs w:val="21"/>
        </w:rPr>
        <w:t>固有的碳排放量</w:t>
      </w:r>
      <w:r>
        <w:rPr>
          <w:rFonts w:hint="eastAsia" w:ascii="宋体" w:hAnsi="宋体" w:cs="宋体"/>
          <w:kern w:val="0"/>
          <w:szCs w:val="21"/>
        </w:rPr>
        <w:t>（</w:t>
      </w:r>
      <w:r>
        <w:rPr>
          <w:rFonts w:ascii="宋体" w:hAnsi="宋体" w:cs="宋体"/>
          <w:kern w:val="0"/>
          <w:szCs w:val="21"/>
        </w:rPr>
        <w:t>建材运输）：</w:t>
      </w:r>
      <w:r>
        <w:rPr>
          <w:rFonts w:hint="eastAsia" w:ascii="宋体" w:hAnsi="宋体" w:cs="宋体"/>
          <w:kern w:val="0"/>
          <w:szCs w:val="21"/>
          <w:u w:val="single"/>
        </w:rPr>
        <w:t xml:space="preserve">  </w:t>
      </w:r>
      <w:r>
        <w:rPr>
          <w:rFonts w:hAnsi="宋体"/>
          <w:color w:val="000000"/>
          <w:kern w:val="0"/>
        </w:rPr>
        <w:t>（</w:t>
      </w:r>
      <w:r>
        <w:rPr>
          <w:color w:val="000000"/>
          <w:kern w:val="0"/>
        </w:rPr>
        <w:t>kgCO</w:t>
      </w:r>
      <w:r>
        <w:rPr>
          <w:color w:val="000000"/>
          <w:kern w:val="0"/>
          <w:vertAlign w:val="subscript"/>
        </w:rPr>
        <w:t>2</w:t>
      </w:r>
      <w:r>
        <w:rPr>
          <w:color w:val="000000"/>
          <w:kern w:val="0"/>
        </w:rPr>
        <w:t>/km</w:t>
      </w:r>
      <w:r>
        <w:rPr>
          <w:rFonts w:hAnsi="宋体"/>
          <w:color w:val="000000"/>
          <w:kern w:val="0"/>
        </w:rPr>
        <w:t>）</w:t>
      </w:r>
    </w:p>
    <w:p>
      <w:pPr>
        <w:adjustRightInd w:val="0"/>
        <w:snapToGrid w:val="0"/>
        <w:spacing w:line="288" w:lineRule="auto"/>
        <w:rPr>
          <w:rFonts w:ascii="宋体" w:hAnsi="宋体" w:cs="宋体"/>
          <w:kern w:val="0"/>
          <w:szCs w:val="21"/>
          <w:u w:val="single"/>
        </w:rPr>
      </w:pPr>
      <w:r>
        <w:rPr>
          <w:rFonts w:hint="eastAsia" w:ascii="宋体" w:hAnsi="宋体" w:cs="宋体"/>
          <w:kern w:val="0"/>
          <w:szCs w:val="21"/>
        </w:rPr>
        <w:t>建筑</w:t>
      </w:r>
      <w:r>
        <w:rPr>
          <w:rFonts w:ascii="宋体" w:hAnsi="宋体" w:cs="宋体"/>
          <w:kern w:val="0"/>
          <w:szCs w:val="21"/>
        </w:rPr>
        <w:t>施工阶段碳排放</w:t>
      </w:r>
      <w:r>
        <w:rPr>
          <w:rFonts w:hint="eastAsia" w:ascii="宋体" w:hAnsi="宋体" w:cs="宋体"/>
          <w:kern w:val="0"/>
          <w:szCs w:val="21"/>
        </w:rPr>
        <w:t>量</w:t>
      </w:r>
      <w:r>
        <w:rPr>
          <w:rFonts w:ascii="宋体" w:hAnsi="宋体" w:cs="宋体"/>
          <w:kern w:val="0"/>
          <w:szCs w:val="21"/>
        </w:rPr>
        <w:t>：</w:t>
      </w:r>
      <w:r>
        <w:rPr>
          <w:rFonts w:hint="eastAsia" w:ascii="宋体" w:hAnsi="宋体" w:cs="宋体"/>
          <w:kern w:val="0"/>
          <w:szCs w:val="21"/>
          <w:u w:val="single"/>
        </w:rPr>
        <w:t xml:space="preserve">   </w:t>
      </w:r>
      <w:r>
        <w:rPr>
          <w:rFonts w:hAnsi="宋体"/>
          <w:color w:val="000000"/>
          <w:kern w:val="0"/>
        </w:rPr>
        <w:t>（</w:t>
      </w:r>
      <w:r>
        <w:rPr>
          <w:color w:val="000000"/>
          <w:kern w:val="0"/>
        </w:rPr>
        <w:t>kgCO</w:t>
      </w:r>
      <w:r>
        <w:rPr>
          <w:color w:val="000000"/>
          <w:kern w:val="0"/>
          <w:vertAlign w:val="subscript"/>
        </w:rPr>
        <w:t>2</w:t>
      </w:r>
      <w:r>
        <w:rPr>
          <w:color w:val="000000"/>
          <w:kern w:val="0"/>
        </w:rPr>
        <w:t>/m</w:t>
      </w:r>
      <w:r>
        <w:rPr>
          <w:color w:val="000000"/>
          <w:kern w:val="0"/>
          <w:vertAlign w:val="superscript"/>
        </w:rPr>
        <w:t>2</w:t>
      </w:r>
      <w:r>
        <w:rPr>
          <w:rFonts w:hAnsi="宋体"/>
          <w:color w:val="000000"/>
          <w:kern w:val="0"/>
        </w:rPr>
        <w:t>）</w:t>
      </w:r>
    </w:p>
    <w:p>
      <w:pPr>
        <w:adjustRightInd w:val="0"/>
        <w:snapToGrid w:val="0"/>
        <w:spacing w:line="288" w:lineRule="auto"/>
        <w:rPr>
          <w:rFonts w:ascii="宋体" w:hAnsi="宋体" w:cs="宋体"/>
          <w:kern w:val="0"/>
          <w:szCs w:val="21"/>
          <w:u w:val="single"/>
        </w:rPr>
      </w:pPr>
      <w:r>
        <w:rPr>
          <w:rFonts w:hint="eastAsia" w:ascii="宋体" w:hAnsi="宋体" w:cs="宋体"/>
          <w:kern w:val="0"/>
          <w:szCs w:val="21"/>
        </w:rPr>
        <w:t>建筑</w:t>
      </w:r>
      <w:r>
        <w:rPr>
          <w:rFonts w:ascii="宋体" w:hAnsi="宋体" w:cs="宋体"/>
          <w:kern w:val="0"/>
          <w:szCs w:val="21"/>
        </w:rPr>
        <w:t>运行阶段减排量：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Ansi="宋体"/>
          <w:color w:val="000000"/>
          <w:kern w:val="0"/>
        </w:rPr>
        <w:t>（</w:t>
      </w:r>
      <w:r>
        <w:rPr>
          <w:color w:val="000000"/>
          <w:kern w:val="0"/>
        </w:rPr>
        <w:t>kgCO</w:t>
      </w:r>
      <w:r>
        <w:rPr>
          <w:color w:val="000000"/>
          <w:kern w:val="0"/>
          <w:vertAlign w:val="subscript"/>
        </w:rPr>
        <w:t>2</w:t>
      </w:r>
      <w:r>
        <w:rPr>
          <w:color w:val="000000"/>
          <w:kern w:val="0"/>
        </w:rPr>
        <w:t>/m</w:t>
      </w:r>
      <w:r>
        <w:rPr>
          <w:color w:val="000000"/>
          <w:kern w:val="0"/>
          <w:vertAlign w:val="superscript"/>
        </w:rPr>
        <w:t>2</w:t>
      </w:r>
      <w:r>
        <w:rPr>
          <w:rFonts w:hAnsi="宋体"/>
          <w:color w:val="000000"/>
          <w:kern w:val="0"/>
        </w:rPr>
        <w:t>）</w:t>
      </w:r>
    </w:p>
    <w:p>
      <w:pPr>
        <w:adjustRightInd w:val="0"/>
        <w:snapToGrid w:val="0"/>
        <w:spacing w:line="288" w:lineRule="auto"/>
        <w:rPr>
          <w:rFonts w:ascii="宋体" w:hAnsi="宋体" w:cs="宋体"/>
          <w:kern w:val="0"/>
          <w:szCs w:val="21"/>
          <w:u w:val="single"/>
        </w:rPr>
      </w:pPr>
      <w:r>
        <w:rPr>
          <w:rFonts w:hint="eastAsia" w:ascii="宋体" w:hAnsi="宋体" w:cs="宋体"/>
          <w:kern w:val="0"/>
          <w:szCs w:val="21"/>
        </w:rPr>
        <w:t>单位面积年</w:t>
      </w:r>
      <w:r>
        <w:rPr>
          <w:rFonts w:ascii="宋体" w:hAnsi="宋体" w:cs="宋体"/>
          <w:kern w:val="0"/>
          <w:szCs w:val="21"/>
        </w:rPr>
        <w:t>碳排放量</w:t>
      </w:r>
      <w:r>
        <w:rPr>
          <w:rFonts w:hint="eastAsia"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Ansi="宋体"/>
          <w:color w:val="000000"/>
          <w:kern w:val="0"/>
        </w:rPr>
        <w:t>（</w:t>
      </w:r>
      <w:r>
        <w:rPr>
          <w:color w:val="000000"/>
          <w:kern w:val="0"/>
        </w:rPr>
        <w:t>kgCO</w:t>
      </w:r>
      <w:r>
        <w:rPr>
          <w:color w:val="000000"/>
          <w:kern w:val="0"/>
          <w:vertAlign w:val="subscript"/>
        </w:rPr>
        <w:t>2</w:t>
      </w:r>
      <w:r>
        <w:rPr>
          <w:color w:val="000000"/>
          <w:kern w:val="0"/>
        </w:rPr>
        <w:t>/m</w:t>
      </w:r>
      <w:r>
        <w:rPr>
          <w:color w:val="000000"/>
          <w:kern w:val="0"/>
          <w:vertAlign w:val="superscript"/>
        </w:rPr>
        <w:t>2</w:t>
      </w:r>
      <w:r>
        <w:rPr>
          <w:color w:val="000000"/>
          <w:kern w:val="0"/>
        </w:rPr>
        <w:t>·a</w:t>
      </w:r>
      <w:r>
        <w:rPr>
          <w:rFonts w:hAnsi="宋体"/>
          <w:color w:val="000000"/>
          <w:kern w:val="0"/>
        </w:rPr>
        <w:t>）</w:t>
      </w:r>
    </w:p>
    <w:p>
      <w:pPr>
        <w:rPr>
          <w:rFonts w:ascii="Times New Roman" w:hAnsi="Times New Roman"/>
          <w:szCs w:val="21"/>
        </w:rPr>
      </w:pPr>
      <w:r>
        <w:rPr>
          <w:rFonts w:hint="eastAsia" w:ascii="宋体" w:hAnsi="宋体" w:cs="宋体"/>
          <w:kern w:val="0"/>
          <w:szCs w:val="21"/>
        </w:rPr>
        <w:t>简要说明建筑固有的</w:t>
      </w:r>
      <w:r>
        <w:rPr>
          <w:rFonts w:ascii="宋体" w:hAnsi="宋体" w:cs="宋体"/>
          <w:kern w:val="0"/>
          <w:szCs w:val="21"/>
        </w:rPr>
        <w:t>碳排放量计算过程</w:t>
      </w:r>
      <w:r>
        <w:rPr>
          <w:rFonts w:hint="eastAsia" w:ascii="宋体" w:hAnsi="宋体" w:cs="宋体"/>
          <w:kern w:val="0"/>
          <w:szCs w:val="21"/>
        </w:rPr>
        <w:t>及</w:t>
      </w:r>
      <w:r>
        <w:rPr>
          <w:rFonts w:ascii="宋体" w:hAnsi="宋体" w:cs="宋体"/>
          <w:kern w:val="0"/>
          <w:szCs w:val="21"/>
        </w:rPr>
        <w:t>采取的降低碳排放量的措施</w:t>
      </w:r>
      <w:r>
        <w:rPr>
          <w:rFonts w:hint="eastAsia" w:ascii="宋体" w:hAnsi="宋体" w:cs="宋体"/>
          <w:kern w:val="0"/>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r>
        <w:t>1）碳排放计算分析报告；</w:t>
      </w:r>
    </w:p>
    <w:p>
      <w:r>
        <w:t>2）</w:t>
      </w:r>
      <w:r>
        <w:rPr>
          <w:rFonts w:hint="eastAsia"/>
        </w:rPr>
        <w:t>对于</w:t>
      </w:r>
      <w:r>
        <w:t>投入使用不足</w:t>
      </w:r>
      <w:r>
        <w:rPr>
          <w:rFonts w:hint="eastAsia"/>
        </w:rPr>
        <w:t>1年</w:t>
      </w:r>
      <w:r>
        <w:t>的项目，计算分析建筑固有碳排放量、投入使用</w:t>
      </w:r>
      <w:r>
        <w:rPr>
          <w:rFonts w:hint="eastAsia"/>
        </w:rPr>
        <w:t>满</w:t>
      </w:r>
      <w:r>
        <w:t>1</w:t>
      </w:r>
      <w:r>
        <w:rPr>
          <w:rFonts w:hint="eastAsia"/>
        </w:rPr>
        <w:t>年</w:t>
      </w:r>
      <w:r>
        <w:t>的项目，计算分析</w:t>
      </w:r>
      <w:r>
        <w:rPr>
          <w:rFonts w:hint="eastAsia"/>
        </w:rPr>
        <w:t>标准</w:t>
      </w:r>
      <w:r>
        <w:t>运行工况下建筑运行产生的碳排放量</w:t>
      </w:r>
      <w:r>
        <w:rPr>
          <w:rFonts w:hint="eastAsia"/>
        </w:rPr>
        <w:t>。</w:t>
      </w:r>
    </w:p>
    <w:p>
      <w:pPr>
        <w:pStyle w:val="10"/>
        <w:adjustRightInd w:val="0"/>
        <w:snapToGrid w:val="0"/>
        <w:ind w:firstLine="0" w:firstLineChars="0"/>
        <w:rPr>
          <w:kern w:val="0"/>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9.2.8 按照绿色</w:t>
      </w:r>
      <w:r>
        <w:rPr>
          <w:sz w:val="24"/>
          <w:szCs w:val="40"/>
        </w:rPr>
        <w:t>施工的要求进行施工和管理。</w:t>
      </w:r>
      <w:r>
        <w:rPr>
          <w:rFonts w:hint="eastAsia"/>
          <w:sz w:val="24"/>
          <w:szCs w:val="40"/>
        </w:rPr>
        <w:t>（</w:t>
      </w:r>
      <w:r>
        <w:rPr>
          <w:sz w:val="24"/>
          <w:szCs w:val="40"/>
        </w:rPr>
        <w:t>20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4233"/>
        <w:gridCol w:w="1708"/>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644" w:type="pct"/>
            <w:noWrap w:val="0"/>
            <w:vAlign w:val="top"/>
          </w:tcPr>
          <w:p>
            <w:pPr>
              <w:jc w:val="center"/>
              <w:rPr>
                <w:rFonts w:ascii="Times New Roman" w:hAnsi="Times New Roman"/>
                <w:szCs w:val="21"/>
              </w:rPr>
            </w:pPr>
            <w:r>
              <w:rPr>
                <w:rFonts w:ascii="Times New Roman" w:hAnsi="Times New Roman"/>
                <w:szCs w:val="21"/>
              </w:rPr>
              <w:t>评价内容</w:t>
            </w:r>
          </w:p>
        </w:tc>
        <w:tc>
          <w:tcPr>
            <w:tcW w:w="1067"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644" w:type="pct"/>
            <w:noWrap w:val="0"/>
            <w:vAlign w:val="center"/>
          </w:tcPr>
          <w:p>
            <w:pPr>
              <w:jc w:val="left"/>
              <w:rPr>
                <w:rFonts w:ascii="Times New Roman" w:hAnsi="Times New Roman"/>
                <w:szCs w:val="21"/>
              </w:rPr>
            </w:pPr>
            <w:r>
              <w:rPr>
                <w:rFonts w:ascii="Times New Roman" w:hAnsi="Times New Roman"/>
                <w:kern w:val="0"/>
                <w:szCs w:val="21"/>
              </w:rPr>
              <w:t>获得绿色施工优良等级或绿色施工示范工程认定</w:t>
            </w:r>
          </w:p>
        </w:tc>
        <w:tc>
          <w:tcPr>
            <w:tcW w:w="1067" w:type="pct"/>
            <w:noWrap w:val="0"/>
            <w:vAlign w:val="center"/>
          </w:tcPr>
          <w:p>
            <w:pPr>
              <w:jc w:val="center"/>
              <w:rPr>
                <w:rFonts w:ascii="Times New Roman" w:hAnsi="Times New Roman"/>
                <w:szCs w:val="21"/>
              </w:rPr>
            </w:pPr>
            <w:r>
              <w:rPr>
                <w:rFonts w:ascii="Times New Roman" w:hAnsi="Times New Roman"/>
                <w:szCs w:val="21"/>
              </w:rPr>
              <w:t>8</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2</w:t>
            </w:r>
          </w:p>
        </w:tc>
        <w:tc>
          <w:tcPr>
            <w:tcW w:w="2644" w:type="pct"/>
            <w:noWrap w:val="0"/>
            <w:vAlign w:val="center"/>
          </w:tcPr>
          <w:p>
            <w:pPr>
              <w:jc w:val="left"/>
              <w:rPr>
                <w:rFonts w:ascii="Times New Roman" w:hAnsi="Times New Roman"/>
                <w:szCs w:val="21"/>
              </w:rPr>
            </w:pPr>
            <w:r>
              <w:rPr>
                <w:rFonts w:ascii="Times New Roman" w:hAnsi="Times New Roman"/>
                <w:kern w:val="0"/>
                <w:szCs w:val="21"/>
              </w:rPr>
              <w:t>采取措施减少预拌混凝土损耗，损耗率降低至1.0%</w:t>
            </w:r>
          </w:p>
        </w:tc>
        <w:tc>
          <w:tcPr>
            <w:tcW w:w="1067" w:type="pct"/>
            <w:noWrap w:val="0"/>
            <w:vAlign w:val="center"/>
          </w:tcPr>
          <w:p>
            <w:pPr>
              <w:jc w:val="center"/>
              <w:rPr>
                <w:rFonts w:ascii="Times New Roman" w:hAnsi="Times New Roman"/>
                <w:szCs w:val="21"/>
              </w:rPr>
            </w:pPr>
            <w:r>
              <w:rPr>
                <w:rFonts w:ascii="Times New Roman" w:hAnsi="Times New Roman"/>
                <w:szCs w:val="21"/>
              </w:rPr>
              <w:t>4</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3</w:t>
            </w:r>
          </w:p>
        </w:tc>
        <w:tc>
          <w:tcPr>
            <w:tcW w:w="2644" w:type="pct"/>
            <w:noWrap w:val="0"/>
            <w:vAlign w:val="center"/>
          </w:tcPr>
          <w:p>
            <w:pPr>
              <w:jc w:val="left"/>
              <w:rPr>
                <w:rFonts w:ascii="Times New Roman" w:hAnsi="Times New Roman"/>
                <w:szCs w:val="21"/>
              </w:rPr>
            </w:pPr>
            <w:r>
              <w:rPr>
                <w:rFonts w:ascii="Times New Roman" w:hAnsi="Times New Roman"/>
                <w:kern w:val="0"/>
                <w:szCs w:val="21"/>
              </w:rPr>
              <w:t>采取措施减少现场加工钢筋损耗，损耗率降低至1.5%</w:t>
            </w:r>
          </w:p>
        </w:tc>
        <w:tc>
          <w:tcPr>
            <w:tcW w:w="1067" w:type="pct"/>
            <w:noWrap w:val="0"/>
            <w:vAlign w:val="center"/>
          </w:tcPr>
          <w:p>
            <w:pPr>
              <w:jc w:val="center"/>
              <w:rPr>
                <w:rFonts w:ascii="Times New Roman" w:hAnsi="Times New Roman"/>
                <w:szCs w:val="21"/>
              </w:rPr>
            </w:pPr>
            <w:r>
              <w:rPr>
                <w:rFonts w:ascii="Times New Roman" w:hAnsi="Times New Roman"/>
                <w:szCs w:val="21"/>
              </w:rPr>
              <w:t>4</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4</w:t>
            </w:r>
          </w:p>
        </w:tc>
        <w:tc>
          <w:tcPr>
            <w:tcW w:w="2644" w:type="pct"/>
            <w:noWrap w:val="0"/>
            <w:vAlign w:val="center"/>
          </w:tcPr>
          <w:p>
            <w:pPr>
              <w:jc w:val="left"/>
              <w:rPr>
                <w:rFonts w:ascii="Times New Roman" w:hAnsi="Times New Roman"/>
                <w:szCs w:val="21"/>
              </w:rPr>
            </w:pPr>
            <w:r>
              <w:rPr>
                <w:rFonts w:ascii="Times New Roman" w:hAnsi="Times New Roman"/>
                <w:kern w:val="0"/>
                <w:szCs w:val="21"/>
              </w:rPr>
              <w:t>现浇混凝土构件采用铝模等免墙面粉刷的模板体系</w:t>
            </w:r>
          </w:p>
        </w:tc>
        <w:tc>
          <w:tcPr>
            <w:tcW w:w="1067" w:type="pct"/>
            <w:noWrap w:val="0"/>
            <w:vAlign w:val="center"/>
          </w:tcPr>
          <w:p>
            <w:pPr>
              <w:jc w:val="center"/>
              <w:rPr>
                <w:rFonts w:ascii="Times New Roman" w:hAnsi="Times New Roman"/>
                <w:szCs w:val="21"/>
              </w:rPr>
            </w:pPr>
            <w:r>
              <w:rPr>
                <w:rFonts w:ascii="Times New Roman" w:hAnsi="Times New Roman"/>
                <w:szCs w:val="21"/>
              </w:rPr>
              <w:t>4</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3099" w:type="pct"/>
            <w:gridSpan w:val="2"/>
            <w:noWrap w:val="0"/>
            <w:vAlign w:val="center"/>
          </w:tcPr>
          <w:p>
            <w:pPr>
              <w:jc w:val="center"/>
              <w:rPr>
                <w:rFonts w:ascii="Times New Roman" w:hAnsi="Times New Roman"/>
                <w:szCs w:val="21"/>
              </w:rPr>
            </w:pPr>
            <w:r>
              <w:rPr>
                <w:rFonts w:ascii="Times New Roman" w:hAnsi="Times New Roman"/>
                <w:kern w:val="0"/>
                <w:szCs w:val="21"/>
              </w:rPr>
              <w:t>合计</w:t>
            </w:r>
          </w:p>
        </w:tc>
        <w:tc>
          <w:tcPr>
            <w:tcW w:w="1067" w:type="pct"/>
            <w:noWrap w:val="0"/>
            <w:vAlign w:val="center"/>
          </w:tcPr>
          <w:p>
            <w:pPr>
              <w:jc w:val="center"/>
              <w:rPr>
                <w:rFonts w:ascii="Times New Roman" w:hAnsi="Times New Roman"/>
                <w:szCs w:val="21"/>
              </w:rPr>
            </w:pPr>
            <w:r>
              <w:rPr>
                <w:rFonts w:ascii="Times New Roman" w:hAnsi="Times New Roman"/>
                <w:kern w:val="0"/>
                <w:szCs w:val="21"/>
              </w:rPr>
              <w:t>20</w:t>
            </w:r>
          </w:p>
        </w:tc>
        <w:tc>
          <w:tcPr>
            <w:tcW w:w="834" w:type="pct"/>
            <w:noWrap w:val="0"/>
            <w:vAlign w:val="center"/>
          </w:tcPr>
          <w:p>
            <w:pPr>
              <w:jc w:val="center"/>
              <w:rPr>
                <w:rFonts w:ascii="Times New Roman" w:hAnsi="Times New Roman"/>
                <w:szCs w:val="21"/>
              </w:rPr>
            </w:pPr>
            <w:r>
              <w:rPr>
                <w:rFonts w:hint="eastAsia" w:ascii="Times New Roman" w:hAnsi="Times New Roman"/>
                <w:kern w:val="0"/>
                <w:szCs w:val="21"/>
              </w:rPr>
              <w:t xml:space="preserve">  </w:t>
            </w:r>
          </w:p>
        </w:tc>
      </w:tr>
    </w:tbl>
    <w:p>
      <w:pPr>
        <w:spacing w:before="156" w:beforeLines="50" w:after="156" w:afterLines="50" w:line="300" w:lineRule="exact"/>
        <w:rPr>
          <w:rFonts w:ascii="Times New Roman" w:hAnsi="Times New Roman"/>
          <w:b/>
          <w:szCs w:val="21"/>
        </w:rPr>
      </w:pPr>
      <w:r>
        <w:rPr>
          <w:rFonts w:ascii="Times New Roman" w:hAnsi="Times New Roman"/>
          <w:b/>
          <w:szCs w:val="21"/>
        </w:rPr>
        <w:t>2 评价要点</w:t>
      </w:r>
    </w:p>
    <w:p>
      <w:pPr>
        <w:adjustRightInd w:val="0"/>
        <w:snapToGrid w:val="0"/>
        <w:spacing w:line="300" w:lineRule="exact"/>
        <w:ind w:left="-109" w:leftChars="-52" w:firstLine="105" w:firstLineChars="50"/>
        <w:jc w:val="left"/>
        <w:rPr>
          <w:rFonts w:cs="宋体"/>
        </w:rPr>
      </w:pPr>
      <w:r>
        <w:rPr>
          <w:rFonts w:hint="eastAsia" w:ascii="宋体" w:hAnsi="宋体" w:cs="Arial"/>
          <w:szCs w:val="21"/>
        </w:rPr>
        <w:t>项目是否获得绿色</w:t>
      </w:r>
      <w:r>
        <w:rPr>
          <w:rFonts w:ascii="宋体" w:hAnsi="宋体" w:cs="Arial"/>
          <w:szCs w:val="21"/>
        </w:rPr>
        <w:t>施工优良等级</w:t>
      </w:r>
      <w:bookmarkStart w:id="288" w:name="OLE_LINK75"/>
      <w:bookmarkStart w:id="289" w:name="OLE_LINK76"/>
      <w:r>
        <w:rPr>
          <w:rFonts w:hint="eastAsia"/>
          <w:sz w:val="28"/>
        </w:rPr>
        <w:sym w:font="Wingdings 2" w:char="F0A3"/>
      </w:r>
      <w:r>
        <w:rPr>
          <w:rFonts w:hint="eastAsia" w:cs="宋体"/>
        </w:rPr>
        <w:t>是、</w:t>
      </w:r>
      <w:r>
        <w:rPr>
          <w:rFonts w:hint="eastAsia"/>
          <w:sz w:val="28"/>
        </w:rPr>
        <w:sym w:font="Wingdings 2" w:char="F0A3"/>
      </w:r>
      <w:r>
        <w:rPr>
          <w:rFonts w:hint="eastAsia" w:cs="宋体"/>
        </w:rPr>
        <w:t>否</w:t>
      </w:r>
      <w:bookmarkEnd w:id="288"/>
      <w:bookmarkEnd w:id="289"/>
      <w:r>
        <w:rPr>
          <w:rFonts w:hint="eastAsia" w:cs="宋体"/>
        </w:rPr>
        <w:t>；</w:t>
      </w:r>
    </w:p>
    <w:p>
      <w:pPr>
        <w:adjustRightInd w:val="0"/>
        <w:snapToGrid w:val="0"/>
        <w:spacing w:line="300" w:lineRule="exact"/>
        <w:ind w:left="-109" w:leftChars="-52" w:firstLine="105" w:firstLineChars="50"/>
        <w:jc w:val="left"/>
        <w:rPr>
          <w:rFonts w:cs="宋体"/>
        </w:rPr>
      </w:pPr>
      <w:r>
        <w:rPr>
          <w:rFonts w:hint="eastAsia" w:ascii="宋体" w:hAnsi="宋体" w:cs="Arial"/>
          <w:szCs w:val="21"/>
        </w:rPr>
        <w:t>是否获得绿色</w:t>
      </w:r>
      <w:r>
        <w:rPr>
          <w:rFonts w:ascii="宋体" w:hAnsi="宋体" w:cs="Arial"/>
          <w:szCs w:val="21"/>
        </w:rPr>
        <w:t>施工示范工程认定</w:t>
      </w:r>
      <w:r>
        <w:rPr>
          <w:rFonts w:hint="eastAsia" w:ascii="宋体" w:hAnsi="宋体" w:cs="Arial"/>
          <w:szCs w:val="21"/>
        </w:rPr>
        <w:t xml:space="preserve"> </w:t>
      </w:r>
      <w:r>
        <w:rPr>
          <w:rFonts w:hint="eastAsia"/>
          <w:sz w:val="28"/>
        </w:rPr>
        <w:sym w:font="Wingdings 2" w:char="F0A3"/>
      </w:r>
      <w:r>
        <w:rPr>
          <w:rFonts w:hint="eastAsia" w:cs="宋体"/>
        </w:rPr>
        <w:t>是、</w:t>
      </w:r>
      <w:r>
        <w:rPr>
          <w:rFonts w:hint="eastAsia"/>
          <w:sz w:val="28"/>
        </w:rPr>
        <w:sym w:font="Wingdings 2" w:char="F0A3"/>
      </w:r>
      <w:r>
        <w:rPr>
          <w:rFonts w:hint="eastAsia" w:cs="宋体"/>
        </w:rPr>
        <w:t>否；</w:t>
      </w:r>
    </w:p>
    <w:p>
      <w:pPr>
        <w:adjustRightInd w:val="0"/>
        <w:snapToGrid w:val="0"/>
        <w:spacing w:line="300" w:lineRule="exact"/>
        <w:ind w:left="-109" w:leftChars="-52" w:firstLine="105" w:firstLineChars="50"/>
        <w:jc w:val="left"/>
        <w:rPr>
          <w:rFonts w:ascii="宋体" w:hAnsi="宋体" w:cs="Arial"/>
          <w:szCs w:val="21"/>
        </w:rPr>
      </w:pPr>
      <w:r>
        <w:rPr>
          <w:rFonts w:hint="eastAsia" w:ascii="宋体" w:hAnsi="宋体" w:cs="宋体"/>
          <w:kern w:val="0"/>
          <w:szCs w:val="21"/>
        </w:rPr>
        <w:t>现浇</w:t>
      </w:r>
      <w:r>
        <w:rPr>
          <w:rFonts w:ascii="宋体" w:hAnsi="宋体" w:cs="宋体"/>
          <w:kern w:val="0"/>
          <w:szCs w:val="21"/>
        </w:rPr>
        <w:t>混凝土构件</w:t>
      </w:r>
      <w:r>
        <w:rPr>
          <w:rFonts w:hint="eastAsia" w:ascii="宋体" w:hAnsi="宋体" w:cs="宋体"/>
          <w:kern w:val="0"/>
          <w:szCs w:val="21"/>
        </w:rPr>
        <w:t>是否采用</w:t>
      </w:r>
      <w:r>
        <w:rPr>
          <w:rFonts w:ascii="宋体" w:hAnsi="宋体" w:cs="宋体"/>
          <w:kern w:val="0"/>
          <w:szCs w:val="21"/>
        </w:rPr>
        <w:t>免墙面粉刷的模板体系</w:t>
      </w:r>
      <w:r>
        <w:rPr>
          <w:rFonts w:hint="eastAsia" w:ascii="宋体" w:hAnsi="宋体" w:cs="宋体"/>
          <w:kern w:val="0"/>
          <w:szCs w:val="21"/>
        </w:rPr>
        <w:t xml:space="preserve"> </w:t>
      </w:r>
      <w:r>
        <w:rPr>
          <w:rFonts w:hint="eastAsia"/>
          <w:sz w:val="28"/>
        </w:rPr>
        <w:sym w:font="Wingdings 2" w:char="F0A3"/>
      </w:r>
      <w:r>
        <w:rPr>
          <w:rFonts w:hint="eastAsia" w:cs="宋体"/>
        </w:rPr>
        <w:t>是、</w:t>
      </w:r>
      <w:r>
        <w:rPr>
          <w:rFonts w:hint="eastAsia"/>
          <w:sz w:val="28"/>
        </w:rPr>
        <w:sym w:font="Wingdings 2" w:char="F0A3"/>
      </w:r>
      <w:r>
        <w:rPr>
          <w:rFonts w:hint="eastAsia" w:cs="宋体"/>
        </w:rPr>
        <w:t>否。</w:t>
      </w:r>
    </w:p>
    <w:p>
      <w:pPr>
        <w:pStyle w:val="10"/>
        <w:adjustRightInd w:val="0"/>
        <w:snapToGrid w:val="0"/>
        <w:spacing w:line="300" w:lineRule="exact"/>
        <w:ind w:firstLine="0" w:firstLineChars="0"/>
        <w:rPr>
          <w:rFonts w:ascii="宋体" w:hAnsi="宋体" w:cs="宋体"/>
          <w:b/>
          <w:kern w:val="0"/>
          <w:szCs w:val="21"/>
        </w:rPr>
      </w:pPr>
      <w:r>
        <w:rPr>
          <w:rFonts w:hint="eastAsia" w:ascii="宋体" w:hAnsi="宋体" w:cs="宋体"/>
          <w:bCs/>
          <w:kern w:val="0"/>
          <w:szCs w:val="21"/>
        </w:rPr>
        <w:t>施工</w:t>
      </w:r>
      <w:r>
        <w:rPr>
          <w:rFonts w:ascii="宋体" w:hAnsi="宋体" w:cs="宋体"/>
          <w:kern w:val="0"/>
          <w:szCs w:val="21"/>
        </w:rPr>
        <w:t>预拌混凝土损耗</w:t>
      </w:r>
      <w:r>
        <w:rPr>
          <w:rFonts w:hint="eastAsia" w:ascii="宋体" w:hAnsi="宋体" w:cs="宋体"/>
          <w:kern w:val="0"/>
          <w:szCs w:val="21"/>
        </w:rPr>
        <w:t>率为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%，现场加工钢筋损耗率</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pPr>
        <w:spacing w:line="300" w:lineRule="exact"/>
        <w:rPr>
          <w:rFonts w:ascii="Times New Roman" w:hAnsi="Times New Roman"/>
          <w:szCs w:val="21"/>
        </w:rPr>
      </w:pPr>
      <w:r>
        <w:rPr>
          <w:rFonts w:hint="eastAsia" w:ascii="宋体" w:hAnsi="宋体" w:cs="宋体"/>
          <w:kern w:val="0"/>
          <w:szCs w:val="21"/>
        </w:rPr>
        <w:t>请简要说明绿色施工的实施情况。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00"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spacing w:line="300" w:lineRule="exact"/>
        <w:rPr>
          <w:rFonts w:ascii="Times New Roman" w:hAnsi="Times New Roman"/>
          <w:szCs w:val="21"/>
        </w:rPr>
      </w:pPr>
      <w:r>
        <w:rPr>
          <w:rFonts w:ascii="Times New Roman" w:hAnsi="Times New Roman"/>
          <w:szCs w:val="21"/>
        </w:rPr>
        <w:t>提交材料及要求：</w:t>
      </w:r>
    </w:p>
    <w:p>
      <w:pPr>
        <w:pStyle w:val="10"/>
        <w:adjustRightInd w:val="0"/>
        <w:snapToGrid w:val="0"/>
        <w:spacing w:line="300" w:lineRule="exact"/>
        <w:ind w:left="-2" w:leftChars="-1" w:firstLine="0" w:firstLineChars="0"/>
        <w:rPr>
          <w:rFonts w:ascii="宋体" w:hAnsi="宋体" w:cs="宋体"/>
          <w:kern w:val="0"/>
          <w:szCs w:val="21"/>
        </w:rPr>
      </w:pPr>
      <w:r>
        <w:rPr>
          <w:rFonts w:hint="eastAsia" w:ascii="宋体" w:hAnsi="宋体" w:cs="宋体"/>
          <w:kern w:val="0"/>
          <w:szCs w:val="21"/>
        </w:rPr>
        <w:t>1）获得绿色</w:t>
      </w:r>
      <w:r>
        <w:rPr>
          <w:rFonts w:ascii="宋体" w:hAnsi="宋体" w:cs="宋体"/>
          <w:kern w:val="0"/>
          <w:szCs w:val="21"/>
        </w:rPr>
        <w:t>施工优良等级</w:t>
      </w:r>
      <w:r>
        <w:rPr>
          <w:rFonts w:hint="eastAsia" w:ascii="宋体" w:hAnsi="宋体" w:cs="宋体"/>
          <w:kern w:val="0"/>
          <w:szCs w:val="21"/>
        </w:rPr>
        <w:t>或绿色</w:t>
      </w:r>
      <w:r>
        <w:rPr>
          <w:rFonts w:ascii="宋体" w:hAnsi="宋体" w:cs="宋体"/>
          <w:kern w:val="0"/>
          <w:szCs w:val="21"/>
        </w:rPr>
        <w:t>施工示范工程认定</w:t>
      </w:r>
      <w:r>
        <w:rPr>
          <w:rFonts w:hint="eastAsia" w:ascii="宋体" w:hAnsi="宋体" w:cs="宋体"/>
          <w:kern w:val="0"/>
          <w:szCs w:val="21"/>
        </w:rPr>
        <w:t>的</w:t>
      </w:r>
      <w:r>
        <w:rPr>
          <w:rFonts w:ascii="宋体" w:hAnsi="宋体" w:cs="宋体"/>
          <w:kern w:val="0"/>
          <w:szCs w:val="21"/>
        </w:rPr>
        <w:t>证明文件</w:t>
      </w:r>
      <w:r>
        <w:rPr>
          <w:rFonts w:hint="eastAsia" w:ascii="宋体" w:hAnsi="宋体" w:cs="宋体"/>
          <w:kern w:val="0"/>
          <w:szCs w:val="21"/>
        </w:rPr>
        <w:t>；</w:t>
      </w:r>
    </w:p>
    <w:p>
      <w:pPr>
        <w:pStyle w:val="10"/>
        <w:adjustRightInd w:val="0"/>
        <w:snapToGrid w:val="0"/>
        <w:spacing w:line="300" w:lineRule="exact"/>
        <w:ind w:left="-2" w:leftChars="-1" w:firstLine="0" w:firstLineChars="0"/>
        <w:rPr>
          <w:rFonts w:ascii="宋体" w:hAnsi="宋体" w:cs="宋体"/>
          <w:kern w:val="0"/>
          <w:szCs w:val="21"/>
        </w:rPr>
      </w:pPr>
      <w:r>
        <w:rPr>
          <w:rFonts w:hint="eastAsia" w:ascii="宋体" w:hAnsi="宋体" w:cs="宋体"/>
          <w:kern w:val="0"/>
          <w:szCs w:val="21"/>
        </w:rPr>
        <w:t>2）预拌混凝土供货合同、预拌混凝土进货单、预拌混凝土用量</w:t>
      </w:r>
      <w:r>
        <w:rPr>
          <w:rFonts w:ascii="宋体" w:hAnsi="宋体" w:cs="宋体"/>
          <w:kern w:val="0"/>
          <w:szCs w:val="21"/>
        </w:rPr>
        <w:t>结算清单</w:t>
      </w:r>
      <w:r>
        <w:rPr>
          <w:rFonts w:hint="eastAsia" w:ascii="宋体" w:hAnsi="宋体" w:cs="宋体"/>
          <w:kern w:val="0"/>
          <w:szCs w:val="21"/>
        </w:rPr>
        <w:t>、预拌混凝土损耗率计算书；</w:t>
      </w:r>
    </w:p>
    <w:p>
      <w:pPr>
        <w:pStyle w:val="10"/>
        <w:adjustRightInd w:val="0"/>
        <w:snapToGrid w:val="0"/>
        <w:spacing w:line="300" w:lineRule="exact"/>
        <w:ind w:left="-2" w:leftChars="-1" w:firstLine="0" w:firstLineChars="0"/>
        <w:rPr>
          <w:rFonts w:ascii="宋体" w:hAnsi="宋体" w:cs="宋体"/>
          <w:kern w:val="0"/>
          <w:szCs w:val="21"/>
        </w:rPr>
      </w:pPr>
      <w:r>
        <w:rPr>
          <w:rFonts w:hint="eastAsia" w:ascii="宋体" w:hAnsi="宋体" w:cs="宋体"/>
          <w:kern w:val="0"/>
          <w:szCs w:val="21"/>
        </w:rPr>
        <w:t>3）钢筋进货单、钢筋</w:t>
      </w:r>
      <w:r>
        <w:rPr>
          <w:rFonts w:ascii="宋体" w:hAnsi="宋体" w:cs="宋体"/>
          <w:kern w:val="0"/>
          <w:szCs w:val="21"/>
        </w:rPr>
        <w:t>用量结算清单、</w:t>
      </w:r>
      <w:r>
        <w:rPr>
          <w:rFonts w:hint="eastAsia" w:ascii="宋体" w:hAnsi="宋体" w:cs="宋体"/>
          <w:kern w:val="0"/>
          <w:szCs w:val="21"/>
        </w:rPr>
        <w:t>钢筋工程量清单、现场加工钢筋损耗率计算书；</w:t>
      </w:r>
    </w:p>
    <w:p>
      <w:pPr>
        <w:pStyle w:val="10"/>
        <w:adjustRightInd w:val="0"/>
        <w:snapToGrid w:val="0"/>
        <w:spacing w:line="300" w:lineRule="exact"/>
        <w:ind w:left="-2" w:leftChars="-1" w:firstLine="0" w:firstLineChars="0"/>
        <w:rPr>
          <w:rFonts w:ascii="宋体" w:hAnsi="宋体" w:cs="宋体"/>
          <w:b/>
          <w:kern w:val="0"/>
          <w:szCs w:val="21"/>
        </w:rPr>
      </w:pPr>
      <w:r>
        <w:rPr>
          <w:rFonts w:hint="eastAsia" w:ascii="宋体" w:hAnsi="宋体" w:cs="宋体"/>
          <w:kern w:val="0"/>
          <w:szCs w:val="21"/>
        </w:rPr>
        <w:t>4）模板工程施工方案、施工</w:t>
      </w:r>
      <w:r>
        <w:rPr>
          <w:rFonts w:ascii="宋体" w:hAnsi="宋体" w:cs="宋体"/>
          <w:kern w:val="0"/>
          <w:szCs w:val="21"/>
        </w:rPr>
        <w:t>日志、</w:t>
      </w:r>
      <w:r>
        <w:rPr>
          <w:rFonts w:hint="eastAsia" w:ascii="宋体" w:hAnsi="宋体" w:cs="宋体"/>
          <w:kern w:val="0"/>
          <w:szCs w:val="21"/>
        </w:rPr>
        <w:t>技术交底文件、免粉刷混凝土墙体占比计算书、施工现场影像资料</w:t>
      </w:r>
      <w:r>
        <w:rPr>
          <w:rFonts w:ascii="宋体" w:hAnsi="宋体" w:cs="宋体"/>
          <w:kern w:val="0"/>
          <w:szCs w:val="21"/>
        </w:rPr>
        <w:t>。</w:t>
      </w:r>
    </w:p>
    <w:p>
      <w:pPr>
        <w:spacing w:line="300" w:lineRule="exact"/>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9.2.9 采用建设</w:t>
      </w:r>
      <w:r>
        <w:rPr>
          <w:sz w:val="24"/>
          <w:szCs w:val="40"/>
        </w:rPr>
        <w:t>工程</w:t>
      </w:r>
      <w:r>
        <w:rPr>
          <w:rFonts w:hint="eastAsia"/>
          <w:sz w:val="24"/>
          <w:szCs w:val="40"/>
        </w:rPr>
        <w:t>质量</w:t>
      </w:r>
      <w:r>
        <w:rPr>
          <w:sz w:val="24"/>
          <w:szCs w:val="40"/>
        </w:rPr>
        <w:t>潜在缺陷保险产品</w:t>
      </w:r>
      <w:r>
        <w:rPr>
          <w:rFonts w:hint="eastAsia"/>
          <w:sz w:val="24"/>
          <w:szCs w:val="40"/>
        </w:rPr>
        <w:t>。（</w:t>
      </w:r>
      <w:r>
        <w:rPr>
          <w:sz w:val="24"/>
          <w:szCs w:val="40"/>
        </w:rPr>
        <w:t>20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left"/>
              <w:rPr>
                <w:rFonts w:ascii="Times New Roman" w:hAnsi="Times New Roman"/>
                <w:szCs w:val="21"/>
              </w:rPr>
            </w:pPr>
            <w:r>
              <w:rPr>
                <w:rFonts w:ascii="Times New Roman" w:hAnsi="Times New Roman"/>
                <w:kern w:val="0"/>
                <w:szCs w:val="21"/>
              </w:rPr>
              <w:t>保险承保范围包括地基基础工程、主体结构工程、屋面防水工程和其他土建工程的质量问题</w:t>
            </w:r>
          </w:p>
        </w:tc>
        <w:tc>
          <w:tcPr>
            <w:tcW w:w="984" w:type="pct"/>
            <w:noWrap w:val="0"/>
            <w:vAlign w:val="center"/>
          </w:tcPr>
          <w:p>
            <w:pPr>
              <w:jc w:val="center"/>
              <w:rPr>
                <w:rFonts w:ascii="Times New Roman" w:hAnsi="Times New Roman"/>
                <w:szCs w:val="21"/>
              </w:rPr>
            </w:pPr>
            <w:r>
              <w:rPr>
                <w:rFonts w:ascii="Times New Roman" w:hAnsi="Times New Roman"/>
                <w:szCs w:val="21"/>
              </w:rPr>
              <w:t>10</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2</w:t>
            </w:r>
          </w:p>
        </w:tc>
        <w:tc>
          <w:tcPr>
            <w:tcW w:w="2727" w:type="pct"/>
            <w:noWrap w:val="0"/>
            <w:vAlign w:val="center"/>
          </w:tcPr>
          <w:p>
            <w:pPr>
              <w:jc w:val="left"/>
              <w:rPr>
                <w:rFonts w:ascii="Times New Roman" w:hAnsi="Times New Roman"/>
                <w:szCs w:val="21"/>
              </w:rPr>
            </w:pPr>
            <w:r>
              <w:rPr>
                <w:rFonts w:ascii="Times New Roman" w:hAnsi="Times New Roman"/>
                <w:kern w:val="0"/>
                <w:szCs w:val="21"/>
              </w:rPr>
              <w:t>保险承保范围包括装修工程、电气管线、上下水管线的安装工程,供热、供冷系统工程的质量问题</w:t>
            </w:r>
          </w:p>
        </w:tc>
        <w:tc>
          <w:tcPr>
            <w:tcW w:w="984" w:type="pct"/>
            <w:noWrap w:val="0"/>
            <w:vAlign w:val="center"/>
          </w:tcPr>
          <w:p>
            <w:pPr>
              <w:jc w:val="center"/>
              <w:rPr>
                <w:rFonts w:ascii="Times New Roman" w:hAnsi="Times New Roman"/>
                <w:szCs w:val="21"/>
              </w:rPr>
            </w:pPr>
            <w:r>
              <w:rPr>
                <w:rFonts w:ascii="Times New Roman" w:hAnsi="Times New Roman"/>
                <w:szCs w:val="21"/>
              </w:rPr>
              <w:t>10</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3182" w:type="pct"/>
            <w:gridSpan w:val="2"/>
            <w:noWrap w:val="0"/>
            <w:vAlign w:val="center"/>
          </w:tcPr>
          <w:p>
            <w:pPr>
              <w:jc w:val="center"/>
              <w:rPr>
                <w:rFonts w:ascii="Times New Roman" w:hAnsi="Times New Roman"/>
                <w:szCs w:val="21"/>
              </w:rPr>
            </w:pPr>
            <w:r>
              <w:rPr>
                <w:rFonts w:ascii="Times New Roman" w:hAnsi="Times New Roman"/>
                <w:kern w:val="0"/>
                <w:szCs w:val="21"/>
              </w:rPr>
              <w:t>合计</w:t>
            </w:r>
          </w:p>
        </w:tc>
        <w:tc>
          <w:tcPr>
            <w:tcW w:w="984" w:type="pct"/>
            <w:noWrap w:val="0"/>
            <w:vAlign w:val="center"/>
          </w:tcPr>
          <w:p>
            <w:pPr>
              <w:jc w:val="center"/>
              <w:rPr>
                <w:rFonts w:ascii="Times New Roman" w:hAnsi="Times New Roman"/>
                <w:szCs w:val="21"/>
              </w:rPr>
            </w:pPr>
            <w:r>
              <w:rPr>
                <w:rFonts w:ascii="Times New Roman" w:hAnsi="Times New Roman"/>
                <w:kern w:val="0"/>
                <w:szCs w:val="21"/>
              </w:rPr>
              <w:t>20</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adjustRightInd w:val="0"/>
        <w:snapToGrid w:val="0"/>
        <w:spacing w:line="288" w:lineRule="auto"/>
        <w:ind w:left="-109" w:leftChars="-52" w:firstLine="105" w:firstLineChars="50"/>
        <w:jc w:val="left"/>
        <w:rPr>
          <w:rFonts w:ascii="宋体" w:hAnsi="宋体" w:cs="宋体"/>
          <w:kern w:val="0"/>
          <w:szCs w:val="21"/>
        </w:rPr>
      </w:pPr>
      <w:r>
        <w:rPr>
          <w:rFonts w:hint="eastAsia" w:ascii="宋体" w:hAnsi="宋体" w:cs="宋体"/>
          <w:kern w:val="0"/>
          <w:szCs w:val="21"/>
        </w:rPr>
        <w:t>建设工程质量潜在缺陷保险（IDI）的承保</w:t>
      </w:r>
      <w:r>
        <w:rPr>
          <w:rFonts w:ascii="宋体" w:hAnsi="宋体" w:cs="宋体"/>
          <w:kern w:val="0"/>
          <w:szCs w:val="21"/>
        </w:rPr>
        <w:t>范围包括</w:t>
      </w:r>
      <w:r>
        <w:rPr>
          <w:rFonts w:hint="eastAsia" w:ascii="宋体" w:hAnsi="宋体" w:cs="宋体"/>
          <w:kern w:val="0"/>
          <w:szCs w:val="21"/>
        </w:rPr>
        <w:t>：</w:t>
      </w:r>
    </w:p>
    <w:p>
      <w:pPr>
        <w:adjustRightInd w:val="0"/>
        <w:snapToGrid w:val="0"/>
        <w:spacing w:line="288" w:lineRule="auto"/>
        <w:ind w:left="-109" w:leftChars="-52" w:firstLine="140" w:firstLineChars="50"/>
        <w:jc w:val="left"/>
        <w:rPr>
          <w:rFonts w:ascii="宋体" w:hAnsi="宋体" w:cs="宋体"/>
          <w:kern w:val="0"/>
          <w:szCs w:val="21"/>
        </w:rPr>
      </w:pPr>
      <w:r>
        <w:rPr>
          <w:rFonts w:hint="eastAsia"/>
          <w:sz w:val="28"/>
        </w:rPr>
        <w:sym w:font="Wingdings 2" w:char="F0A3"/>
      </w:r>
      <w:r>
        <w:rPr>
          <w:rFonts w:ascii="宋体" w:hAnsi="宋体" w:cs="宋体"/>
          <w:kern w:val="0"/>
          <w:szCs w:val="21"/>
        </w:rPr>
        <w:t>地基</w:t>
      </w:r>
      <w:r>
        <w:rPr>
          <w:rFonts w:hint="eastAsia" w:ascii="宋体" w:hAnsi="宋体" w:cs="宋体"/>
          <w:kern w:val="0"/>
          <w:szCs w:val="21"/>
        </w:rPr>
        <w:t>基础</w:t>
      </w:r>
      <w:r>
        <w:rPr>
          <w:rFonts w:ascii="宋体" w:hAnsi="宋体" w:cs="宋体"/>
          <w:kern w:val="0"/>
          <w:szCs w:val="21"/>
        </w:rPr>
        <w:t>工程</w:t>
      </w:r>
      <w:r>
        <w:rPr>
          <w:rFonts w:hint="eastAsia" w:ascii="宋体" w:hAnsi="宋体" w:cs="宋体"/>
          <w:kern w:val="0"/>
          <w:szCs w:val="21"/>
        </w:rPr>
        <w:t>、</w:t>
      </w:r>
      <w:r>
        <w:rPr>
          <w:rFonts w:hint="eastAsia"/>
          <w:sz w:val="28"/>
        </w:rPr>
        <w:sym w:font="Wingdings 2" w:char="F0A3"/>
      </w:r>
      <w:r>
        <w:rPr>
          <w:rFonts w:ascii="宋体" w:hAnsi="宋体" w:cs="宋体"/>
          <w:kern w:val="0"/>
          <w:szCs w:val="21"/>
        </w:rPr>
        <w:t>主体结构工程</w:t>
      </w:r>
      <w:r>
        <w:rPr>
          <w:rFonts w:hint="eastAsia" w:ascii="宋体" w:hAnsi="宋体" w:cs="宋体"/>
          <w:kern w:val="0"/>
          <w:szCs w:val="21"/>
        </w:rPr>
        <w:t>、</w:t>
      </w:r>
      <w:r>
        <w:rPr>
          <w:rFonts w:hint="eastAsia"/>
          <w:sz w:val="28"/>
        </w:rPr>
        <w:sym w:font="Wingdings 2" w:char="F0A3"/>
      </w:r>
      <w:r>
        <w:rPr>
          <w:rFonts w:ascii="宋体" w:hAnsi="宋体" w:cs="宋体"/>
          <w:kern w:val="0"/>
          <w:szCs w:val="21"/>
        </w:rPr>
        <w:t>屋面防水工程</w:t>
      </w:r>
      <w:r>
        <w:rPr>
          <w:rFonts w:hint="eastAsia" w:ascii="宋体" w:hAnsi="宋体" w:cs="宋体"/>
          <w:kern w:val="0"/>
          <w:szCs w:val="21"/>
        </w:rPr>
        <w:t>、</w:t>
      </w:r>
      <w:r>
        <w:rPr>
          <w:rFonts w:hint="eastAsia"/>
          <w:sz w:val="28"/>
        </w:rPr>
        <w:sym w:font="Wingdings 2" w:char="F0A3"/>
      </w:r>
      <w:r>
        <w:rPr>
          <w:rFonts w:hint="eastAsia" w:ascii="宋体" w:hAnsi="宋体"/>
          <w:bCs/>
          <w:szCs w:val="21"/>
          <w:lang w:val="zh-CN"/>
        </w:rPr>
        <w:t>其</w:t>
      </w:r>
      <w:r>
        <w:rPr>
          <w:rFonts w:ascii="宋体" w:hAnsi="宋体" w:cs="宋体"/>
          <w:kern w:val="0"/>
          <w:szCs w:val="21"/>
        </w:rPr>
        <w:t>他土建工程</w:t>
      </w:r>
      <w:r>
        <w:rPr>
          <w:rFonts w:hint="eastAsia" w:ascii="宋体" w:hAnsi="宋体" w:cs="宋体"/>
          <w:kern w:val="0"/>
          <w:szCs w:val="21"/>
          <w:u w:val="single"/>
        </w:rPr>
        <w:t xml:space="preserve">             </w:t>
      </w:r>
    </w:p>
    <w:p>
      <w:pPr>
        <w:adjustRightInd w:val="0"/>
        <w:snapToGrid w:val="0"/>
        <w:spacing w:line="288" w:lineRule="auto"/>
        <w:ind w:left="-109" w:leftChars="-52" w:firstLine="140" w:firstLineChars="50"/>
        <w:jc w:val="left"/>
        <w:rPr>
          <w:rFonts w:ascii="宋体" w:hAnsi="宋体" w:cs="宋体"/>
          <w:kern w:val="0"/>
          <w:szCs w:val="21"/>
        </w:rPr>
      </w:pPr>
      <w:r>
        <w:rPr>
          <w:rFonts w:hint="eastAsia"/>
          <w:sz w:val="28"/>
        </w:rPr>
        <w:sym w:font="Wingdings 2" w:char="F0A3"/>
      </w:r>
      <w:r>
        <w:rPr>
          <w:rFonts w:hint="eastAsia" w:ascii="宋体" w:hAnsi="宋体" w:cs="宋体"/>
          <w:kern w:val="0"/>
          <w:szCs w:val="21"/>
        </w:rPr>
        <w:t>装修</w:t>
      </w:r>
      <w:r>
        <w:rPr>
          <w:rFonts w:ascii="宋体" w:hAnsi="宋体" w:cs="宋体"/>
          <w:kern w:val="0"/>
          <w:szCs w:val="21"/>
        </w:rPr>
        <w:t>工程</w:t>
      </w:r>
      <w:r>
        <w:rPr>
          <w:rFonts w:hint="eastAsia" w:ascii="宋体" w:hAnsi="宋体" w:cs="宋体"/>
          <w:kern w:val="0"/>
          <w:szCs w:val="21"/>
        </w:rPr>
        <w:t>、</w:t>
      </w:r>
      <w:r>
        <w:rPr>
          <w:rFonts w:hint="eastAsia"/>
          <w:sz w:val="28"/>
        </w:rPr>
        <w:sym w:font="Wingdings 2" w:char="F0A3"/>
      </w:r>
      <w:r>
        <w:rPr>
          <w:rFonts w:hint="eastAsia" w:ascii="宋体" w:hAnsi="宋体" w:cs="宋体"/>
          <w:kern w:val="0"/>
          <w:szCs w:val="21"/>
        </w:rPr>
        <w:t>电气管线、</w:t>
      </w:r>
      <w:r>
        <w:rPr>
          <w:rFonts w:hint="eastAsia"/>
          <w:sz w:val="28"/>
        </w:rPr>
        <w:sym w:font="Wingdings 2" w:char="F0A3"/>
      </w:r>
      <w:r>
        <w:rPr>
          <w:rFonts w:hint="eastAsia" w:ascii="宋体" w:hAnsi="宋体" w:cs="宋体"/>
          <w:kern w:val="0"/>
          <w:szCs w:val="21"/>
        </w:rPr>
        <w:t>上下水管线</w:t>
      </w:r>
      <w:r>
        <w:rPr>
          <w:rFonts w:ascii="宋体" w:hAnsi="宋体" w:cs="宋体"/>
          <w:kern w:val="0"/>
          <w:szCs w:val="21"/>
        </w:rPr>
        <w:t>的安装工程</w:t>
      </w:r>
      <w:r>
        <w:rPr>
          <w:rFonts w:hint="eastAsia" w:ascii="宋体" w:hAnsi="宋体" w:cs="宋体"/>
          <w:kern w:val="0"/>
          <w:szCs w:val="21"/>
        </w:rPr>
        <w:t>、</w:t>
      </w:r>
      <w:r>
        <w:rPr>
          <w:rFonts w:hint="eastAsia"/>
          <w:sz w:val="28"/>
        </w:rPr>
        <w:sym w:font="Wingdings 2" w:char="F0A3"/>
      </w:r>
      <w:r>
        <w:rPr>
          <w:rFonts w:hint="eastAsia" w:ascii="宋体" w:hAnsi="宋体" w:cs="宋体"/>
          <w:kern w:val="0"/>
          <w:szCs w:val="21"/>
        </w:rPr>
        <w:t>供热、供冷</w:t>
      </w:r>
      <w:r>
        <w:rPr>
          <w:rFonts w:ascii="宋体" w:hAnsi="宋体" w:cs="宋体"/>
          <w:kern w:val="0"/>
          <w:szCs w:val="21"/>
        </w:rPr>
        <w:t>系统工程的质量问题</w:t>
      </w:r>
    </w:p>
    <w:p>
      <w:pPr>
        <w:rPr>
          <w:rFonts w:ascii="Times New Roman" w:hAnsi="Times New Roman"/>
          <w:szCs w:val="21"/>
        </w:rPr>
      </w:pPr>
      <w:r>
        <w:rPr>
          <w:rFonts w:hint="eastAsia" w:ascii="宋体" w:hAnsi="宋体"/>
          <w:szCs w:val="21"/>
          <w:lang w:val="zh-CN"/>
        </w:rPr>
        <w:t>请简要说明</w:t>
      </w:r>
      <w:r>
        <w:rPr>
          <w:rFonts w:hint="eastAsia" w:ascii="宋体" w:hAnsi="宋体" w:cs="宋体"/>
          <w:kern w:val="0"/>
          <w:szCs w:val="21"/>
        </w:rPr>
        <w:t>建设工程质量潜在缺陷保险（IDI）的</w:t>
      </w:r>
      <w:r>
        <w:rPr>
          <w:rFonts w:ascii="宋体" w:hAnsi="宋体"/>
          <w:szCs w:val="21"/>
          <w:lang w:val="zh-CN"/>
        </w:rPr>
        <w:t>主要条款、保费、保额</w:t>
      </w:r>
      <w:r>
        <w:rPr>
          <w:rFonts w:hint="eastAsia" w:ascii="宋体" w:hAnsi="宋体" w:cs="宋体"/>
          <w:kern w:val="0"/>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adjustRightInd w:val="0"/>
        <w:snapToGrid w:val="0"/>
        <w:spacing w:line="288" w:lineRule="auto"/>
        <w:rPr>
          <w:rFonts w:ascii="宋体" w:hAnsi="宋体" w:cs="宋体"/>
          <w:kern w:val="0"/>
        </w:rPr>
      </w:pPr>
      <w:r>
        <w:rPr>
          <w:rFonts w:hint="eastAsia" w:ascii="宋体" w:hAnsi="宋体" w:cs="宋体"/>
          <w:kern w:val="0"/>
        </w:rPr>
        <w:t>1）</w:t>
      </w:r>
      <w:r>
        <w:rPr>
          <w:rFonts w:ascii="宋体" w:hAnsi="宋体" w:cs="宋体"/>
          <w:kern w:val="0"/>
        </w:rPr>
        <w:t>建设工程质量保险产品保单</w:t>
      </w:r>
      <w:r>
        <w:rPr>
          <w:rFonts w:hint="eastAsia" w:ascii="宋体" w:hAnsi="宋体" w:cs="宋体"/>
          <w:kern w:val="0"/>
        </w:rPr>
        <w:t>。</w:t>
      </w:r>
    </w:p>
    <w:p>
      <w:pPr>
        <w:adjustRightInd w:val="0"/>
        <w:snapToGrid w:val="0"/>
        <w:spacing w:line="288" w:lineRule="auto"/>
        <w:rPr>
          <w:rFonts w:ascii="宋体" w:hAnsi="宋体" w:cs="宋体"/>
          <w:kern w:val="0"/>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p>
      <w:pPr>
        <w:widowControl/>
        <w:jc w:val="left"/>
        <w:rPr>
          <w:rFonts w:ascii="Times New Roman" w:hAnsi="Times New Roman"/>
          <w:b/>
          <w:bCs/>
          <w:sz w:val="24"/>
          <w:szCs w:val="40"/>
        </w:rPr>
      </w:pPr>
      <w:r>
        <w:rPr>
          <w:sz w:val="24"/>
          <w:szCs w:val="40"/>
        </w:rPr>
        <w:br w:type="page"/>
      </w:r>
    </w:p>
    <w:p>
      <w:pPr>
        <w:pStyle w:val="3"/>
        <w:rPr>
          <w:sz w:val="24"/>
          <w:szCs w:val="40"/>
        </w:rPr>
      </w:pPr>
      <w:r>
        <w:rPr>
          <w:rFonts w:hint="eastAsia"/>
          <w:sz w:val="24"/>
          <w:szCs w:val="40"/>
        </w:rPr>
        <w:t>9.2.1</w:t>
      </w:r>
      <w:r>
        <w:rPr>
          <w:sz w:val="24"/>
          <w:szCs w:val="40"/>
        </w:rPr>
        <w:t>0</w:t>
      </w:r>
      <w:r>
        <w:rPr>
          <w:rFonts w:hint="eastAsia"/>
          <w:sz w:val="24"/>
          <w:szCs w:val="40"/>
        </w:rPr>
        <w:t xml:space="preserve"> 采取节约资源、保护生态环境、保障安全健康、智慧友好运行、传承历史文化等其他创新，并有明显效益。（</w:t>
      </w:r>
      <w:r>
        <w:rPr>
          <w:sz w:val="24"/>
          <w:szCs w:val="40"/>
        </w:rPr>
        <w:t>40</w:t>
      </w:r>
      <w:r>
        <w:rPr>
          <w:rFonts w:hint="eastAsia"/>
          <w:sz w:val="24"/>
          <w:szCs w:val="40"/>
        </w:rPr>
        <w:t>分）</w:t>
      </w:r>
    </w:p>
    <w:p>
      <w:pPr>
        <w:spacing w:before="156" w:beforeLines="50" w:after="156" w:afterLines="50"/>
        <w:rPr>
          <w:rFonts w:ascii="Times New Roman" w:hAnsi="Times New Roman"/>
          <w:b/>
          <w:szCs w:val="21"/>
        </w:rPr>
      </w:pPr>
      <w:r>
        <w:rPr>
          <w:rFonts w:ascii="Times New Roman" w:hAnsi="Times New Roman"/>
          <w:b/>
          <w:szCs w:val="21"/>
        </w:rPr>
        <w:t>1 得分自评</w:t>
      </w:r>
    </w:p>
    <w:tbl>
      <w:tblPr>
        <w:tblStyle w:val="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65"/>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55" w:type="pct"/>
            <w:noWrap w:val="0"/>
            <w:vAlign w:val="top"/>
          </w:tcPr>
          <w:p>
            <w:pPr>
              <w:jc w:val="center"/>
              <w:rPr>
                <w:rFonts w:ascii="Times New Roman" w:hAnsi="Times New Roman"/>
                <w:szCs w:val="21"/>
              </w:rPr>
            </w:pPr>
            <w:r>
              <w:rPr>
                <w:rFonts w:ascii="Times New Roman" w:hAnsi="Times New Roman"/>
                <w:szCs w:val="21"/>
              </w:rPr>
              <w:t>序号</w:t>
            </w:r>
          </w:p>
        </w:tc>
        <w:tc>
          <w:tcPr>
            <w:tcW w:w="2727" w:type="pct"/>
            <w:noWrap w:val="0"/>
            <w:vAlign w:val="top"/>
          </w:tcPr>
          <w:p>
            <w:pPr>
              <w:jc w:val="center"/>
              <w:rPr>
                <w:rFonts w:ascii="Times New Roman" w:hAnsi="Times New Roman"/>
                <w:szCs w:val="21"/>
              </w:rPr>
            </w:pPr>
            <w:r>
              <w:rPr>
                <w:rFonts w:ascii="Times New Roman" w:hAnsi="Times New Roman"/>
                <w:szCs w:val="21"/>
              </w:rPr>
              <w:t>评价内容</w:t>
            </w:r>
          </w:p>
        </w:tc>
        <w:tc>
          <w:tcPr>
            <w:tcW w:w="984" w:type="pct"/>
            <w:noWrap w:val="0"/>
            <w:vAlign w:val="top"/>
          </w:tcPr>
          <w:p>
            <w:pPr>
              <w:jc w:val="center"/>
              <w:rPr>
                <w:rFonts w:ascii="Times New Roman" w:hAnsi="Times New Roman"/>
                <w:szCs w:val="21"/>
              </w:rPr>
            </w:pPr>
            <w:r>
              <w:rPr>
                <w:rFonts w:ascii="Times New Roman" w:hAnsi="Times New Roman"/>
                <w:szCs w:val="21"/>
              </w:rPr>
              <w:t>评价分值</w:t>
            </w:r>
          </w:p>
        </w:tc>
        <w:tc>
          <w:tcPr>
            <w:tcW w:w="834" w:type="pct"/>
            <w:noWrap w:val="0"/>
            <w:vAlign w:val="top"/>
          </w:tcPr>
          <w:p>
            <w:pPr>
              <w:jc w:val="center"/>
              <w:rPr>
                <w:rFonts w:ascii="Times New Roman" w:hAnsi="Times New Roman"/>
                <w:szCs w:val="21"/>
              </w:rPr>
            </w:pPr>
            <w:r>
              <w:rPr>
                <w:rFonts w:ascii="Times New Roman" w:hAnsi="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1</w:t>
            </w:r>
          </w:p>
        </w:tc>
        <w:tc>
          <w:tcPr>
            <w:tcW w:w="2727" w:type="pct"/>
            <w:noWrap w:val="0"/>
            <w:vAlign w:val="center"/>
          </w:tcPr>
          <w:p>
            <w:pPr>
              <w:jc w:val="left"/>
              <w:rPr>
                <w:rFonts w:ascii="Times New Roman" w:hAnsi="Times New Roman"/>
                <w:szCs w:val="21"/>
              </w:rPr>
            </w:pPr>
            <w:r>
              <w:rPr>
                <w:rFonts w:ascii="Times New Roman" w:hAnsi="Times New Roman"/>
                <w:kern w:val="0"/>
                <w:szCs w:val="21"/>
              </w:rPr>
              <w:t>采取节约资源的其他创新</w:t>
            </w:r>
          </w:p>
        </w:tc>
        <w:tc>
          <w:tcPr>
            <w:tcW w:w="984" w:type="pct"/>
            <w:noWrap w:val="0"/>
            <w:vAlign w:val="center"/>
          </w:tcPr>
          <w:p>
            <w:pPr>
              <w:jc w:val="center"/>
              <w:rPr>
                <w:rFonts w:ascii="Times New Roman" w:hAnsi="Times New Roman"/>
                <w:szCs w:val="21"/>
              </w:rPr>
            </w:pPr>
            <w:r>
              <w:rPr>
                <w:rFonts w:ascii="Times New Roman" w:hAnsi="Times New Roman"/>
                <w:kern w:val="0"/>
                <w:szCs w:val="21"/>
              </w:rPr>
              <w:t>10</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2</w:t>
            </w:r>
          </w:p>
        </w:tc>
        <w:tc>
          <w:tcPr>
            <w:tcW w:w="2727" w:type="pct"/>
            <w:noWrap w:val="0"/>
            <w:vAlign w:val="center"/>
          </w:tcPr>
          <w:p>
            <w:pPr>
              <w:jc w:val="left"/>
              <w:rPr>
                <w:rFonts w:ascii="Times New Roman" w:hAnsi="Times New Roman"/>
                <w:szCs w:val="21"/>
              </w:rPr>
            </w:pPr>
            <w:r>
              <w:rPr>
                <w:rFonts w:ascii="Times New Roman" w:hAnsi="Times New Roman"/>
                <w:kern w:val="0"/>
                <w:szCs w:val="21"/>
              </w:rPr>
              <w:t>采取保护生态环境的其他创新</w:t>
            </w:r>
          </w:p>
        </w:tc>
        <w:tc>
          <w:tcPr>
            <w:tcW w:w="984" w:type="pct"/>
            <w:noWrap w:val="0"/>
            <w:vAlign w:val="center"/>
          </w:tcPr>
          <w:p>
            <w:pPr>
              <w:jc w:val="center"/>
              <w:rPr>
                <w:rFonts w:ascii="Times New Roman" w:hAnsi="Times New Roman"/>
                <w:szCs w:val="21"/>
              </w:rPr>
            </w:pPr>
            <w:r>
              <w:rPr>
                <w:rFonts w:ascii="Times New Roman" w:hAnsi="Times New Roman"/>
                <w:kern w:val="0"/>
                <w:szCs w:val="21"/>
              </w:rPr>
              <w:t>10</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3</w:t>
            </w:r>
          </w:p>
        </w:tc>
        <w:tc>
          <w:tcPr>
            <w:tcW w:w="2727" w:type="pct"/>
            <w:noWrap w:val="0"/>
            <w:vAlign w:val="center"/>
          </w:tcPr>
          <w:p>
            <w:pPr>
              <w:jc w:val="left"/>
              <w:rPr>
                <w:rFonts w:ascii="Times New Roman" w:hAnsi="Times New Roman"/>
                <w:szCs w:val="21"/>
              </w:rPr>
            </w:pPr>
            <w:r>
              <w:rPr>
                <w:rFonts w:ascii="Times New Roman" w:hAnsi="Times New Roman"/>
                <w:kern w:val="0"/>
                <w:szCs w:val="21"/>
              </w:rPr>
              <w:t>采取保障安全健康的其他创新</w:t>
            </w:r>
          </w:p>
        </w:tc>
        <w:tc>
          <w:tcPr>
            <w:tcW w:w="984" w:type="pct"/>
            <w:noWrap w:val="0"/>
            <w:vAlign w:val="center"/>
          </w:tcPr>
          <w:p>
            <w:pPr>
              <w:jc w:val="center"/>
              <w:rPr>
                <w:rFonts w:ascii="Times New Roman" w:hAnsi="Times New Roman"/>
                <w:szCs w:val="21"/>
              </w:rPr>
            </w:pPr>
            <w:r>
              <w:rPr>
                <w:rFonts w:ascii="Times New Roman" w:hAnsi="Times New Roman"/>
                <w:kern w:val="0"/>
                <w:szCs w:val="21"/>
              </w:rPr>
              <w:t>10</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4</w:t>
            </w:r>
          </w:p>
        </w:tc>
        <w:tc>
          <w:tcPr>
            <w:tcW w:w="2727" w:type="pct"/>
            <w:noWrap w:val="0"/>
            <w:vAlign w:val="center"/>
          </w:tcPr>
          <w:p>
            <w:pPr>
              <w:jc w:val="left"/>
              <w:rPr>
                <w:rFonts w:ascii="Times New Roman" w:hAnsi="Times New Roman"/>
                <w:szCs w:val="21"/>
              </w:rPr>
            </w:pPr>
            <w:r>
              <w:rPr>
                <w:rFonts w:ascii="Times New Roman" w:hAnsi="Times New Roman"/>
                <w:kern w:val="0"/>
                <w:szCs w:val="21"/>
              </w:rPr>
              <w:t>采取</w:t>
            </w:r>
            <w:r>
              <w:rPr>
                <w:rFonts w:ascii="Times New Roman" w:hAnsi="Times New Roman"/>
              </w:rPr>
              <w:t>智慧友好运行</w:t>
            </w:r>
            <w:r>
              <w:rPr>
                <w:rFonts w:ascii="Times New Roman" w:hAnsi="Times New Roman"/>
                <w:kern w:val="0"/>
                <w:szCs w:val="21"/>
              </w:rPr>
              <w:t>的其他创新</w:t>
            </w:r>
          </w:p>
        </w:tc>
        <w:tc>
          <w:tcPr>
            <w:tcW w:w="984" w:type="pct"/>
            <w:noWrap w:val="0"/>
            <w:vAlign w:val="center"/>
          </w:tcPr>
          <w:p>
            <w:pPr>
              <w:jc w:val="center"/>
              <w:rPr>
                <w:rFonts w:ascii="Times New Roman" w:hAnsi="Times New Roman"/>
                <w:szCs w:val="21"/>
              </w:rPr>
            </w:pPr>
            <w:r>
              <w:rPr>
                <w:rFonts w:ascii="Times New Roman" w:hAnsi="Times New Roman"/>
                <w:kern w:val="0"/>
                <w:szCs w:val="21"/>
              </w:rPr>
              <w:t>10</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455" w:type="pct"/>
            <w:noWrap w:val="0"/>
            <w:vAlign w:val="center"/>
          </w:tcPr>
          <w:p>
            <w:pPr>
              <w:jc w:val="center"/>
              <w:rPr>
                <w:rFonts w:ascii="Times New Roman" w:hAnsi="Times New Roman"/>
                <w:szCs w:val="21"/>
              </w:rPr>
            </w:pPr>
            <w:r>
              <w:rPr>
                <w:rFonts w:ascii="Times New Roman" w:hAnsi="Times New Roman"/>
                <w:szCs w:val="21"/>
              </w:rPr>
              <w:t>5</w:t>
            </w:r>
          </w:p>
        </w:tc>
        <w:tc>
          <w:tcPr>
            <w:tcW w:w="2727" w:type="pct"/>
            <w:noWrap w:val="0"/>
            <w:vAlign w:val="center"/>
          </w:tcPr>
          <w:p>
            <w:pPr>
              <w:jc w:val="left"/>
              <w:rPr>
                <w:rFonts w:ascii="Times New Roman" w:hAnsi="Times New Roman"/>
                <w:szCs w:val="21"/>
              </w:rPr>
            </w:pPr>
            <w:r>
              <w:rPr>
                <w:rFonts w:ascii="Times New Roman" w:hAnsi="Times New Roman"/>
                <w:kern w:val="0"/>
                <w:szCs w:val="21"/>
              </w:rPr>
              <w:t>采取</w:t>
            </w:r>
            <w:r>
              <w:rPr>
                <w:rFonts w:ascii="Times New Roman" w:hAnsi="Times New Roman"/>
              </w:rPr>
              <w:t>传承历史文化</w:t>
            </w:r>
            <w:r>
              <w:rPr>
                <w:rFonts w:ascii="Times New Roman" w:hAnsi="Times New Roman"/>
                <w:kern w:val="0"/>
                <w:szCs w:val="21"/>
              </w:rPr>
              <w:t>的其他创新</w:t>
            </w:r>
          </w:p>
        </w:tc>
        <w:tc>
          <w:tcPr>
            <w:tcW w:w="984" w:type="pct"/>
            <w:noWrap w:val="0"/>
            <w:vAlign w:val="center"/>
          </w:tcPr>
          <w:p>
            <w:pPr>
              <w:jc w:val="center"/>
              <w:rPr>
                <w:rFonts w:ascii="Times New Roman" w:hAnsi="Times New Roman"/>
                <w:szCs w:val="21"/>
              </w:rPr>
            </w:pPr>
            <w:r>
              <w:rPr>
                <w:rFonts w:ascii="Times New Roman" w:hAnsi="Times New Roman"/>
                <w:kern w:val="0"/>
                <w:szCs w:val="21"/>
              </w:rPr>
              <w:t>10</w:t>
            </w:r>
          </w:p>
        </w:tc>
        <w:tc>
          <w:tcPr>
            <w:tcW w:w="834" w:type="pct"/>
            <w:noWrap w:val="0"/>
            <w:vAlign w:val="top"/>
          </w:tcPr>
          <w:p>
            <w:pPr>
              <w:jc w:val="center"/>
              <w:rPr>
                <w:rFonts w:ascii="Times New Roman" w:hAnsi="Times New Roman"/>
                <w:szCs w:val="21"/>
              </w:rPr>
            </w:pP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jc w:val="center"/>
        </w:trPr>
        <w:tc>
          <w:tcPr>
            <w:tcW w:w="3182" w:type="pct"/>
            <w:gridSpan w:val="2"/>
            <w:noWrap w:val="0"/>
            <w:vAlign w:val="center"/>
          </w:tcPr>
          <w:p>
            <w:pPr>
              <w:jc w:val="center"/>
              <w:rPr>
                <w:rFonts w:ascii="Times New Roman" w:hAnsi="Times New Roman"/>
                <w:szCs w:val="21"/>
              </w:rPr>
            </w:pPr>
            <w:r>
              <w:rPr>
                <w:rFonts w:ascii="Times New Roman" w:hAnsi="Times New Roman"/>
                <w:kern w:val="0"/>
                <w:szCs w:val="21"/>
              </w:rPr>
              <w:t>总计</w:t>
            </w:r>
          </w:p>
        </w:tc>
        <w:tc>
          <w:tcPr>
            <w:tcW w:w="984" w:type="pct"/>
            <w:noWrap w:val="0"/>
            <w:vAlign w:val="center"/>
          </w:tcPr>
          <w:p>
            <w:pPr>
              <w:jc w:val="center"/>
              <w:rPr>
                <w:rFonts w:ascii="Times New Roman" w:hAnsi="Times New Roman"/>
                <w:szCs w:val="21"/>
              </w:rPr>
            </w:pPr>
            <w:r>
              <w:rPr>
                <w:rFonts w:ascii="Times New Roman" w:hAnsi="Times New Roman"/>
                <w:kern w:val="0"/>
                <w:szCs w:val="21"/>
              </w:rPr>
              <w:t>40</w:t>
            </w:r>
          </w:p>
        </w:tc>
        <w:tc>
          <w:tcPr>
            <w:tcW w:w="834" w:type="pct"/>
            <w:noWrap w:val="0"/>
            <w:vAlign w:val="center"/>
          </w:tcPr>
          <w:p>
            <w:pPr>
              <w:jc w:val="center"/>
              <w:rPr>
                <w:rFonts w:ascii="Times New Roman" w:hAnsi="Times New Roman"/>
                <w:szCs w:val="21"/>
              </w:rPr>
            </w:pPr>
            <w:r>
              <w:rPr>
                <w:rFonts w:hint="eastAsia" w:ascii="Times New Roman" w:hAnsi="Times New Roman"/>
                <w:szCs w:val="21"/>
              </w:rPr>
              <w:t xml:space="preserve">  </w:t>
            </w:r>
          </w:p>
        </w:tc>
      </w:tr>
    </w:tbl>
    <w:p>
      <w:pPr>
        <w:spacing w:before="156" w:beforeLines="50" w:after="156" w:afterLines="50"/>
        <w:rPr>
          <w:rFonts w:ascii="Times New Roman" w:hAnsi="Times New Roman"/>
          <w:b/>
          <w:szCs w:val="21"/>
        </w:rPr>
      </w:pPr>
      <w:r>
        <w:rPr>
          <w:rFonts w:ascii="Times New Roman" w:hAnsi="Times New Roman"/>
          <w:b/>
          <w:szCs w:val="21"/>
        </w:rPr>
        <w:t>2 评价要点</w:t>
      </w:r>
    </w:p>
    <w:p>
      <w:pPr>
        <w:rPr>
          <w:rFonts w:ascii="Times New Roman" w:hAnsi="Times New Roman"/>
          <w:szCs w:val="21"/>
        </w:rPr>
      </w:pPr>
      <w:r>
        <w:rPr>
          <w:rFonts w:hint="eastAsia" w:ascii="宋体" w:hAnsi="宋体" w:cs="宋体"/>
          <w:kern w:val="0"/>
          <w:szCs w:val="21"/>
        </w:rPr>
        <w:t>请简要说明项目开发建设、运营维护过程中的其他创新措施及其社会和经济效益。</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8272" w:type="dxa"/>
            <w:shd w:val="clear" w:color="auto" w:fill="auto"/>
            <w:noWrap w:val="0"/>
            <w:vAlign w:val="top"/>
          </w:tcPr>
          <w:p>
            <w:pPr>
              <w:rPr>
                <w:rFonts w:ascii="Times New Roman" w:hAnsi="Times New Roman"/>
                <w:kern w:val="0"/>
                <w:sz w:val="20"/>
                <w:szCs w:val="21"/>
              </w:rPr>
            </w:pPr>
          </w:p>
        </w:tc>
      </w:tr>
    </w:tbl>
    <w:p>
      <w:pPr>
        <w:spacing w:before="156" w:beforeLines="50" w:after="156" w:afterLines="50"/>
        <w:rPr>
          <w:rFonts w:ascii="Times New Roman" w:hAnsi="Times New Roman"/>
          <w:b/>
          <w:szCs w:val="21"/>
        </w:rPr>
      </w:pPr>
      <w:r>
        <w:rPr>
          <w:rFonts w:ascii="Times New Roman" w:hAnsi="Times New Roman"/>
          <w:b/>
          <w:szCs w:val="21"/>
        </w:rPr>
        <w:t>3 证明材料</w:t>
      </w:r>
    </w:p>
    <w:p>
      <w:pPr>
        <w:rPr>
          <w:rFonts w:ascii="Times New Roman" w:hAnsi="Times New Roman"/>
          <w:szCs w:val="21"/>
        </w:rPr>
      </w:pPr>
      <w:r>
        <w:rPr>
          <w:rFonts w:ascii="Times New Roman" w:hAnsi="Times New Roman"/>
          <w:szCs w:val="21"/>
        </w:rPr>
        <w:t>提交材料及要求：</w:t>
      </w:r>
    </w:p>
    <w:p>
      <w:pPr>
        <w:pStyle w:val="10"/>
        <w:adjustRightInd w:val="0"/>
        <w:snapToGrid w:val="0"/>
        <w:ind w:firstLine="0" w:firstLineChars="0"/>
        <w:rPr>
          <w:rFonts w:ascii="宋体" w:hAnsi="宋体" w:cs="宋体"/>
          <w:kern w:val="0"/>
          <w:szCs w:val="21"/>
        </w:rPr>
      </w:pPr>
      <w:r>
        <w:rPr>
          <w:rFonts w:hint="eastAsia" w:ascii="宋体" w:hAnsi="宋体" w:cs="宋体"/>
          <w:kern w:val="0"/>
          <w:szCs w:val="21"/>
        </w:rPr>
        <w:t>1）创新措施</w:t>
      </w:r>
      <w:r>
        <w:rPr>
          <w:rFonts w:ascii="宋体" w:hAnsi="宋体" w:cs="宋体"/>
          <w:kern w:val="0"/>
          <w:szCs w:val="21"/>
        </w:rPr>
        <w:t>相关</w:t>
      </w:r>
      <w:r>
        <w:rPr>
          <w:rFonts w:hint="eastAsia" w:ascii="宋体" w:hAnsi="宋体" w:cs="宋体"/>
          <w:kern w:val="0"/>
          <w:szCs w:val="21"/>
        </w:rPr>
        <w:t>设计文件；</w:t>
      </w:r>
    </w:p>
    <w:p>
      <w:pPr>
        <w:pStyle w:val="10"/>
        <w:adjustRightInd w:val="0"/>
        <w:snapToGrid w:val="0"/>
        <w:ind w:firstLine="0" w:firstLineChars="0"/>
        <w:rPr>
          <w:rFonts w:ascii="宋体" w:hAnsi="宋体" w:cs="宋体"/>
          <w:kern w:val="0"/>
          <w:szCs w:val="21"/>
        </w:rPr>
      </w:pPr>
      <w:r>
        <w:rPr>
          <w:rFonts w:hint="eastAsia" w:ascii="宋体" w:hAnsi="宋体" w:cs="宋体"/>
          <w:kern w:val="0"/>
          <w:szCs w:val="21"/>
        </w:rPr>
        <w:t>2）创新措施</w:t>
      </w:r>
      <w:r>
        <w:rPr>
          <w:rFonts w:ascii="宋体" w:hAnsi="宋体" w:cs="宋体"/>
          <w:kern w:val="0"/>
          <w:szCs w:val="21"/>
        </w:rPr>
        <w:t>的</w:t>
      </w:r>
      <w:r>
        <w:rPr>
          <w:rFonts w:hint="eastAsia" w:ascii="宋体" w:hAnsi="宋体" w:cs="宋体"/>
          <w:kern w:val="0"/>
          <w:szCs w:val="21"/>
        </w:rPr>
        <w:t>分析论证</w:t>
      </w:r>
      <w:r>
        <w:rPr>
          <w:rFonts w:ascii="宋体" w:hAnsi="宋体" w:cs="宋体"/>
          <w:kern w:val="0"/>
          <w:szCs w:val="21"/>
        </w:rPr>
        <w:t>报告及相关证明材料</w:t>
      </w:r>
      <w:r>
        <w:rPr>
          <w:rFonts w:hint="eastAsia" w:ascii="宋体" w:hAnsi="宋体" w:cs="宋体"/>
          <w:kern w:val="0"/>
          <w:szCs w:val="21"/>
        </w:rPr>
        <w:t>。</w:t>
      </w:r>
    </w:p>
    <w:p>
      <w:pPr>
        <w:pStyle w:val="10"/>
        <w:adjustRightInd w:val="0"/>
        <w:snapToGrid w:val="0"/>
        <w:ind w:firstLine="0" w:firstLineChars="0"/>
        <w:rPr>
          <w:rFonts w:ascii="宋体" w:hAnsi="宋体" w:cs="宋体"/>
          <w:kern w:val="0"/>
          <w:szCs w:val="21"/>
        </w:rPr>
      </w:pPr>
    </w:p>
    <w:p>
      <w:pPr>
        <w:rPr>
          <w:rFonts w:ascii="Times New Roman" w:hAnsi="Times New Roman"/>
          <w:szCs w:val="21"/>
        </w:rPr>
      </w:pPr>
      <w:r>
        <w:rPr>
          <w:rFonts w:ascii="Times New Roman" w:hAnsi="Times New Roman"/>
          <w:szCs w:val="21"/>
        </w:rPr>
        <w:t>实际提交材料：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4" w:hRule="atLeast"/>
          <w:jc w:val="center"/>
        </w:trPr>
        <w:tc>
          <w:tcPr>
            <w:tcW w:w="9356" w:type="dxa"/>
            <w:shd w:val="clear" w:color="auto" w:fill="auto"/>
            <w:noWrap w:val="0"/>
            <w:vAlign w:val="top"/>
          </w:tcPr>
          <w:p>
            <w:pPr>
              <w:rPr>
                <w:rFonts w:ascii="Times New Roman" w:hAnsi="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80E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7013"/>
    <w:multiLevelType w:val="multilevel"/>
    <w:tmpl w:val="0F2A7013"/>
    <w:lvl w:ilvl="0" w:tentative="0">
      <w:start w:val="7"/>
      <w:numFmt w:val="bullet"/>
      <w:lvlText w:val="□"/>
      <w:lvlJc w:val="left"/>
      <w:pPr>
        <w:ind w:left="360" w:hanging="360"/>
      </w:pPr>
      <w:rPr>
        <w:rFonts w:hint="eastAsia" w:ascii="宋体" w:hAnsi="宋体" w:eastAsia="宋体" w:cs="仿宋_GB2312"/>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FB70292"/>
    <w:multiLevelType w:val="multilevel"/>
    <w:tmpl w:val="3FB702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2A76A5"/>
    <w:multiLevelType w:val="multilevel"/>
    <w:tmpl w:val="4D2A76A5"/>
    <w:lvl w:ilvl="0" w:tentative="0">
      <w:start w:val="1"/>
      <w:numFmt w:val="decimal"/>
      <w:lvlText w:val="%1）"/>
      <w:lvlJc w:val="left"/>
      <w:pPr>
        <w:ind w:left="786"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1474FF"/>
    <w:multiLevelType w:val="multilevel"/>
    <w:tmpl w:val="4F1474F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432CA1"/>
    <w:multiLevelType w:val="multilevel"/>
    <w:tmpl w:val="76432CA1"/>
    <w:lvl w:ilvl="0" w:tentative="0">
      <w:start w:val="7"/>
      <w:numFmt w:val="bullet"/>
      <w:lvlText w:val="□"/>
      <w:lvlJc w:val="left"/>
      <w:pPr>
        <w:ind w:left="360" w:hanging="360"/>
      </w:pPr>
      <w:rPr>
        <w:rFonts w:hint="eastAsia" w:ascii="宋体" w:hAnsi="宋体" w:eastAsia="宋体" w:cs="仿宋_GB2312"/>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E3563"/>
    <w:rsid w:val="00070BCA"/>
    <w:rsid w:val="00072CF9"/>
    <w:rsid w:val="00074A38"/>
    <w:rsid w:val="0008447F"/>
    <w:rsid w:val="002C3821"/>
    <w:rsid w:val="0065484D"/>
    <w:rsid w:val="008E6A29"/>
    <w:rsid w:val="00AD5185"/>
    <w:rsid w:val="00BD5077"/>
    <w:rsid w:val="00BE4120"/>
    <w:rsid w:val="00D31F93"/>
    <w:rsid w:val="00D66935"/>
    <w:rsid w:val="690E35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59" w:semiHidden="0" w:name="Table Grid"/>
    <w:lsdException w:unhideWhenUsed="0" w:uiPriority="0"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5"/>
    <w:unhideWhenUsed/>
    <w:qFormat/>
    <w:uiPriority w:val="0"/>
    <w:pPr>
      <w:spacing w:line="240" w:lineRule="auto"/>
      <w:jc w:val="left"/>
      <w:outlineLvl w:val="3"/>
    </w:pPr>
    <w:rPr>
      <w:rFonts w:ascii="Times New Roman" w:hAnsi="Times New Roman" w:eastAsia="宋体" w:cs="Times New Roman"/>
      <w:sz w:val="21"/>
    </w:rPr>
  </w:style>
  <w:style w:type="character" w:default="1" w:styleId="9">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4">
    <w:name w:val="Balloon Text"/>
    <w:basedOn w:val="1"/>
    <w:link w:val="19"/>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34"/>
    <w:pPr>
      <w:spacing w:line="288" w:lineRule="auto"/>
      <w:ind w:firstLine="420" w:firstLineChars="200"/>
    </w:pPr>
    <w:rPr>
      <w:rFonts w:ascii="Times New Roman" w:hAnsi="Times New Roman" w:eastAsia="宋体" w:cs="Times New Roman"/>
      <w:szCs w:val="24"/>
    </w:rPr>
  </w:style>
  <w:style w:type="paragraph" w:customStyle="1" w:styleId="11">
    <w:name w:val="条文"/>
    <w:basedOn w:val="1"/>
    <w:uiPriority w:val="0"/>
    <w:pPr>
      <w:spacing w:line="300" w:lineRule="auto"/>
      <w:outlineLvl w:val="2"/>
    </w:pPr>
    <w:rPr>
      <w:rFonts w:ascii="Times New Roman" w:hAnsi="Times New Roman" w:eastAsia="宋体" w:cs="Times New Roman"/>
      <w:sz w:val="24"/>
      <w:szCs w:val="24"/>
    </w:rPr>
  </w:style>
  <w:style w:type="paragraph" w:styleId="12">
    <w:name w:val="List Paragraph"/>
    <w:basedOn w:val="1"/>
    <w:qFormat/>
    <w:uiPriority w:val="34"/>
    <w:pPr>
      <w:ind w:firstLine="420" w:firstLineChars="200"/>
    </w:pPr>
    <w:rPr>
      <w:rFonts w:ascii="Times New Roman" w:hAnsi="Times New Roman" w:eastAsia="宋体" w:cs="Times New Roman"/>
      <w:szCs w:val="21"/>
    </w:rPr>
  </w:style>
  <w:style w:type="character" w:customStyle="1" w:styleId="13">
    <w:name w:val="页眉 Char"/>
    <w:link w:val="6"/>
    <w:uiPriority w:val="99"/>
    <w:rPr>
      <w:sz w:val="18"/>
      <w:szCs w:val="18"/>
    </w:rPr>
  </w:style>
  <w:style w:type="character" w:customStyle="1" w:styleId="14">
    <w:name w:val="页脚 Char"/>
    <w:link w:val="5"/>
    <w:uiPriority w:val="99"/>
    <w:rPr>
      <w:sz w:val="18"/>
      <w:szCs w:val="18"/>
    </w:rPr>
  </w:style>
  <w:style w:type="character" w:customStyle="1" w:styleId="15">
    <w:name w:val="标题 4 Char"/>
    <w:link w:val="3"/>
    <w:uiPriority w:val="0"/>
    <w:rPr>
      <w:rFonts w:ascii="Times New Roman" w:hAnsi="Times New Roman" w:eastAsia="宋体" w:cs="Times New Roman"/>
      <w:b/>
      <w:bCs/>
      <w:szCs w:val="32"/>
    </w:rPr>
  </w:style>
  <w:style w:type="character" w:styleId="16">
    <w:name w:val="Placeholder Text"/>
    <w:semiHidden/>
    <w:uiPriority w:val="99"/>
    <w:rPr>
      <w:color w:val="808080"/>
    </w:rPr>
  </w:style>
  <w:style w:type="character" w:customStyle="1" w:styleId="17">
    <w:name w:val="样式1"/>
    <w:uiPriority w:val="1"/>
    <w:rPr>
      <w:rFonts w:eastAsia="宋体"/>
      <w:sz w:val="21"/>
    </w:rPr>
  </w:style>
  <w:style w:type="character" w:customStyle="1" w:styleId="18">
    <w:name w:val="标题 3 Char"/>
    <w:link w:val="2"/>
    <w:semiHidden/>
    <w:uiPriority w:val="9"/>
    <w:rPr>
      <w:b/>
      <w:bCs/>
      <w:sz w:val="32"/>
      <w:szCs w:val="32"/>
    </w:rPr>
  </w:style>
  <w:style w:type="character" w:customStyle="1" w:styleId="19">
    <w:name w:val="批注框文本 Char"/>
    <w:link w:val="4"/>
    <w:semiHidden/>
    <w:uiPriority w:val="99"/>
    <w:rPr>
      <w:sz w:val="18"/>
      <w:szCs w:val="18"/>
    </w:rPr>
  </w:style>
  <w:style w:type="table" w:customStyle="1" w:styleId="20">
    <w:name w:val="网格型1"/>
    <w:basedOn w:val="7"/>
    <w:uiPriority w:val="59"/>
    <w:rPr>
      <w:rFonts w:ascii="Times New Roman" w:hAnsi="Times New Roman" w:eastAsia="宋体" w:cs="Times New Roman"/>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1532;&#19977;&#23626;&#39640;&#26657;&#22823;&#36187;\GUPA&#30003;&#35831;\&#25552;&#20132;&#27169;&#26495;\&#33258;&#35780;&#20272;&#25253;&#21578;_&#26576;&#39033;&#30446;&#25913;&#36896;&#24037;&#31243;&#65288;87&#20998;&#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自评估报告_某项目改造工程（87分）.dot</Template>
  <Pages>167</Pages>
  <Words>45256</Words>
  <Characters>48558</Characters>
  <Lines>431</Lines>
  <Paragraphs>121</Paragraphs>
  <TotalTime>0</TotalTime>
  <ScaleCrop>false</ScaleCrop>
  <LinksUpToDate>false</LinksUpToDate>
  <CharactersWithSpaces>53187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2021-01-22T01:27:00Z</dcterms:created>
  <dc:creator>Administrator</dc:creator>
  <cp:lastModifiedBy>Administrator</cp:lastModifiedBy>
  <dcterms:modified xsi:type="dcterms:W3CDTF">2021-01-22T01:28:08Z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