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宁波</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2020年12月30日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绿建斯维尔建筑通风计算软件Vent20</w:t>
            </w:r>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北京绿建软件有限公司</w:t>
            </w:r>
          </w:p>
          <w:p>
            <w:pPr>
              <w:spacing w:line="240" w:lineRule="auto"/>
              <w:jc w:val="both"/>
              <w:rPr>
                <w:rFonts w:ascii="宋体" w:hAnsi="宋体"/>
                <w:szCs w:val="18"/>
              </w:rPr>
            </w:pPr>
            <w:r>
              <w:rPr>
                <w:rFonts w:hint="eastAsia" w:ascii="宋体" w:hAnsi="宋体"/>
                <w:szCs w:val="18"/>
              </w:rPr>
              <w:t>深圳市斯维尔科技有限公司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"_Toc60181633" </w:instrText>
      </w:r>
      <w:r>
        <w:fldChar w:fldCharType="separate"/>
      </w:r>
      <w:r>
        <w:rPr>
          <w:rStyle w:val="26"/>
        </w:rPr>
        <w:t>1</w:t>
      </w:r>
      <w:r>
        <w:rPr>
          <w:rFonts w:asciiTheme="minorHAnsi" w:hAnsiTheme="minorHAnsi" w:eastAsiaTheme="minorEastAsia" w:cstheme="minorBidi"/>
          <w:b w:val="0"/>
          <w:bCs w:val="0"/>
          <w:szCs w:val="22"/>
        </w:rPr>
        <w:tab/>
      </w:r>
      <w:r>
        <w:rPr>
          <w:rStyle w:val="26"/>
        </w:rPr>
        <w:t>项目概况</w:t>
      </w:r>
      <w:r>
        <w:tab/>
      </w:r>
      <w:r>
        <w:fldChar w:fldCharType="begin"/>
      </w:r>
      <w:r>
        <w:instrText xml:space="preserve"> PAGEREF _Toc60181633 \h </w:instrText>
      </w:r>
      <w:r>
        <w:fldChar w:fldCharType="separate"/>
      </w:r>
      <w:r>
        <w:t>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"_Toc60181634" </w:instrText>
      </w:r>
      <w:r>
        <w:fldChar w:fldCharType="separate"/>
      </w:r>
      <w:r>
        <w:rPr>
          <w:rStyle w:val="26"/>
          <w:lang w:val="en-GB"/>
        </w:rPr>
        <w:t>1.1</w:t>
      </w:r>
      <w:r>
        <w:rPr>
          <w:rFonts w:asciiTheme="minorHAnsi" w:hAnsiTheme="minorHAnsi" w:eastAsiaTheme="minorEastAsia" w:cstheme="minorBidi"/>
          <w:szCs w:val="22"/>
        </w:rPr>
        <w:tab/>
      </w:r>
      <w:r>
        <w:rPr>
          <w:rStyle w:val="26"/>
        </w:rPr>
        <w:t>总平面图</w:t>
      </w:r>
      <w:r>
        <w:tab/>
      </w:r>
      <w:r>
        <w:fldChar w:fldCharType="begin"/>
      </w:r>
      <w:r>
        <w:instrText xml:space="preserve"> PAGEREF _Toc60181634 \h </w:instrText>
      </w:r>
      <w:r>
        <w:fldChar w:fldCharType="separate"/>
      </w:r>
      <w:r>
        <w:t>4</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"_Toc60181635" </w:instrText>
      </w:r>
      <w:r>
        <w:fldChar w:fldCharType="separate"/>
      </w:r>
      <w:r>
        <w:rPr>
          <w:rStyle w:val="26"/>
          <w:lang w:val="en-GB"/>
        </w:rPr>
        <w:t>1.2</w:t>
      </w:r>
      <w:r>
        <w:rPr>
          <w:rFonts w:asciiTheme="minorHAnsi" w:hAnsiTheme="minorHAnsi" w:eastAsiaTheme="minorEastAsia" w:cstheme="minorBidi"/>
          <w:szCs w:val="22"/>
        </w:rPr>
        <w:tab/>
      </w:r>
      <w:r>
        <w:rPr>
          <w:rStyle w:val="26"/>
        </w:rPr>
        <w:t>三维视图</w:t>
      </w:r>
      <w:r>
        <w:tab/>
      </w:r>
      <w:r>
        <w:fldChar w:fldCharType="begin"/>
      </w:r>
      <w:r>
        <w:instrText xml:space="preserve"> PAGEREF _Toc60181635 \h </w:instrText>
      </w:r>
      <w:r>
        <w:fldChar w:fldCharType="separate"/>
      </w:r>
      <w:r>
        <w:t>5</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"_Toc60181636" </w:instrText>
      </w:r>
      <w:r>
        <w:fldChar w:fldCharType="separate"/>
      </w:r>
      <w:r>
        <w:rPr>
          <w:rStyle w:val="26"/>
        </w:rPr>
        <w:t>2</w:t>
      </w:r>
      <w:r>
        <w:rPr>
          <w:rFonts w:asciiTheme="minorHAnsi" w:hAnsiTheme="minorHAnsi" w:eastAsiaTheme="minorEastAsia" w:cstheme="minorBidi"/>
          <w:b w:val="0"/>
          <w:bCs w:val="0"/>
          <w:szCs w:val="22"/>
        </w:rPr>
        <w:tab/>
      </w:r>
      <w:r>
        <w:rPr>
          <w:rStyle w:val="26"/>
        </w:rPr>
        <w:t>计算依据</w:t>
      </w:r>
      <w:r>
        <w:tab/>
      </w:r>
      <w:r>
        <w:fldChar w:fldCharType="begin"/>
      </w:r>
      <w:r>
        <w:instrText xml:space="preserve"> PAGEREF _Toc60181636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"_Toc60181637" </w:instrText>
      </w:r>
      <w:r>
        <w:fldChar w:fldCharType="separate"/>
      </w:r>
      <w:r>
        <w:rPr>
          <w:rStyle w:val="26"/>
        </w:rPr>
        <w:t>3</w:t>
      </w:r>
      <w:r>
        <w:rPr>
          <w:rFonts w:asciiTheme="minorHAnsi" w:hAnsiTheme="minorHAnsi" w:eastAsiaTheme="minorEastAsia" w:cstheme="minorBidi"/>
          <w:b w:val="0"/>
          <w:bCs w:val="0"/>
          <w:szCs w:val="22"/>
        </w:rPr>
        <w:tab/>
      </w:r>
      <w:r>
        <w:rPr>
          <w:rStyle w:val="26"/>
        </w:rPr>
        <w:t>参考标准</w:t>
      </w:r>
      <w:r>
        <w:tab/>
      </w:r>
      <w:r>
        <w:fldChar w:fldCharType="begin"/>
      </w:r>
      <w:r>
        <w:instrText xml:space="preserve"> PAGEREF _Toc60181637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"_Toc60181638" </w:instrText>
      </w:r>
      <w:r>
        <w:fldChar w:fldCharType="separate"/>
      </w:r>
      <w:r>
        <w:rPr>
          <w:rStyle w:val="26"/>
        </w:rPr>
        <w:t>4</w:t>
      </w:r>
      <w:r>
        <w:rPr>
          <w:rFonts w:asciiTheme="minorHAnsi" w:hAnsiTheme="minorHAnsi" w:eastAsiaTheme="minorEastAsia" w:cstheme="minorBidi"/>
          <w:b w:val="0"/>
          <w:bCs w:val="0"/>
          <w:szCs w:val="22"/>
        </w:rPr>
        <w:tab/>
      </w:r>
      <w:r>
        <w:rPr>
          <w:rStyle w:val="26"/>
        </w:rPr>
        <w:t>计算原理</w:t>
      </w:r>
      <w:r>
        <w:tab/>
      </w:r>
      <w:r>
        <w:fldChar w:fldCharType="begin"/>
      </w:r>
      <w:r>
        <w:instrText xml:space="preserve"> PAGEREF _Toc60181638 \h </w:instrText>
      </w:r>
      <w:r>
        <w:fldChar w:fldCharType="separate"/>
      </w:r>
      <w:r>
        <w:t>6</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"_Toc60181639" </w:instrText>
      </w:r>
      <w:r>
        <w:fldChar w:fldCharType="separate"/>
      </w:r>
      <w:r>
        <w:rPr>
          <w:rStyle w:val="26"/>
          <w:lang w:val="en-GB"/>
        </w:rPr>
        <w:t>4.1</w:t>
      </w:r>
      <w:r>
        <w:rPr>
          <w:rFonts w:asciiTheme="minorHAnsi" w:hAnsiTheme="minorHAnsi" w:eastAsiaTheme="minorEastAsia" w:cstheme="minorBidi"/>
          <w:szCs w:val="22"/>
        </w:rPr>
        <w:tab/>
      </w:r>
      <w:r>
        <w:rPr>
          <w:rStyle w:val="26"/>
        </w:rPr>
        <w:t>风场计算域</w:t>
      </w:r>
      <w:r>
        <w:tab/>
      </w:r>
      <w:r>
        <w:fldChar w:fldCharType="begin"/>
      </w:r>
      <w:r>
        <w:instrText xml:space="preserve"> PAGEREF _Toc60181639 \h </w:instrText>
      </w:r>
      <w:r>
        <w:fldChar w:fldCharType="separate"/>
      </w:r>
      <w:r>
        <w:t>6</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"_Toc60181640" </w:instrText>
      </w:r>
      <w:r>
        <w:fldChar w:fldCharType="separate"/>
      </w:r>
      <w:r>
        <w:rPr>
          <w:rStyle w:val="26"/>
          <w:lang w:val="en-GB"/>
        </w:rPr>
        <w:t>4.1.1</w:t>
      </w:r>
      <w:r>
        <w:rPr>
          <w:rFonts w:asciiTheme="minorHAnsi" w:hAnsiTheme="minorHAnsi" w:eastAsiaTheme="minorEastAsia" w:cstheme="minorBidi"/>
          <w:szCs w:val="22"/>
        </w:rPr>
        <w:tab/>
      </w:r>
      <w:r>
        <w:rPr>
          <w:rStyle w:val="26"/>
        </w:rPr>
        <w:t>夏季工况风场计算域</w:t>
      </w:r>
      <w:r>
        <w:tab/>
      </w:r>
      <w:r>
        <w:fldChar w:fldCharType="begin"/>
      </w:r>
      <w:r>
        <w:instrText xml:space="preserve"> PAGEREF _Toc60181640 \h </w:instrText>
      </w:r>
      <w:r>
        <w:fldChar w:fldCharType="separate"/>
      </w:r>
      <w:r>
        <w:t>6</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"_Toc60181641" </w:instrText>
      </w:r>
      <w:r>
        <w:fldChar w:fldCharType="separate"/>
      </w:r>
      <w:r>
        <w:rPr>
          <w:rStyle w:val="26"/>
          <w:lang w:val="en-GB"/>
        </w:rPr>
        <w:t>4.2</w:t>
      </w:r>
      <w:r>
        <w:rPr>
          <w:rFonts w:asciiTheme="minorHAnsi" w:hAnsiTheme="minorHAnsi" w:eastAsiaTheme="minorEastAsia" w:cstheme="minorBidi"/>
          <w:szCs w:val="22"/>
        </w:rPr>
        <w:tab/>
      </w:r>
      <w:r>
        <w:rPr>
          <w:rStyle w:val="26"/>
        </w:rPr>
        <w:t>网格划分</w:t>
      </w:r>
      <w:r>
        <w:tab/>
      </w:r>
      <w:r>
        <w:fldChar w:fldCharType="begin"/>
      </w:r>
      <w:r>
        <w:instrText xml:space="preserve"> PAGEREF _Toc60181641 \h </w:instrText>
      </w:r>
      <w:r>
        <w:fldChar w:fldCharType="separate"/>
      </w:r>
      <w:r>
        <w:t>7</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"_Toc60181642" </w:instrText>
      </w:r>
      <w:r>
        <w:fldChar w:fldCharType="separate"/>
      </w:r>
      <w:r>
        <w:rPr>
          <w:rStyle w:val="26"/>
          <w:lang w:val="en-GB"/>
        </w:rPr>
        <w:t>4.3</w:t>
      </w:r>
      <w:r>
        <w:rPr>
          <w:rFonts w:asciiTheme="minorHAnsi" w:hAnsiTheme="minorHAnsi" w:eastAsiaTheme="minorEastAsia" w:cstheme="minorBidi"/>
          <w:szCs w:val="22"/>
        </w:rPr>
        <w:tab/>
      </w:r>
      <w:r>
        <w:rPr>
          <w:rStyle w:val="26"/>
        </w:rPr>
        <w:t>边界条件</w:t>
      </w:r>
      <w:r>
        <w:tab/>
      </w:r>
      <w:r>
        <w:fldChar w:fldCharType="begin"/>
      </w:r>
      <w:r>
        <w:instrText xml:space="preserve"> PAGEREF _Toc60181642 \h </w:instrText>
      </w:r>
      <w:r>
        <w:fldChar w:fldCharType="separate"/>
      </w:r>
      <w:r>
        <w:t>8</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"_Toc60181643" </w:instrText>
      </w:r>
      <w:r>
        <w:fldChar w:fldCharType="separate"/>
      </w:r>
      <w:r>
        <w:rPr>
          <w:rStyle w:val="26"/>
          <w:lang w:val="en-GB"/>
        </w:rPr>
        <w:t>4.3.1</w:t>
      </w:r>
      <w:r>
        <w:rPr>
          <w:rFonts w:asciiTheme="minorHAnsi" w:hAnsiTheme="minorHAnsi" w:eastAsiaTheme="minorEastAsia" w:cstheme="minorBidi"/>
          <w:szCs w:val="22"/>
        </w:rPr>
        <w:tab/>
      </w:r>
      <w:r>
        <w:rPr>
          <w:rStyle w:val="26"/>
        </w:rPr>
        <w:t>入口与出口边界条件</w:t>
      </w:r>
      <w:r>
        <w:tab/>
      </w:r>
      <w:r>
        <w:fldChar w:fldCharType="begin"/>
      </w:r>
      <w:r>
        <w:instrText xml:space="preserve"> PAGEREF _Toc60181643 \h </w:instrText>
      </w:r>
      <w:r>
        <w:fldChar w:fldCharType="separate"/>
      </w:r>
      <w:r>
        <w:t>9</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"_Toc60181644" </w:instrText>
      </w:r>
      <w:r>
        <w:fldChar w:fldCharType="separate"/>
      </w:r>
      <w:r>
        <w:rPr>
          <w:rStyle w:val="26"/>
          <w:lang w:val="en-GB"/>
        </w:rPr>
        <w:t>4.3.2</w:t>
      </w:r>
      <w:r>
        <w:rPr>
          <w:rFonts w:asciiTheme="minorHAnsi" w:hAnsiTheme="minorHAnsi" w:eastAsiaTheme="minorEastAsia" w:cstheme="minorBidi"/>
          <w:szCs w:val="22"/>
        </w:rPr>
        <w:tab/>
      </w:r>
      <w:r>
        <w:rPr>
          <w:rStyle w:val="26"/>
        </w:rPr>
        <w:t>壁面边界条件</w:t>
      </w:r>
      <w:r>
        <w:tab/>
      </w:r>
      <w:r>
        <w:fldChar w:fldCharType="begin"/>
      </w:r>
      <w:r>
        <w:instrText xml:space="preserve"> PAGEREF _Toc60181644 \h </w:instrText>
      </w:r>
      <w:r>
        <w:fldChar w:fldCharType="separate"/>
      </w:r>
      <w:r>
        <w:t>9</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"_Toc60181645" </w:instrText>
      </w:r>
      <w:r>
        <w:fldChar w:fldCharType="separate"/>
      </w:r>
      <w:r>
        <w:rPr>
          <w:rStyle w:val="26"/>
          <w:lang w:val="en-GB"/>
        </w:rPr>
        <w:t>4.4</w:t>
      </w:r>
      <w:r>
        <w:rPr>
          <w:rFonts w:asciiTheme="minorHAnsi" w:hAnsiTheme="minorHAnsi" w:eastAsiaTheme="minorEastAsia" w:cstheme="minorBidi"/>
          <w:szCs w:val="22"/>
        </w:rPr>
        <w:tab/>
      </w:r>
      <w:r>
        <w:rPr>
          <w:rStyle w:val="26"/>
        </w:rPr>
        <w:t>湍流模型</w:t>
      </w:r>
      <w:r>
        <w:tab/>
      </w:r>
      <w:r>
        <w:fldChar w:fldCharType="begin"/>
      </w:r>
      <w:r>
        <w:instrText xml:space="preserve"> PAGEREF _Toc60181645 \h </w:instrText>
      </w:r>
      <w:r>
        <w:fldChar w:fldCharType="separate"/>
      </w:r>
      <w:r>
        <w:t>9</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"_Toc60181646" </w:instrText>
      </w:r>
      <w:r>
        <w:fldChar w:fldCharType="separate"/>
      </w:r>
      <w:r>
        <w:rPr>
          <w:rStyle w:val="26"/>
          <w:lang w:val="en-GB"/>
        </w:rPr>
        <w:t>4.5</w:t>
      </w:r>
      <w:r>
        <w:rPr>
          <w:rFonts w:asciiTheme="minorHAnsi" w:hAnsiTheme="minorHAnsi" w:eastAsiaTheme="minorEastAsia" w:cstheme="minorBidi"/>
          <w:szCs w:val="22"/>
        </w:rPr>
        <w:tab/>
      </w:r>
      <w:r>
        <w:rPr>
          <w:rStyle w:val="26"/>
        </w:rPr>
        <w:t>求解计算</w:t>
      </w:r>
      <w:r>
        <w:tab/>
      </w:r>
      <w:r>
        <w:fldChar w:fldCharType="begin"/>
      </w:r>
      <w:r>
        <w:instrText xml:space="preserve"> PAGEREF _Toc60181646 \h </w:instrText>
      </w:r>
      <w:r>
        <w:fldChar w:fldCharType="separate"/>
      </w:r>
      <w:r>
        <w:t>10</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"_Toc60181647" </w:instrText>
      </w:r>
      <w:r>
        <w:fldChar w:fldCharType="separate"/>
      </w:r>
      <w:r>
        <w:rPr>
          <w:rStyle w:val="26"/>
          <w:lang w:val="en-GB"/>
        </w:rPr>
        <w:t>4.6</w:t>
      </w:r>
      <w:r>
        <w:rPr>
          <w:rFonts w:asciiTheme="minorHAnsi" w:hAnsiTheme="minorHAnsi" w:eastAsiaTheme="minorEastAsia" w:cstheme="minorBidi"/>
          <w:szCs w:val="22"/>
        </w:rPr>
        <w:tab/>
      </w:r>
      <w:r>
        <w:rPr>
          <w:rStyle w:val="26"/>
        </w:rPr>
        <w:t>风速放大系数计算</w:t>
      </w:r>
      <w:r>
        <w:tab/>
      </w:r>
      <w:r>
        <w:fldChar w:fldCharType="begin"/>
      </w:r>
      <w:r>
        <w:instrText xml:space="preserve"> PAGEREF _Toc60181647 \h </w:instrText>
      </w:r>
      <w:r>
        <w:fldChar w:fldCharType="separate"/>
      </w:r>
      <w:r>
        <w:t>11</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"_Toc60181648" </w:instrText>
      </w:r>
      <w:r>
        <w:fldChar w:fldCharType="separate"/>
      </w:r>
      <w:r>
        <w:rPr>
          <w:rStyle w:val="26"/>
        </w:rPr>
        <w:t>5</w:t>
      </w:r>
      <w:r>
        <w:rPr>
          <w:rFonts w:asciiTheme="minorHAnsi" w:hAnsiTheme="minorHAnsi" w:eastAsiaTheme="minorEastAsia" w:cstheme="minorBidi"/>
          <w:b w:val="0"/>
          <w:bCs w:val="0"/>
          <w:szCs w:val="22"/>
        </w:rPr>
        <w:tab/>
      </w:r>
      <w:r>
        <w:rPr>
          <w:rStyle w:val="26"/>
        </w:rPr>
        <w:t>结果分析</w:t>
      </w:r>
      <w:r>
        <w:tab/>
      </w:r>
      <w:r>
        <w:fldChar w:fldCharType="begin"/>
      </w:r>
      <w:r>
        <w:instrText xml:space="preserve"> PAGEREF _Toc60181648 \h </w:instrText>
      </w:r>
      <w:r>
        <w:fldChar w:fldCharType="separate"/>
      </w:r>
      <w:r>
        <w:t>12</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"_Toc60181649" </w:instrText>
      </w:r>
      <w:r>
        <w:fldChar w:fldCharType="separate"/>
      </w:r>
      <w:r>
        <w:rPr>
          <w:rStyle w:val="26"/>
          <w:lang w:val="en-GB"/>
        </w:rPr>
        <w:t>5.1</w:t>
      </w:r>
      <w:r>
        <w:rPr>
          <w:rFonts w:asciiTheme="minorHAnsi" w:hAnsiTheme="minorHAnsi" w:eastAsiaTheme="minorEastAsia" w:cstheme="minorBidi"/>
          <w:szCs w:val="22"/>
        </w:rPr>
        <w:tab/>
      </w:r>
      <w:r>
        <w:rPr>
          <w:rStyle w:val="26"/>
        </w:rPr>
        <w:t>工况表</w:t>
      </w:r>
      <w:r>
        <w:tab/>
      </w:r>
      <w:r>
        <w:fldChar w:fldCharType="begin"/>
      </w:r>
      <w:r>
        <w:instrText xml:space="preserve"> PAGEREF _Toc60181649 \h </w:instrText>
      </w:r>
      <w:r>
        <w:fldChar w:fldCharType="separate"/>
      </w:r>
      <w:r>
        <w:t>12</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"_Toc60181650" </w:instrText>
      </w:r>
      <w:r>
        <w:fldChar w:fldCharType="separate"/>
      </w:r>
      <w:r>
        <w:rPr>
          <w:rStyle w:val="26"/>
          <w:lang w:val="en-GB"/>
        </w:rPr>
        <w:t>5.2</w:t>
      </w:r>
      <w:r>
        <w:rPr>
          <w:rFonts w:asciiTheme="minorHAnsi" w:hAnsiTheme="minorHAnsi" w:eastAsiaTheme="minorEastAsia" w:cstheme="minorBidi"/>
          <w:szCs w:val="22"/>
        </w:rPr>
        <w:tab/>
      </w:r>
      <w:r>
        <w:rPr>
          <w:rStyle w:val="26"/>
        </w:rPr>
        <w:t>夏季工况</w:t>
      </w:r>
      <w:r>
        <w:tab/>
      </w:r>
      <w:r>
        <w:fldChar w:fldCharType="begin"/>
      </w:r>
      <w:r>
        <w:instrText xml:space="preserve"> PAGEREF _Toc60181650 \h </w:instrText>
      </w:r>
      <w:r>
        <w:fldChar w:fldCharType="separate"/>
      </w:r>
      <w:r>
        <w:t>12</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"_Toc60181651" </w:instrText>
      </w:r>
      <w:r>
        <w:fldChar w:fldCharType="separate"/>
      </w:r>
      <w:r>
        <w:rPr>
          <w:rStyle w:val="26"/>
          <w:lang w:val="en-GB"/>
        </w:rPr>
        <w:t>5.2.1</w:t>
      </w:r>
      <w:r>
        <w:rPr>
          <w:rFonts w:asciiTheme="minorHAnsi" w:hAnsiTheme="minorHAnsi" w:eastAsiaTheme="minorEastAsia" w:cstheme="minorBidi"/>
          <w:szCs w:val="22"/>
        </w:rPr>
        <w:tab/>
      </w:r>
      <w:r>
        <w:rPr>
          <w:rStyle w:val="26"/>
        </w:rPr>
        <w:t>无风区计算分析</w:t>
      </w:r>
      <w:r>
        <w:tab/>
      </w:r>
      <w:r>
        <w:fldChar w:fldCharType="begin"/>
      </w:r>
      <w:r>
        <w:instrText xml:space="preserve"> PAGEREF _Toc60181651 \h </w:instrText>
      </w:r>
      <w:r>
        <w:fldChar w:fldCharType="separate"/>
      </w:r>
      <w:r>
        <w:t>12</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"_Toc60181652" </w:instrText>
      </w:r>
      <w:r>
        <w:fldChar w:fldCharType="separate"/>
      </w:r>
      <w:r>
        <w:rPr>
          <w:rStyle w:val="26"/>
          <w:lang w:val="en-GB"/>
        </w:rPr>
        <w:t>5.2.2</w:t>
      </w:r>
      <w:r>
        <w:rPr>
          <w:rFonts w:asciiTheme="minorHAnsi" w:hAnsiTheme="minorHAnsi" w:eastAsiaTheme="minorEastAsia" w:cstheme="minorBidi"/>
          <w:szCs w:val="22"/>
        </w:rPr>
        <w:tab/>
      </w:r>
      <w:r>
        <w:rPr>
          <w:rStyle w:val="26"/>
        </w:rPr>
        <w:t>旋涡区分析</w:t>
      </w:r>
      <w:r>
        <w:tab/>
      </w:r>
      <w:r>
        <w:fldChar w:fldCharType="begin"/>
      </w:r>
      <w:r>
        <w:instrText xml:space="preserve"> PAGEREF _Toc60181652 \h </w:instrText>
      </w:r>
      <w:r>
        <w:fldChar w:fldCharType="separate"/>
      </w:r>
      <w:r>
        <w:t>13</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"_Toc60181653" </w:instrText>
      </w:r>
      <w:r>
        <w:fldChar w:fldCharType="separate"/>
      </w:r>
      <w:r>
        <w:rPr>
          <w:rStyle w:val="26"/>
          <w:lang w:val="en-GB"/>
        </w:rPr>
        <w:t>5.2.3</w:t>
      </w:r>
      <w:r>
        <w:rPr>
          <w:rFonts w:asciiTheme="minorHAnsi" w:hAnsiTheme="minorHAnsi" w:eastAsiaTheme="minorEastAsia" w:cstheme="minorBidi"/>
          <w:szCs w:val="22"/>
        </w:rPr>
        <w:tab/>
      </w:r>
      <w:r>
        <w:rPr>
          <w:rStyle w:val="26"/>
        </w:rPr>
        <w:t>人行区域旋涡区/无风区达标判定</w:t>
      </w:r>
      <w:r>
        <w:tab/>
      </w:r>
      <w:r>
        <w:fldChar w:fldCharType="begin"/>
      </w:r>
      <w:r>
        <w:instrText xml:space="preserve"> PAGEREF _Toc60181653 \h </w:instrText>
      </w:r>
      <w:r>
        <w:fldChar w:fldCharType="separate"/>
      </w:r>
      <w:r>
        <w:t>14</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"_Toc60181654" </w:instrText>
      </w:r>
      <w:r>
        <w:fldChar w:fldCharType="separate"/>
      </w:r>
      <w:r>
        <w:rPr>
          <w:rStyle w:val="26"/>
          <w:lang w:val="en-GB"/>
        </w:rPr>
        <w:t>5.2.4</w:t>
      </w:r>
      <w:r>
        <w:rPr>
          <w:rFonts w:asciiTheme="minorHAnsi" w:hAnsiTheme="minorHAnsi" w:eastAsiaTheme="minorEastAsia" w:cstheme="minorBidi"/>
          <w:szCs w:val="22"/>
        </w:rPr>
        <w:tab/>
      </w:r>
      <w:r>
        <w:rPr>
          <w:rStyle w:val="26"/>
        </w:rPr>
        <w:t>外窗内外表面风压差达标分析</w:t>
      </w:r>
      <w:r>
        <w:tab/>
      </w:r>
      <w:r>
        <w:fldChar w:fldCharType="begin"/>
      </w:r>
      <w:r>
        <w:instrText xml:space="preserve"> PAGEREF _Toc60181654 \h </w:instrText>
      </w:r>
      <w:r>
        <w:fldChar w:fldCharType="separate"/>
      </w:r>
      <w:r>
        <w:t>14</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"_Toc60181655" </w:instrText>
      </w:r>
      <w:r>
        <w:fldChar w:fldCharType="separate"/>
      </w:r>
      <w:r>
        <w:rPr>
          <w:rStyle w:val="26"/>
          <w:lang w:val="en-GB"/>
        </w:rPr>
        <w:t>5.3</w:t>
      </w:r>
      <w:r>
        <w:rPr>
          <w:rFonts w:asciiTheme="minorHAnsi" w:hAnsiTheme="minorHAnsi" w:eastAsiaTheme="minorEastAsia" w:cstheme="minorBidi"/>
          <w:szCs w:val="22"/>
        </w:rPr>
        <w:tab/>
      </w:r>
      <w:r>
        <w:rPr>
          <w:rStyle w:val="26"/>
        </w:rPr>
        <w:t>结论</w:t>
      </w:r>
      <w:r>
        <w:tab/>
      </w:r>
      <w:r>
        <w:fldChar w:fldCharType="begin"/>
      </w:r>
      <w:r>
        <w:instrText xml:space="preserve"> PAGEREF _Toc60181655 \h </w:instrText>
      </w:r>
      <w:r>
        <w:fldChar w:fldCharType="separate"/>
      </w:r>
      <w:r>
        <w:t>16</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"_Toc60181656" </w:instrText>
      </w:r>
      <w:r>
        <w:fldChar w:fldCharType="separate"/>
      </w:r>
      <w:r>
        <w:rPr>
          <w:rStyle w:val="26"/>
          <w:lang w:val="en-GB"/>
        </w:rPr>
        <w:t>5.3.1</w:t>
      </w:r>
      <w:r>
        <w:rPr>
          <w:rFonts w:asciiTheme="minorHAnsi" w:hAnsiTheme="minorHAnsi" w:eastAsiaTheme="minorEastAsia" w:cstheme="minorBidi"/>
          <w:szCs w:val="22"/>
        </w:rPr>
        <w:tab/>
      </w:r>
      <w:r>
        <w:rPr>
          <w:rStyle w:val="26"/>
        </w:rPr>
        <w:t>过渡季、夏季工况达标判断</w:t>
      </w:r>
      <w:r>
        <w:tab/>
      </w:r>
      <w:r>
        <w:fldChar w:fldCharType="begin"/>
      </w:r>
      <w:r>
        <w:instrText xml:space="preserve"> PAGEREF _Toc60181656 \h </w:instrText>
      </w:r>
      <w:r>
        <w:fldChar w:fldCharType="separate"/>
      </w:r>
      <w:r>
        <w:t>16</w:t>
      </w:r>
      <w:r>
        <w:fldChar w:fldCharType="end"/>
      </w:r>
      <w:r>
        <w:fldChar w:fldCharType="end"/>
      </w:r>
    </w:p>
    <w:p>
      <w:pPr>
        <w:pStyle w:val="19"/>
        <w:spacing w:line="240" w:lineRule="auto"/>
        <w:sectPr>
          <w:footerReference r:id="rId5" w:type="first"/>
          <w:headerReference r:id="rId3" w:type="default"/>
          <w:footerReference r:id="rId4"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8" w:name="_Toc60181633"/>
      <w:bookmarkStart w:id="9" w:name="_Toc452108759"/>
      <w:r>
        <w:rPr>
          <w:rFonts w:hint="eastAsia"/>
        </w:rPr>
        <w:t>项目概况</w:t>
      </w:r>
      <w:bookmarkEnd w:id="8"/>
      <w:bookmarkEnd w:id="9"/>
    </w:p>
    <w:p>
      <w:pPr>
        <w:pStyle w:val="3"/>
        <w:ind w:firstLine="420"/>
        <w:rPr>
          <w:lang w:val="en-US"/>
        </w:rPr>
      </w:pPr>
      <w:bookmarkStart w:id="10" w:name="项目概况"/>
      <w:bookmarkEnd w:id="10"/>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1" w:name="_Toc60181634"/>
      <w:bookmarkStart w:id="12" w:name="_Toc452108760"/>
      <w:r>
        <w:rPr>
          <w:rFonts w:hint="eastAsia"/>
        </w:rPr>
        <w:t>总</w:t>
      </w:r>
      <w:r>
        <w:t>平面图</w:t>
      </w:r>
      <w:bookmarkEnd w:id="11"/>
      <w:bookmarkEnd w:id="12"/>
    </w:p>
    <w:p>
      <w:pPr>
        <w:pStyle w:val="3"/>
        <w:ind w:firstLine="0" w:firstLineChars="0"/>
        <w:jc w:val="center"/>
        <w:rPr>
          <w:lang w:val="en-US"/>
        </w:rPr>
      </w:pPr>
      <w:r>
        <w:rPr>
          <w:rFonts w:hint="eastAsia"/>
          <w:lang w:val="en-US"/>
        </w:rPr>
        <w:t xml:space="preserve"> </w:t>
      </w:r>
      <w:bookmarkStart w:id="13" w:name="总平面图"/>
      <w:bookmarkEnd w:id="13"/>
      <w: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8"/>
                    <a:stretch>
                      <a:fillRect/>
                    </a:stretch>
                  </pic:blipFill>
                  <pic:spPr>
                    <a:xfrm>
                      <a:off x="0" y="0"/>
                      <a:ext cx="5667375" cy="38100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4" w:name="_Toc452108761"/>
      <w:bookmarkStart w:id="15" w:name="_Toc60181635"/>
      <w:r>
        <w:rPr>
          <w:rFonts w:hint="eastAsia"/>
        </w:rPr>
        <w:t>三</w:t>
      </w:r>
      <w:r>
        <w:t>维视图</w:t>
      </w:r>
      <w:bookmarkEnd w:id="14"/>
      <w:bookmarkEnd w:id="15"/>
    </w:p>
    <w:p>
      <w:pPr>
        <w:pStyle w:val="3"/>
        <w:ind w:firstLine="0" w:firstLineChars="0"/>
        <w:jc w:val="center"/>
        <w:rPr>
          <w:lang w:val="en-US"/>
        </w:rPr>
      </w:pPr>
      <w:r>
        <w:rPr>
          <w:rFonts w:hint="eastAsia"/>
          <w:lang w:val="en-US"/>
        </w:rPr>
        <w:t xml:space="preserve"> </w:t>
      </w:r>
      <w:bookmarkStart w:id="16" w:name="三维视图"/>
      <w:bookmarkEnd w:id="16"/>
      <w: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9"/>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7" w:name="_Toc452108762"/>
      <w:bookmarkStart w:id="18" w:name="TitleFormat"/>
      <w:bookmarkStart w:id="19" w:name="_Toc60181636"/>
      <w:r>
        <w:rPr>
          <w:rFonts w:hint="eastAsia"/>
        </w:rPr>
        <w:t>计算</w:t>
      </w:r>
      <w:r>
        <w:t>依据</w:t>
      </w:r>
      <w:bookmarkEnd w:id="17"/>
      <w:bookmarkEnd w:id="18"/>
      <w:bookmarkEnd w:id="19"/>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w:t>
      </w:r>
      <w:r>
        <w:rPr>
          <w:lang w:val="en-US"/>
        </w:rPr>
        <w:t>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0" w:name="_Toc452108763"/>
      <w:bookmarkStart w:id="21" w:name="_Toc60181637"/>
      <w:r>
        <w:rPr>
          <w:rFonts w:hint="eastAsia"/>
        </w:rPr>
        <w:t>参考</w:t>
      </w:r>
      <w:r>
        <w:t>标准</w:t>
      </w:r>
      <w:bookmarkEnd w:id="20"/>
      <w:bookmarkEnd w:id="21"/>
    </w:p>
    <w:p>
      <w:pPr>
        <w:pStyle w:val="3"/>
        <w:ind w:firstLine="420"/>
        <w:rPr>
          <w:lang w:val="en-US"/>
        </w:rPr>
      </w:pPr>
      <w:r>
        <w:rPr>
          <w:rFonts w:hint="eastAsia"/>
          <w:lang w:val="en-US"/>
        </w:rPr>
        <w:t>室外风环境评价依据为《绿色建筑评价标准》GB/T 50378—2019中有关室外风环境的条目要求。具体要求如下：</w:t>
      </w:r>
    </w:p>
    <w:p>
      <w:pPr>
        <w:pStyle w:val="3"/>
        <w:ind w:firstLine="420"/>
        <w:rPr>
          <w:lang w:val="en-US"/>
        </w:rPr>
      </w:pPr>
      <w:bookmarkStart w:id="22" w:name="_Toc452108764"/>
      <w:bookmarkStart w:id="23" w:name="_Toc451698935"/>
      <w:bookmarkStart w:id="24"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r>
        <w:rPr>
          <w:lang w:val="en-US"/>
        </w:rPr>
        <w:t>3</w:t>
      </w:r>
      <w:r>
        <w:rPr>
          <w:rFonts w:hint="eastAsia"/>
          <w:lang w:val="en-US"/>
        </w:rPr>
        <w:t>分；除迎风第一排建筑外，建筑迎风面与背风面表面风压差不超过5Pa，得</w:t>
      </w:r>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r>
        <w:rPr>
          <w:lang w:val="en-US"/>
        </w:rPr>
        <w:t>3</w:t>
      </w:r>
      <w:r>
        <w:rPr>
          <w:rFonts w:hint="eastAsia"/>
          <w:lang w:val="en-US"/>
        </w:rPr>
        <w:t>分；50%以上可开启外窗室内外表面的风压差大于0.5Pa，得</w:t>
      </w:r>
      <w:r>
        <w:rPr>
          <w:lang w:val="en-US"/>
        </w:rPr>
        <w:t>2</w:t>
      </w:r>
      <w:r>
        <w:rPr>
          <w:rFonts w:hint="eastAsia"/>
          <w:lang w:val="en-US"/>
        </w:rPr>
        <w:t>分。</w:t>
      </w:r>
    </w:p>
    <w:p>
      <w:pPr>
        <w:pStyle w:val="2"/>
      </w:pPr>
      <w:bookmarkStart w:id="25" w:name="_Toc60181638"/>
      <w:r>
        <w:rPr>
          <w:rFonts w:hint="eastAsia"/>
        </w:rPr>
        <w:t>计算原理</w:t>
      </w:r>
      <w:bookmarkEnd w:id="22"/>
      <w:bookmarkEnd w:id="23"/>
      <w:bookmarkEnd w:id="25"/>
    </w:p>
    <w:p>
      <w:pPr>
        <w:pStyle w:val="4"/>
        <w:numPr>
          <w:ilvl w:val="1"/>
          <w:numId w:val="3"/>
        </w:numPr>
      </w:pPr>
      <w:bookmarkStart w:id="26" w:name="_Toc509844740"/>
      <w:bookmarkStart w:id="27" w:name="_Toc60181639"/>
      <w:bookmarkStart w:id="28" w:name="_Toc452108765"/>
      <w:bookmarkStart w:id="29" w:name="_Toc451698937"/>
      <w:r>
        <w:rPr>
          <w:rFonts w:hint="eastAsia"/>
        </w:rPr>
        <w:t>风场计算域</w:t>
      </w:r>
      <w:bookmarkEnd w:id="26"/>
      <w:bookmarkEnd w:id="27"/>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0" w:name="_Toc60181640"/>
      <w:r>
        <w:rPr>
          <w:rFonts w:hint="eastAsia"/>
        </w:rPr>
        <w:t>夏季工况风场计算域</w:t>
      </w:r>
      <w:bookmarkEnd w:id="30"/>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1" w:name="冬季风场X尺寸"/>
            <w:r>
              <w:t>519</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2" w:name="冬季风场Y尺寸"/>
            <w:r>
              <w:t>575</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3" w:name="冬季风场Z尺寸"/>
            <w:r>
              <w:t>260</w:t>
            </w:r>
            <w:bookmarkEnd w:id="33"/>
          </w:p>
        </w:tc>
      </w:tr>
    </w:tbl>
    <w:p>
      <w:pPr>
        <w:pStyle w:val="3"/>
        <w:ind w:firstLine="0" w:firstLineChars="0"/>
        <w:jc w:val="center"/>
        <w:rPr>
          <w:lang w:val="en-US"/>
        </w:rPr>
      </w:pPr>
      <w:bookmarkStart w:id="34" w:name="冬季工况风场计算域图示"/>
      <w:bookmarkEnd w:id="34"/>
      <w:r>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0"/>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pPr>
        <w:pStyle w:val="3"/>
        <w:ind w:firstLine="315" w:firstLineChars="150"/>
        <w:rPr>
          <w:lang w:val="en-US"/>
        </w:rPr>
      </w:pPr>
      <w:bookmarkStart w:id="35" w:name="计算域"/>
      <w:bookmarkEnd w:id="35"/>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36" w:name="_Toc509844741"/>
      <w:bookmarkStart w:id="37" w:name="_Toc60181641"/>
      <w:r>
        <w:rPr>
          <w:rFonts w:hint="eastAsia"/>
        </w:rPr>
        <w:t>网格划分</w:t>
      </w:r>
      <w:bookmarkEnd w:id="36"/>
      <w:bookmarkEnd w:id="37"/>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38" w:name="OLE_LINK277"/>
      <w:bookmarkStart w:id="39" w:name="OLE_LINK276"/>
      <w:r>
        <w:rPr>
          <w:rFonts w:hint="eastAsia"/>
        </w:rPr>
        <w:t>1）普通网格：指除靠近地面和建筑以外的网格，通常不需要特别加密处理</w:t>
      </w:r>
    </w:p>
    <w:p>
      <w:pPr>
        <w:pStyle w:val="12"/>
        <w:numPr>
          <w:ilvl w:val="0"/>
          <w:numId w:val="4"/>
        </w:numPr>
        <w:spacing w:before="156"/>
      </w:pPr>
      <w:bookmarkStart w:id="40" w:name="OLE_LINK15"/>
      <w:r>
        <w:rPr>
          <w:rFonts w:hint="eastAsia"/>
        </w:rPr>
        <w:t>分弧精度：对于有圆弧特征的建筑局部，把圆弧分解为线段时，弦到弧的最大距离；</w:t>
      </w:r>
    </w:p>
    <w:bookmarkEnd w:id="40"/>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38"/>
      <w:bookmarkEnd w:id="39"/>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夏季网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41" w:name="冬季网格总数"/>
            <w:r>
              <w:t>980037</w:t>
            </w:r>
            <w:bookmarkEnd w:id="4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2" w:name="冬季分弧精度"/>
            <w:r>
              <w:t>0.24</w:t>
            </w:r>
            <w:bookmarkEnd w:id="42"/>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3" w:name="冬季初始网格"/>
            <w:r>
              <w:t>8.0</w:t>
            </w:r>
            <w:bookmarkEnd w:id="43"/>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4" w:name="冬季最小细分级数"/>
            <w:r>
              <w:t>1</w:t>
            </w:r>
            <w:bookmarkEnd w:id="44"/>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5" w:name="冬季最大细分级数"/>
            <w:r>
              <w:t>2</w:t>
            </w:r>
            <w:bookmarkEnd w:id="45"/>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6" w:name="冬季远场细分级数"/>
            <w:r>
              <w:t>1</w:t>
            </w:r>
            <w:bookmarkEnd w:id="4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7" w:name="冬季近场细分级数"/>
            <w:r>
              <w:t>2</w:t>
            </w:r>
            <w:bookmarkEnd w:id="4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8" w:name="冬季地面附面层数"/>
            <w:r>
              <w:t>2</w:t>
            </w:r>
            <w:bookmarkEnd w:id="4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9" w:name="冬季建筑附面层数"/>
            <w:r>
              <w:t>0</w:t>
            </w:r>
            <w:bookmarkEnd w:id="49"/>
          </w:p>
        </w:tc>
      </w:tr>
    </w:tbl>
    <w:p>
      <w:pPr>
        <w:rPr>
          <w:szCs w:val="21"/>
          <w:lang w:val="en-US"/>
        </w:rPr>
      </w:pPr>
    </w:p>
    <w:p>
      <w:pPr>
        <w:pStyle w:val="3"/>
        <w:ind w:firstLine="630" w:firstLineChars="300"/>
        <w:rPr>
          <w:rFonts w:ascii="黑体" w:hAnsi="黑体" w:eastAsia="黑体"/>
          <w:szCs w:val="20"/>
        </w:rPr>
      </w:pPr>
      <w:bookmarkStart w:id="50" w:name="网格划分信息"/>
      <w:bookmarkEnd w:id="50"/>
      <w:r>
        <w:rPr>
          <w:rFonts w:hint="eastAsia" w:ascii="黑体" w:hAnsi="黑体" w:eastAsia="黑体"/>
          <w:szCs w:val="20"/>
          <w:lang w:val="en-US"/>
        </w:rPr>
        <w:t>注：前述计算域随风向不同，所以相同的网格方案会产生不同的网格数量。</w:t>
      </w:r>
    </w:p>
    <w:p>
      <w:pPr>
        <w:pStyle w:val="4"/>
        <w:numPr>
          <w:ilvl w:val="1"/>
          <w:numId w:val="3"/>
        </w:numPr>
      </w:pPr>
      <w:bookmarkStart w:id="51" w:name="_Toc60181642"/>
      <w:bookmarkStart w:id="52" w:name="_Toc509844742"/>
      <w:r>
        <w:rPr>
          <w:rFonts w:hint="eastAsia"/>
        </w:rPr>
        <w:t>边界条件</w:t>
      </w:r>
      <w:bookmarkEnd w:id="51"/>
      <w:bookmarkEnd w:id="52"/>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53" w:name="_Toc60181643"/>
      <w:bookmarkStart w:id="54" w:name="_Toc509844743"/>
      <w:r>
        <w:rPr>
          <w:rFonts w:hint="eastAsia"/>
        </w:rPr>
        <w:t>入口与出口边界条件</w:t>
      </w:r>
      <w:bookmarkEnd w:id="53"/>
      <w:bookmarkEnd w:id="54"/>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4pt;width:71.4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6pt;width:15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r>
        <w:rPr>
          <w:rFonts w:hint="eastAsia"/>
          <w:lang w:val="en-US"/>
        </w:rPr>
        <w:t>、</w:t>
      </w:r>
      <w:r>
        <w:rPr>
          <w:lang w:val="en-US"/>
        </w:rPr>
        <w:t xml:space="preserve"> </w:t>
      </w:r>
      <w:r>
        <w:rPr>
          <w:position w:val="-10"/>
          <w:lang w:val="en-US"/>
        </w:rPr>
        <w:object>
          <v:shape id="_x0000_i1027" o:spt="75" type="#_x0000_t75" style="height:18.6pt;width:14.4pt;" o:ole="t" filled="f" o:preferrelative="t" stroked="f" coordsize="21600,21600">
            <v:path/>
            <v:fill on="f" focussize="0,0"/>
            <v:stroke on="f" joinstyle="miter"/>
            <v:imagedata r:id="rId17" o:title=""/>
            <o:lock v:ext="edit" aspectratio="t"/>
            <w10:wrap type="none"/>
            <w10:anchorlock/>
          </v:shape>
          <o:OLEObject Type="Embed" ProgID="Equation.3" ShapeID="_x0000_i1027" DrawAspect="Content" ObjectID="_1468075727" r:id="rId16">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55" w:name="地面粗糙度指数2"/>
      <w:r>
        <w:rPr>
          <w:rFonts w:hint="eastAsia"/>
          <w:lang w:val="en-US"/>
        </w:rPr>
        <w:t>0.28</w:t>
      </w:r>
      <w:bookmarkEnd w:id="55"/>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56" w:name="_Toc60181644"/>
      <w:bookmarkStart w:id="57" w:name="_Toc509844744"/>
      <w:r>
        <w:rPr>
          <w:rFonts w:hint="eastAsia"/>
        </w:rPr>
        <w:t>壁面边界条件</w:t>
      </w:r>
      <w:bookmarkEnd w:id="56"/>
      <w:bookmarkEnd w:id="57"/>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58" w:name="_Toc60181645"/>
      <w:r>
        <w:rPr>
          <w:rFonts w:hint="eastAsia"/>
        </w:rPr>
        <w:t>湍流模型</w:t>
      </w:r>
      <w:bookmarkEnd w:id="28"/>
      <w:bookmarkEnd w:id="29"/>
      <w:bookmarkEnd w:id="58"/>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59" w:name="_Toc452108767"/>
      <w:bookmarkStart w:id="60" w:name="_Toc451698939"/>
      <w:bookmarkStart w:id="61" w:name="_Toc60181646"/>
      <w:r>
        <w:rPr>
          <w:rFonts w:hint="eastAsia"/>
        </w:rPr>
        <w:t>求解计算</w:t>
      </w:r>
      <w:bookmarkEnd w:id="59"/>
      <w:bookmarkEnd w:id="60"/>
      <w:bookmarkEnd w:id="61"/>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4"/>
    </w:p>
    <w:p>
      <w:pPr>
        <w:pStyle w:val="4"/>
      </w:pPr>
      <w:bookmarkStart w:id="64" w:name="_Toc509844747"/>
      <w:bookmarkStart w:id="65" w:name="_Toc60181647"/>
      <w:r>
        <w:rPr>
          <w:rFonts w:hint="eastAsia"/>
        </w:rPr>
        <w:t>风速放大系数计算</w:t>
      </w:r>
      <w:bookmarkEnd w:id="64"/>
      <w:bookmarkEnd w:id="65"/>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ctrlPr>
                              <w:rPr>
                                <w:rFonts w:ascii="Cambria Math" w:hAnsi="Cambria Math"/>
                                <w:i/>
                                <w:lang w:val="en-US"/>
                              </w:rPr>
                            </m:ctrlPr>
                          </m:e>
                          <m:sup>
                            <m:r>
                              <w:rPr>
                                <w:rFonts w:ascii="Cambria Math" w:hAnsi="Cambria Math"/>
                                <w:lang w:val="en-US"/>
                              </w:rPr>
                              <m:t>'</m:t>
                            </m:r>
                            <m:ctrlPr>
                              <w:rPr>
                                <w:rFonts w:ascii="Cambria Math" w:hAnsi="Cambria Math"/>
                                <w:i/>
                                <w:lang w:val="en-US"/>
                              </w:rPr>
                            </m:ctrlP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ctrlPr>
                                      <w:rPr>
                                        <w:rFonts w:ascii="Cambria Math" w:hAnsi="Cambria Math"/>
                                        <w:i/>
                                        <w:lang w:val="en-US"/>
                                      </w:rPr>
                                    </m:ctrlPr>
                                  </m:num>
                                  <m:den>
                                    <m: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4pt;width:12.6pt;" o:ole="t" filled="f" o:preferrelative="t" stroked="f" coordsize="21600,21600">
            <v:path/>
            <v:fill on="f" focussize="0,0"/>
            <v:stroke on="f" joinstyle="miter"/>
            <v:imagedata r:id="rId59" o:title=""/>
            <o:lock v:ext="edit" aspectratio="t"/>
            <w10:wrap type="none"/>
            <w10:anchorlock/>
          </v:shape>
          <o:OLEObject Type="Embed" ProgID="Equation.3" ShapeID="_x0000_i1028" DrawAspect="Content" ObjectID="_1468075728" r:id="rId58">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1" o:title=""/>
            <o:lock v:ext="edit" aspectratio="t"/>
            <w10:wrap type="none"/>
            <w10:anchorlock/>
          </v:shape>
          <o:OLEObject Type="Embed" ProgID="Equation.3" ShapeID="_x0000_i1029" DrawAspect="Content" ObjectID="_1468075729" r:id="rId60">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4pt;width:24pt;" o:ole="t" filled="f" o:preferrelative="t" stroked="f" coordsize="21600,21600">
            <v:path/>
            <v:fill on="f" focussize="0,0"/>
            <v:stroke on="f" joinstyle="miter"/>
            <v:imagedata r:id="rId63" o:title=""/>
            <o:lock v:ext="edit" aspectratio="t"/>
            <w10:wrap type="none"/>
            <w10:anchorlock/>
          </v:shape>
          <o:OLEObject Type="Embed" ProgID="Equation.3" ShapeID="_x0000_i1030" DrawAspect="Content" ObjectID="_1468075730" r:id="rId62">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4pt;width:20.4pt;" o:ole="t" filled="f" o:preferrelative="t" stroked="f" coordsize="21600,21600">
            <v:path/>
            <v:fill on="f" focussize="0,0"/>
            <v:stroke on="f" joinstyle="miter"/>
            <v:imagedata r:id="rId65" o:title=""/>
            <o:lock v:ext="edit" aspectratio="t"/>
            <w10:wrap type="none"/>
            <w10:anchorlock/>
          </v:shape>
          <o:OLEObject Type="Embed" ProgID="Equation.3" ShapeID="_x0000_i1031" DrawAspect="Content" ObjectID="_1468075731" r:id="rId64">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66" w:name="地面粗糙度指数"/>
      <w:r>
        <w:rPr>
          <w:rFonts w:hint="eastAsia"/>
          <w:lang w:val="en-US"/>
        </w:rPr>
        <w:t>0.28</w:t>
      </w:r>
      <w:bookmarkEnd w:id="66"/>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67" w:name="_Toc60181648"/>
      <w:bookmarkStart w:id="68" w:name="_Toc452108768"/>
      <w:r>
        <w:rPr>
          <w:rFonts w:hint="eastAsia"/>
        </w:rPr>
        <w:t>结果</w:t>
      </w:r>
      <w:r>
        <w:t>分析</w:t>
      </w:r>
      <w:bookmarkEnd w:id="67"/>
      <w:bookmarkEnd w:id="68"/>
    </w:p>
    <w:p>
      <w:pPr>
        <w:pStyle w:val="4"/>
        <w:rPr>
          <w:szCs w:val="21"/>
        </w:rPr>
      </w:pPr>
      <w:bookmarkStart w:id="69" w:name="_Toc60181649"/>
      <w:r>
        <w:rPr>
          <w:rFonts w:hint="eastAsia"/>
          <w:szCs w:val="21"/>
        </w:rPr>
        <w:t>工况</w:t>
      </w:r>
      <w:r>
        <w:rPr>
          <w:szCs w:val="21"/>
        </w:rPr>
        <w:t>表</w:t>
      </w:r>
      <w:bookmarkEnd w:id="69"/>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7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2.70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S</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270.0</w:t>
            </w:r>
          </w:p>
        </w:tc>
      </w:tr>
      <w:bookmarkEnd w:id="70"/>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6"/>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rPr>
          <w:lang w:val="en-US"/>
        </w:rPr>
      </w:pPr>
      <w:bookmarkStart w:id="71" w:name="冬季工况"/>
      <w:bookmarkEnd w:id="71"/>
      <w:r>
        <w:rPr>
          <w:rFonts w:hint="eastAsia"/>
          <w:lang w:val="en-US"/>
        </w:rPr>
        <w:t xml:space="preserve"> </w:t>
      </w:r>
    </w:p>
    <w:p>
      <w:pPr>
        <w:pStyle w:val="4"/>
      </w:pPr>
      <w:bookmarkStart w:id="72" w:name="季节1"/>
      <w:bookmarkStart w:id="73" w:name="_Toc60181650"/>
      <w:bookmarkStart w:id="74" w:name="_Toc509844759"/>
      <w:r>
        <w:rPr>
          <w:rFonts w:hint="eastAsia"/>
        </w:rPr>
        <w:t>夏季</w:t>
      </w:r>
      <w:bookmarkEnd w:id="72"/>
      <w:r>
        <w:rPr>
          <w:rFonts w:hint="eastAsia"/>
        </w:rPr>
        <w:t>工况</w:t>
      </w:r>
      <w:bookmarkEnd w:id="73"/>
      <w:bookmarkEnd w:id="74"/>
    </w:p>
    <w:p>
      <w:pPr>
        <w:pStyle w:val="3"/>
        <w:ind w:firstLine="420"/>
      </w:pPr>
      <w:r>
        <w:rPr>
          <w:rFonts w:hint="eastAsia"/>
          <w:lang w:val="en-US"/>
        </w:rPr>
        <w:t>本项目</w:t>
      </w:r>
      <w:bookmarkStart w:id="75" w:name="季节2"/>
      <w:r>
        <w:rPr>
          <w:rFonts w:hint="eastAsia"/>
          <w:lang w:val="en-US"/>
        </w:rPr>
        <w:t>夏季</w:t>
      </w:r>
      <w:bookmarkEnd w:id="75"/>
      <w:r>
        <w:rPr>
          <w:rFonts w:hint="eastAsia"/>
          <w:lang w:val="en-US"/>
        </w:rPr>
        <w:t>工况的入口边界风速为</w:t>
      </w:r>
      <w:bookmarkStart w:id="76" w:name="入口边界风速"/>
      <w:r>
        <w:rPr>
          <w:rFonts w:hint="eastAsia"/>
          <w:lang w:val="en-US"/>
        </w:rPr>
        <w:t>2.70</w:t>
      </w:r>
      <w:bookmarkEnd w:id="76"/>
      <w:r>
        <w:rPr>
          <w:rFonts w:hint="eastAsia"/>
          <w:lang w:val="en-US"/>
        </w:rPr>
        <w:t>m/s，风向为</w:t>
      </w:r>
      <w:bookmarkStart w:id="77" w:name="入口边界风向"/>
      <w:r>
        <w:t>S</w:t>
      </w:r>
      <w:bookmarkEnd w:id="77"/>
      <w:r>
        <w:rPr>
          <w:rFonts w:hint="eastAsia"/>
          <w:lang w:val="en-US"/>
        </w:rPr>
        <w:t>。</w:t>
      </w:r>
    </w:p>
    <w:p>
      <w:pPr>
        <w:pStyle w:val="3"/>
        <w:ind w:firstLine="420"/>
      </w:pPr>
      <w:r>
        <w:rPr>
          <w:rFonts w:hint="eastAsia"/>
          <w:lang w:val="en-US"/>
        </w:rPr>
        <w:t>根据前述《绿色建筑评价标准》 对于夏季工况的要求，</w:t>
      </w:r>
      <w:bookmarkStart w:id="78" w:name="季节3"/>
      <w:r>
        <w:rPr>
          <w:rFonts w:hint="eastAsia"/>
          <w:lang w:val="en-US"/>
        </w:rPr>
        <w:t>夏季</w:t>
      </w:r>
      <w:bookmarkEnd w:id="78"/>
      <w:r>
        <w:rPr>
          <w:rFonts w:hint="eastAsia"/>
          <w:lang w:val="en-US"/>
        </w:rPr>
        <w:t>典型风速和风向条件下，场地内人活动区不出现涡旋或无风区。通过该项标准指导设计确保合理的建筑布局，在</w:t>
      </w:r>
      <w:bookmarkStart w:id="79" w:name="季节4"/>
      <w:r>
        <w:rPr>
          <w:rFonts w:hint="eastAsia"/>
          <w:lang w:val="en-US"/>
        </w:rPr>
        <w:t>夏季</w:t>
      </w:r>
      <w:bookmarkEnd w:id="79"/>
      <w:r>
        <w:rPr>
          <w:rFonts w:hint="eastAsia"/>
          <w:lang w:val="en-US"/>
        </w:rPr>
        <w:t>形成有效的巷道风，优化街区自然通风环境，避免</w:t>
      </w:r>
      <w:bookmarkStart w:id="80" w:name="季节5"/>
      <w:r>
        <w:rPr>
          <w:rFonts w:hint="eastAsia"/>
          <w:lang w:val="en-US"/>
        </w:rPr>
        <w:t>夏季</w:t>
      </w:r>
      <w:bookmarkEnd w:id="80"/>
      <w:r>
        <w:rPr>
          <w:rFonts w:hint="eastAsia"/>
          <w:lang w:val="en-US"/>
        </w:rPr>
        <w:t>人行区有明显的气流旋涡和无风区，从而造成闷热不适感。因此本项目需要分析建筑周围人行区的风速和风速放大系数分布，并作出判断。</w:t>
      </w:r>
    </w:p>
    <w:p>
      <w:pPr>
        <w:pStyle w:val="3"/>
        <w:ind w:firstLine="422"/>
        <w:rPr>
          <w:lang w:val="en-US"/>
        </w:rPr>
      </w:pPr>
      <w:r>
        <w:rPr>
          <w:rFonts w:hint="eastAsia"/>
          <w:b/>
          <w:lang w:val="en-US"/>
        </w:rPr>
        <w:t>无风区的定义</w:t>
      </w:r>
      <w:r>
        <w:rPr>
          <w:rFonts w:hint="eastAsia"/>
          <w:lang w:val="en-US"/>
        </w:rPr>
        <w:t xml:space="preserve"> 通常当人行区域风速≤0.2m/s时，该区域风向标处于静止状态，在此区域活动的人会有明显的无风感，则该区域为无风区。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81" w:name="_Toc509844760"/>
      <w:bookmarkStart w:id="82" w:name="_Toc60181651"/>
      <w:r>
        <w:rPr>
          <w:rFonts w:hint="eastAsia"/>
        </w:rPr>
        <w:t>无风区计算分析</w:t>
      </w:r>
      <w:bookmarkEnd w:id="81"/>
      <w:bookmarkEnd w:id="82"/>
    </w:p>
    <w:p>
      <w:pPr>
        <w:pStyle w:val="3"/>
        <w:tabs>
          <w:tab w:val="left" w:pos="426"/>
        </w:tabs>
        <w:ind w:firstLine="420"/>
      </w:pPr>
      <w:r>
        <w:rPr>
          <w:rFonts w:hint="eastAsia"/>
        </w:rPr>
        <w:t>下图为整个计算域内风速分布云图，参考图中速度分布可以对项目中建筑布局进行优化。分析下图，</w:t>
      </w:r>
      <w:bookmarkStart w:id="83" w:name="风速分析结论"/>
      <w:bookmarkEnd w:id="83"/>
      <w:r>
        <w:t>黑色等值线</w:t>
      </w:r>
      <w:r>
        <w:rPr>
          <w:color w:val="FF0000"/>
        </w:rPr>
        <w:t>标示出了</w:t>
      </w:r>
      <w:r>
        <w:t>人行区内风速小于0.2m/s的超限区域，因此</w:t>
      </w:r>
      <w:r>
        <w:rPr>
          <w:color w:val="FF0000"/>
        </w:rPr>
        <w:t>未满足</w:t>
      </w:r>
      <w:r>
        <w:t>绿标要求，需调整建筑布局优化区域内风速分布。</w:t>
      </w:r>
    </w:p>
    <w:p>
      <w:pPr>
        <w:pStyle w:val="3"/>
        <w:spacing w:after="156" w:afterLines="50"/>
        <w:ind w:firstLine="0" w:firstLineChars="0"/>
        <w:jc w:val="center"/>
      </w:pPr>
      <w:bookmarkStart w:id="84" w:name="风速云图"/>
      <w:bookmarkEnd w:id="84"/>
      <w:r>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67"/>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w:t>
      </w:r>
      <w:bookmarkStart w:id="85" w:name="季节7"/>
      <w:r>
        <w:rPr>
          <w:rFonts w:hint="eastAsia" w:ascii="黑体" w:hAnsi="黑体" w:eastAsia="黑体"/>
          <w:sz w:val="20"/>
          <w:szCs w:val="20"/>
        </w:rPr>
        <w:t>夏季</w:t>
      </w:r>
      <w:bookmarkEnd w:id="85"/>
    </w:p>
    <w:p>
      <w:pPr>
        <w:pStyle w:val="5"/>
      </w:pPr>
      <w:bookmarkStart w:id="86" w:name="_Toc509844761"/>
      <w:bookmarkStart w:id="87" w:name="_Toc60181652"/>
      <w:r>
        <w:rPr>
          <w:rFonts w:hint="eastAsia"/>
        </w:rPr>
        <w:t>旋涡区分析</w:t>
      </w:r>
      <w:bookmarkEnd w:id="86"/>
      <w:bookmarkEnd w:id="87"/>
    </w:p>
    <w:p>
      <w:pPr>
        <w:pStyle w:val="3"/>
        <w:tabs>
          <w:tab w:val="left" w:pos="426"/>
        </w:tabs>
        <w:ind w:firstLine="420"/>
        <w:rPr>
          <w:lang w:val="en-US"/>
        </w:rPr>
      </w:pPr>
      <w:r>
        <w:rPr>
          <w:rFonts w:hint="eastAsia"/>
          <w:lang w:val="en-US"/>
        </w:rPr>
        <w:t>下图为计算域内的风速矢量图，分析下图可知，计算域内没有明显的旋涡产生，本项目建筑布局基本合理。</w:t>
      </w:r>
    </w:p>
    <w:p>
      <w:pPr>
        <w:pStyle w:val="3"/>
        <w:ind w:firstLine="0" w:firstLineChars="0"/>
        <w:jc w:val="center"/>
        <w:rPr>
          <w:lang w:val="en-US"/>
        </w:rPr>
      </w:pPr>
      <w:bookmarkStart w:id="88" w:name="风速矢量图"/>
      <w:bookmarkEnd w:id="88"/>
      <w:r>
        <w:drawing>
          <wp:inline distT="0" distB="0" distL="0" distR="0">
            <wp:extent cx="5667375" cy="36671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68"/>
                    <a:stretch>
                      <a:fillRect/>
                    </a:stretch>
                  </pic:blipFill>
                  <pic:spPr>
                    <a:xfrm>
                      <a:off x="0" y="0"/>
                      <a:ext cx="5667375" cy="36671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计算域内-1.5米高度水平面风速矢量图</w:t>
      </w:r>
    </w:p>
    <w:p>
      <w:pPr>
        <w:pStyle w:val="5"/>
      </w:pPr>
      <w:bookmarkStart w:id="89" w:name="_Toc509844762"/>
      <w:bookmarkStart w:id="90" w:name="_Toc60181653"/>
      <w:r>
        <w:rPr>
          <w:rFonts w:hint="eastAsia"/>
        </w:rPr>
        <w:t>人行区域旋涡区/无风区达标判定</w:t>
      </w:r>
      <w:bookmarkEnd w:id="89"/>
      <w:bookmarkEnd w:id="90"/>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91" w:name="季节8"/>
      <w:r>
        <w:rPr>
          <w:rFonts w:hint="eastAsia" w:ascii="黑体" w:hAnsi="黑体" w:eastAsia="黑体"/>
          <w:sz w:val="20"/>
          <w:szCs w:val="20"/>
        </w:rPr>
        <w:t>夏季</w:t>
      </w:r>
      <w:bookmarkEnd w:id="91"/>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000000"/>
                <w:sz w:val="22"/>
                <w:szCs w:val="22"/>
                <w:lang w:val="en-US"/>
              </w:rPr>
              <w:t>否</w:t>
            </w:r>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000000" w:themeColor="text1"/>
                <w:sz w:val="22"/>
                <w:szCs w:val="22"/>
                <w:lang w:val="en-US"/>
                <w14:textFill>
                  <w14:solidFill>
                    <w14:schemeClr w14:val="tx1"/>
                  </w14:solidFill>
                </w14:textFill>
              </w:rPr>
              <w:t>是</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p>
        </w:tc>
      </w:tr>
    </w:tbl>
    <w:p>
      <w:pPr>
        <w:pStyle w:val="5"/>
      </w:pPr>
      <w:bookmarkStart w:id="92" w:name="_Toc504501018"/>
      <w:bookmarkStart w:id="93" w:name="_Toc509844763"/>
      <w:bookmarkStart w:id="94" w:name="_Toc60181654"/>
      <w:r>
        <w:rPr>
          <w:rFonts w:hint="eastAsia"/>
        </w:rPr>
        <w:t>外窗内外表面风压</w:t>
      </w:r>
      <w:bookmarkEnd w:id="92"/>
      <w:r>
        <w:rPr>
          <w:rFonts w:hint="eastAsia"/>
        </w:rPr>
        <w:t>差达标分析</w:t>
      </w:r>
      <w:bookmarkEnd w:id="93"/>
      <w:bookmarkEnd w:id="94"/>
    </w:p>
    <w:p>
      <w:pPr>
        <w:pStyle w:val="3"/>
        <w:ind w:firstLine="420"/>
      </w:pPr>
      <w:r>
        <w:rPr>
          <w:rFonts w:hint="eastAsia"/>
          <w:lang w:val="en-US"/>
        </w:rPr>
        <w:t>分析《绿色建筑评价标准》，</w:t>
      </w:r>
      <w:bookmarkStart w:id="95" w:name="季节9"/>
      <w:r>
        <w:rPr>
          <w:rFonts w:hint="eastAsia"/>
          <w:lang w:val="en-US"/>
        </w:rPr>
        <w:t>夏季</w:t>
      </w:r>
      <w:bookmarkEnd w:id="95"/>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bookmarkStart w:id="96" w:name="迎风面风压云图"/>
      <w:bookmarkEnd w:id="96"/>
      <w:r>
        <w:drawing>
          <wp:inline distT="0" distB="0" distL="0" distR="0">
            <wp:extent cx="5667375" cy="3619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69"/>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97" w:name="季节10"/>
      <w:r>
        <w:rPr>
          <w:rFonts w:hint="eastAsia" w:ascii="黑体" w:hAnsi="黑体" w:eastAsia="黑体"/>
          <w:sz w:val="20"/>
          <w:szCs w:val="20"/>
        </w:rPr>
        <w:t>夏季</w:t>
      </w:r>
      <w:bookmarkEnd w:id="97"/>
    </w:p>
    <w:p>
      <w:pPr>
        <w:pStyle w:val="13"/>
        <w:jc w:val="center"/>
      </w:pPr>
      <w:bookmarkStart w:id="98" w:name="背风面风压云图"/>
      <w:bookmarkEnd w:id="98"/>
      <w:r>
        <w:drawing>
          <wp:inline distT="0" distB="0" distL="0" distR="0">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0"/>
                    <a:stretch>
                      <a:fillRect/>
                    </a:stretch>
                  </pic:blipFill>
                  <pic:spPr>
                    <a:xfrm>
                      <a:off x="0" y="0"/>
                      <a:ext cx="5667375" cy="363855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99" w:name="季节11"/>
      <w:r>
        <w:rPr>
          <w:rFonts w:hint="eastAsia" w:ascii="黑体" w:hAnsi="黑体" w:eastAsia="黑体"/>
          <w:sz w:val="20"/>
          <w:szCs w:val="20"/>
        </w:rPr>
        <w:t>夏季</w:t>
      </w:r>
      <w:bookmarkEnd w:id="99"/>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DT单体(Drawing2改)</w:t>
            </w:r>
          </w:p>
        </w:tc>
        <w:tc>
          <w:tcPr>
            <w:tcW w:w="1134" w:type="dxa"/>
            <w:shd w:val="clear" w:color="auto" w:fill="auto"/>
            <w:vAlign w:val="center"/>
          </w:tcPr>
          <w:p>
            <w:pPr>
              <w:jc w:val="center"/>
              <w:rPr>
                <w:lang w:val="en-US"/>
              </w:rPr>
            </w:pPr>
            <w:r>
              <w:rPr>
                <w:lang w:val="en-US"/>
              </w:rPr>
              <w:t>405</w:t>
            </w:r>
          </w:p>
        </w:tc>
        <w:tc>
          <w:tcPr>
            <w:tcW w:w="1984" w:type="dxa"/>
            <w:shd w:val="clear" w:color="auto" w:fill="auto"/>
            <w:vAlign w:val="center"/>
          </w:tcPr>
          <w:p>
            <w:pPr>
              <w:jc w:val="center"/>
              <w:rPr>
                <w:lang w:val="en-US"/>
              </w:rPr>
            </w:pPr>
            <w:r>
              <w:rPr>
                <w:lang w:val="en-US"/>
              </w:rPr>
              <w:t>230</w:t>
            </w:r>
          </w:p>
        </w:tc>
        <w:tc>
          <w:tcPr>
            <w:tcW w:w="1116" w:type="dxa"/>
            <w:shd w:val="clear" w:color="auto" w:fill="auto"/>
            <w:vAlign w:val="center"/>
          </w:tcPr>
          <w:p>
            <w:pPr>
              <w:jc w:val="center"/>
              <w:rPr>
                <w:lang w:val="en-US"/>
              </w:rPr>
            </w:pPr>
            <w:r>
              <w:rPr>
                <w:lang w:val="en-US"/>
              </w:rPr>
              <w:t>56.79</w:t>
            </w:r>
          </w:p>
        </w:tc>
        <w:tc>
          <w:tcPr>
            <w:tcW w:w="708" w:type="dxa"/>
            <w:shd w:val="clear" w:color="auto" w:fill="auto"/>
            <w:vAlign w:val="center"/>
          </w:tcPr>
          <w:p>
            <w:pPr>
              <w:jc w:val="center"/>
              <w:rPr>
                <w:lang w:val="en-US"/>
              </w:rPr>
            </w:pPr>
            <w:r>
              <w:rPr>
                <w:lang w:val="en-US"/>
              </w:rPr>
              <w:t>是</w:t>
            </w:r>
          </w:p>
        </w:tc>
      </w:tr>
    </w:tbl>
    <w:p>
      <w:r>
        <w:rPr>
          <w:rFonts w:hint="eastAsia"/>
          <w:lang w:val="en-US"/>
        </w:rPr>
        <w:t>说明：达标比例＝（室内外风压差大于0.5Pa的总数/可开启外窗总数）*100％</w:t>
      </w:r>
    </w:p>
    <w:p>
      <w:pPr>
        <w:rPr>
          <w:lang w:val="en-US"/>
        </w:rPr>
      </w:pPr>
      <w:bookmarkStart w:id="100" w:name="建筑外窗室内外风压差达标判定"/>
      <w:bookmarkEnd w:id="100"/>
    </w:p>
    <w:p>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pPr>
        <w:pStyle w:val="13"/>
        <w:jc w:val="center"/>
      </w:pPr>
      <w:r>
        <w:rPr>
          <w:rFonts w:hint="eastAsia"/>
        </w:rPr>
        <w:t>表</w:t>
      </w:r>
      <w:r>
        <w:t xml:space="preserve"> </w:t>
      </w:r>
      <w:r>
        <w:fldChar w:fldCharType="begin"/>
      </w:r>
      <w:r>
        <w:instrText xml:space="preserve"> STYLEREF 2 \s </w:instrText>
      </w:r>
      <w:r>
        <w:fldChar w:fldCharType="separate"/>
      </w:r>
      <w:r>
        <w:t>5.2</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2"/>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pPr>
              <w:spacing w:line="360" w:lineRule="exact"/>
              <w:jc w:val="center"/>
              <w:rPr>
                <w:lang w:val="en-US"/>
              </w:rPr>
            </w:pPr>
            <w:r>
              <w:rPr>
                <w:rFonts w:hint="eastAsia"/>
                <w:lang w:val="en-US"/>
              </w:rPr>
              <w:t>建筑编号</w:t>
            </w:r>
          </w:p>
        </w:tc>
        <w:tc>
          <w:tcPr>
            <w:tcW w:w="1417" w:type="dxa"/>
            <w:shd w:val="clear" w:color="auto" w:fill="E6E6E6"/>
            <w:vAlign w:val="center"/>
          </w:tcPr>
          <w:p>
            <w:pPr>
              <w:spacing w:line="360" w:lineRule="exact"/>
              <w:jc w:val="center"/>
              <w:rPr>
                <w:lang w:val="en-US"/>
              </w:rPr>
            </w:pPr>
            <w:r>
              <w:rPr>
                <w:rFonts w:hint="eastAsia"/>
                <w:lang w:val="en-US"/>
              </w:rPr>
              <w:t>建筑表面积（㎡）</w:t>
            </w:r>
          </w:p>
        </w:tc>
        <w:tc>
          <w:tcPr>
            <w:tcW w:w="2552" w:type="dxa"/>
            <w:shd w:val="clear" w:color="auto" w:fill="E6E6E6"/>
            <w:vAlign w:val="center"/>
          </w:tcPr>
          <w:p>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pPr>
              <w:spacing w:line="360" w:lineRule="exact"/>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未命名(237D4)</w:t>
            </w:r>
          </w:p>
        </w:tc>
        <w:tc>
          <w:tcPr>
            <w:tcW w:w="1417" w:type="dxa"/>
            <w:vAlign w:val="center"/>
          </w:tcPr>
          <w:p>
            <w:pPr>
              <w:spacing w:line="360" w:lineRule="exact"/>
              <w:jc w:val="center"/>
              <w:rPr>
                <w:lang w:val="en-US"/>
              </w:rPr>
            </w:pPr>
            <w:r>
              <w:rPr>
                <w:lang w:val="en-US"/>
              </w:rPr>
              <w:t>6721.46</w:t>
            </w:r>
          </w:p>
        </w:tc>
        <w:tc>
          <w:tcPr>
            <w:tcW w:w="2552" w:type="dxa"/>
            <w:vAlign w:val="center"/>
          </w:tcPr>
          <w:p>
            <w:pPr>
              <w:spacing w:line="360" w:lineRule="exact"/>
              <w:jc w:val="center"/>
              <w:rPr>
                <w:lang w:val="en-US"/>
              </w:rPr>
            </w:pPr>
            <w:r>
              <w:rPr>
                <w:lang w:val="en-US"/>
              </w:rPr>
              <w:t>5376.54</w:t>
            </w:r>
          </w:p>
        </w:tc>
        <w:tc>
          <w:tcPr>
            <w:tcW w:w="1134" w:type="dxa"/>
            <w:vAlign w:val="center"/>
          </w:tcPr>
          <w:p>
            <w:pPr>
              <w:spacing w:line="360" w:lineRule="exact"/>
              <w:jc w:val="center"/>
              <w:rPr>
                <w:lang w:val="en-US"/>
              </w:rPr>
            </w:pPr>
            <w:r>
              <w:rPr>
                <w:lang w:val="en-US"/>
              </w:rPr>
              <w:t>79.99</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未命名(237D7)</w:t>
            </w:r>
          </w:p>
        </w:tc>
        <w:tc>
          <w:tcPr>
            <w:tcW w:w="1417" w:type="dxa"/>
            <w:vAlign w:val="center"/>
          </w:tcPr>
          <w:p>
            <w:pPr>
              <w:spacing w:line="360" w:lineRule="exact"/>
              <w:jc w:val="center"/>
              <w:rPr>
                <w:lang w:val="en-US"/>
              </w:rPr>
            </w:pPr>
            <w:r>
              <w:rPr>
                <w:lang w:val="en-US"/>
              </w:rPr>
              <w:t>5934.25</w:t>
            </w:r>
          </w:p>
        </w:tc>
        <w:tc>
          <w:tcPr>
            <w:tcW w:w="2552" w:type="dxa"/>
            <w:vAlign w:val="center"/>
          </w:tcPr>
          <w:p>
            <w:pPr>
              <w:spacing w:line="360" w:lineRule="exact"/>
              <w:jc w:val="center"/>
              <w:rPr>
                <w:lang w:val="en-US"/>
              </w:rPr>
            </w:pPr>
            <w:r>
              <w:rPr>
                <w:lang w:val="en-US"/>
              </w:rPr>
              <w:t>5497.18</w:t>
            </w:r>
          </w:p>
        </w:tc>
        <w:tc>
          <w:tcPr>
            <w:tcW w:w="1134" w:type="dxa"/>
            <w:vAlign w:val="center"/>
          </w:tcPr>
          <w:p>
            <w:pPr>
              <w:spacing w:line="360" w:lineRule="exact"/>
              <w:jc w:val="center"/>
              <w:rPr>
                <w:lang w:val="en-US"/>
              </w:rPr>
            </w:pPr>
            <w:r>
              <w:rPr>
                <w:lang w:val="en-US"/>
              </w:rPr>
              <w:t>92.63</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未命名(237DA)</w:t>
            </w:r>
          </w:p>
        </w:tc>
        <w:tc>
          <w:tcPr>
            <w:tcW w:w="1417" w:type="dxa"/>
            <w:vAlign w:val="center"/>
          </w:tcPr>
          <w:p>
            <w:pPr>
              <w:spacing w:line="360" w:lineRule="exact"/>
              <w:jc w:val="center"/>
              <w:rPr>
                <w:lang w:val="en-US"/>
              </w:rPr>
            </w:pPr>
            <w:r>
              <w:rPr>
                <w:lang w:val="en-US"/>
              </w:rPr>
              <w:t>7416.50</w:t>
            </w:r>
          </w:p>
        </w:tc>
        <w:tc>
          <w:tcPr>
            <w:tcW w:w="2552" w:type="dxa"/>
            <w:vAlign w:val="center"/>
          </w:tcPr>
          <w:p>
            <w:pPr>
              <w:spacing w:line="360" w:lineRule="exact"/>
              <w:jc w:val="center"/>
              <w:rPr>
                <w:lang w:val="en-US"/>
              </w:rPr>
            </w:pPr>
            <w:r>
              <w:rPr>
                <w:lang w:val="en-US"/>
              </w:rPr>
              <w:t>5592.81</w:t>
            </w:r>
          </w:p>
        </w:tc>
        <w:tc>
          <w:tcPr>
            <w:tcW w:w="1134" w:type="dxa"/>
            <w:vAlign w:val="center"/>
          </w:tcPr>
          <w:p>
            <w:pPr>
              <w:spacing w:line="360" w:lineRule="exact"/>
              <w:jc w:val="center"/>
              <w:rPr>
                <w:lang w:val="en-US"/>
              </w:rPr>
            </w:pPr>
            <w:r>
              <w:rPr>
                <w:lang w:val="en-US"/>
              </w:rPr>
              <w:t>75.41</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未命名(237DD)</w:t>
            </w:r>
          </w:p>
        </w:tc>
        <w:tc>
          <w:tcPr>
            <w:tcW w:w="1417" w:type="dxa"/>
            <w:vAlign w:val="center"/>
          </w:tcPr>
          <w:p>
            <w:pPr>
              <w:spacing w:line="360" w:lineRule="exact"/>
              <w:jc w:val="center"/>
              <w:rPr>
                <w:lang w:val="en-US"/>
              </w:rPr>
            </w:pPr>
            <w:r>
              <w:rPr>
                <w:lang w:val="en-US"/>
              </w:rPr>
              <w:t>9119.03</w:t>
            </w:r>
          </w:p>
        </w:tc>
        <w:tc>
          <w:tcPr>
            <w:tcW w:w="2552" w:type="dxa"/>
            <w:vAlign w:val="center"/>
          </w:tcPr>
          <w:p>
            <w:pPr>
              <w:spacing w:line="360" w:lineRule="exact"/>
              <w:jc w:val="center"/>
              <w:rPr>
                <w:lang w:val="en-US"/>
              </w:rPr>
            </w:pPr>
            <w:r>
              <w:rPr>
                <w:lang w:val="en-US"/>
              </w:rPr>
              <w:t>8999.77</w:t>
            </w:r>
          </w:p>
        </w:tc>
        <w:tc>
          <w:tcPr>
            <w:tcW w:w="1134" w:type="dxa"/>
            <w:vAlign w:val="center"/>
          </w:tcPr>
          <w:p>
            <w:pPr>
              <w:spacing w:line="360" w:lineRule="exact"/>
              <w:jc w:val="center"/>
              <w:rPr>
                <w:lang w:val="en-US"/>
              </w:rPr>
            </w:pPr>
            <w:r>
              <w:rPr>
                <w:lang w:val="en-US"/>
              </w:rPr>
              <w:t>98.69</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未命名(237E0)</w:t>
            </w:r>
          </w:p>
        </w:tc>
        <w:tc>
          <w:tcPr>
            <w:tcW w:w="1417" w:type="dxa"/>
            <w:vAlign w:val="center"/>
          </w:tcPr>
          <w:p>
            <w:pPr>
              <w:spacing w:line="360" w:lineRule="exact"/>
              <w:jc w:val="center"/>
              <w:rPr>
                <w:lang w:val="en-US"/>
              </w:rPr>
            </w:pPr>
            <w:r>
              <w:rPr>
                <w:lang w:val="en-US"/>
              </w:rPr>
              <w:t>9977.58</w:t>
            </w:r>
          </w:p>
        </w:tc>
        <w:tc>
          <w:tcPr>
            <w:tcW w:w="2552" w:type="dxa"/>
            <w:vAlign w:val="center"/>
          </w:tcPr>
          <w:p>
            <w:pPr>
              <w:spacing w:line="360" w:lineRule="exact"/>
              <w:jc w:val="center"/>
              <w:rPr>
                <w:lang w:val="en-US"/>
              </w:rPr>
            </w:pPr>
            <w:r>
              <w:rPr>
                <w:lang w:val="en-US"/>
              </w:rPr>
              <w:t>8834.54</w:t>
            </w:r>
          </w:p>
        </w:tc>
        <w:tc>
          <w:tcPr>
            <w:tcW w:w="1134" w:type="dxa"/>
            <w:vAlign w:val="center"/>
          </w:tcPr>
          <w:p>
            <w:pPr>
              <w:spacing w:line="360" w:lineRule="exact"/>
              <w:jc w:val="center"/>
              <w:rPr>
                <w:lang w:val="en-US"/>
              </w:rPr>
            </w:pPr>
            <w:r>
              <w:rPr>
                <w:lang w:val="en-US"/>
              </w:rPr>
              <w:t>88.54</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未命名(237EC)</w:t>
            </w:r>
          </w:p>
        </w:tc>
        <w:tc>
          <w:tcPr>
            <w:tcW w:w="1417" w:type="dxa"/>
            <w:vAlign w:val="center"/>
          </w:tcPr>
          <w:p>
            <w:pPr>
              <w:spacing w:line="360" w:lineRule="exact"/>
              <w:jc w:val="center"/>
              <w:rPr>
                <w:lang w:val="en-US"/>
              </w:rPr>
            </w:pPr>
            <w:r>
              <w:rPr>
                <w:lang w:val="en-US"/>
              </w:rPr>
              <w:t>323.23</w:t>
            </w:r>
          </w:p>
        </w:tc>
        <w:tc>
          <w:tcPr>
            <w:tcW w:w="2552" w:type="dxa"/>
            <w:vAlign w:val="center"/>
          </w:tcPr>
          <w:p>
            <w:pPr>
              <w:spacing w:line="360" w:lineRule="exact"/>
              <w:jc w:val="center"/>
              <w:rPr>
                <w:lang w:val="en-US"/>
              </w:rPr>
            </w:pPr>
            <w:r>
              <w:rPr>
                <w:lang w:val="en-US"/>
              </w:rPr>
              <w:t>323.23</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未命名(237EF)</w:t>
            </w:r>
          </w:p>
        </w:tc>
        <w:tc>
          <w:tcPr>
            <w:tcW w:w="1417" w:type="dxa"/>
            <w:vAlign w:val="center"/>
          </w:tcPr>
          <w:p>
            <w:pPr>
              <w:spacing w:line="360" w:lineRule="exact"/>
              <w:jc w:val="center"/>
              <w:rPr>
                <w:lang w:val="en-US"/>
              </w:rPr>
            </w:pPr>
            <w:r>
              <w:rPr>
                <w:lang w:val="en-US"/>
              </w:rPr>
              <w:t>8284.51</w:t>
            </w:r>
          </w:p>
        </w:tc>
        <w:tc>
          <w:tcPr>
            <w:tcW w:w="2552" w:type="dxa"/>
            <w:vAlign w:val="center"/>
          </w:tcPr>
          <w:p>
            <w:pPr>
              <w:spacing w:line="360" w:lineRule="exact"/>
              <w:jc w:val="center"/>
              <w:rPr>
                <w:lang w:val="en-US"/>
              </w:rPr>
            </w:pPr>
            <w:r>
              <w:rPr>
                <w:lang w:val="en-US"/>
              </w:rPr>
              <w:t>7810.85</w:t>
            </w:r>
          </w:p>
        </w:tc>
        <w:tc>
          <w:tcPr>
            <w:tcW w:w="1134" w:type="dxa"/>
            <w:vAlign w:val="center"/>
          </w:tcPr>
          <w:p>
            <w:pPr>
              <w:spacing w:line="360" w:lineRule="exact"/>
              <w:jc w:val="center"/>
              <w:rPr>
                <w:lang w:val="en-US"/>
              </w:rPr>
            </w:pPr>
            <w:r>
              <w:rPr>
                <w:lang w:val="en-US"/>
              </w:rPr>
              <w:t>94.28</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未命名(2380A)</w:t>
            </w:r>
          </w:p>
        </w:tc>
        <w:tc>
          <w:tcPr>
            <w:tcW w:w="1417" w:type="dxa"/>
            <w:vAlign w:val="center"/>
          </w:tcPr>
          <w:p>
            <w:pPr>
              <w:spacing w:line="360" w:lineRule="exact"/>
              <w:jc w:val="center"/>
              <w:rPr>
                <w:lang w:val="en-US"/>
              </w:rPr>
            </w:pPr>
            <w:r>
              <w:rPr>
                <w:lang w:val="en-US"/>
              </w:rPr>
              <w:t>465.37</w:t>
            </w:r>
          </w:p>
        </w:tc>
        <w:tc>
          <w:tcPr>
            <w:tcW w:w="2552" w:type="dxa"/>
            <w:vAlign w:val="center"/>
          </w:tcPr>
          <w:p>
            <w:pPr>
              <w:spacing w:line="360" w:lineRule="exact"/>
              <w:jc w:val="center"/>
              <w:rPr>
                <w:lang w:val="en-US"/>
              </w:rPr>
            </w:pPr>
            <w:r>
              <w:rPr>
                <w:lang w:val="en-US"/>
              </w:rPr>
              <w:t>465.37</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未命名(2380D)</w:t>
            </w:r>
          </w:p>
        </w:tc>
        <w:tc>
          <w:tcPr>
            <w:tcW w:w="1417" w:type="dxa"/>
            <w:vAlign w:val="center"/>
          </w:tcPr>
          <w:p>
            <w:pPr>
              <w:spacing w:line="360" w:lineRule="exact"/>
              <w:jc w:val="center"/>
              <w:rPr>
                <w:lang w:val="en-US"/>
              </w:rPr>
            </w:pPr>
            <w:r>
              <w:rPr>
                <w:lang w:val="en-US"/>
              </w:rPr>
              <w:t>15756.20</w:t>
            </w:r>
          </w:p>
        </w:tc>
        <w:tc>
          <w:tcPr>
            <w:tcW w:w="2552" w:type="dxa"/>
            <w:vAlign w:val="center"/>
          </w:tcPr>
          <w:p>
            <w:pPr>
              <w:spacing w:line="360" w:lineRule="exact"/>
              <w:jc w:val="center"/>
              <w:rPr>
                <w:lang w:val="en-US"/>
              </w:rPr>
            </w:pPr>
            <w:r>
              <w:rPr>
                <w:lang w:val="en-US"/>
              </w:rPr>
              <w:t>15698.80</w:t>
            </w:r>
          </w:p>
        </w:tc>
        <w:tc>
          <w:tcPr>
            <w:tcW w:w="1134" w:type="dxa"/>
            <w:vAlign w:val="center"/>
          </w:tcPr>
          <w:p>
            <w:pPr>
              <w:spacing w:line="360" w:lineRule="exact"/>
              <w:jc w:val="center"/>
              <w:rPr>
                <w:lang w:val="en-US"/>
              </w:rPr>
            </w:pPr>
            <w:r>
              <w:rPr>
                <w:lang w:val="en-US"/>
              </w:rPr>
              <w:t>99.64</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未命名(23810)</w:t>
            </w:r>
          </w:p>
        </w:tc>
        <w:tc>
          <w:tcPr>
            <w:tcW w:w="1417" w:type="dxa"/>
            <w:vAlign w:val="center"/>
          </w:tcPr>
          <w:p>
            <w:pPr>
              <w:spacing w:line="360" w:lineRule="exact"/>
              <w:jc w:val="center"/>
              <w:rPr>
                <w:lang w:val="en-US"/>
              </w:rPr>
            </w:pPr>
            <w:r>
              <w:rPr>
                <w:lang w:val="en-US"/>
              </w:rPr>
              <w:t>24690.80</w:t>
            </w:r>
          </w:p>
        </w:tc>
        <w:tc>
          <w:tcPr>
            <w:tcW w:w="2552" w:type="dxa"/>
            <w:vAlign w:val="center"/>
          </w:tcPr>
          <w:p>
            <w:pPr>
              <w:spacing w:line="360" w:lineRule="exact"/>
              <w:jc w:val="center"/>
              <w:rPr>
                <w:lang w:val="en-US"/>
              </w:rPr>
            </w:pPr>
            <w:r>
              <w:rPr>
                <w:lang w:val="en-US"/>
              </w:rPr>
              <w:t>24628.30</w:t>
            </w:r>
          </w:p>
        </w:tc>
        <w:tc>
          <w:tcPr>
            <w:tcW w:w="1134" w:type="dxa"/>
            <w:vAlign w:val="center"/>
          </w:tcPr>
          <w:p>
            <w:pPr>
              <w:spacing w:line="360" w:lineRule="exact"/>
              <w:jc w:val="center"/>
              <w:rPr>
                <w:lang w:val="en-US"/>
              </w:rPr>
            </w:pPr>
            <w:r>
              <w:rPr>
                <w:lang w:val="en-US"/>
              </w:rPr>
              <w:t>99.75</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未命名(2381C)</w:t>
            </w:r>
          </w:p>
        </w:tc>
        <w:tc>
          <w:tcPr>
            <w:tcW w:w="1417" w:type="dxa"/>
            <w:vAlign w:val="center"/>
          </w:tcPr>
          <w:p>
            <w:pPr>
              <w:spacing w:line="360" w:lineRule="exact"/>
              <w:jc w:val="center"/>
              <w:rPr>
                <w:lang w:val="en-US"/>
              </w:rPr>
            </w:pPr>
            <w:r>
              <w:rPr>
                <w:lang w:val="en-US"/>
              </w:rPr>
              <w:t>6773.01</w:t>
            </w:r>
          </w:p>
        </w:tc>
        <w:tc>
          <w:tcPr>
            <w:tcW w:w="2552" w:type="dxa"/>
            <w:vAlign w:val="center"/>
          </w:tcPr>
          <w:p>
            <w:pPr>
              <w:spacing w:line="360" w:lineRule="exact"/>
              <w:jc w:val="center"/>
              <w:rPr>
                <w:lang w:val="en-US"/>
              </w:rPr>
            </w:pPr>
            <w:r>
              <w:rPr>
                <w:lang w:val="en-US"/>
              </w:rPr>
              <w:t>6722.76</w:t>
            </w:r>
          </w:p>
        </w:tc>
        <w:tc>
          <w:tcPr>
            <w:tcW w:w="1134" w:type="dxa"/>
            <w:vAlign w:val="center"/>
          </w:tcPr>
          <w:p>
            <w:pPr>
              <w:spacing w:line="360" w:lineRule="exact"/>
              <w:jc w:val="center"/>
              <w:rPr>
                <w:lang w:val="en-US"/>
              </w:rPr>
            </w:pPr>
            <w:r>
              <w:rPr>
                <w:lang w:val="en-US"/>
              </w:rPr>
              <w:t>99.26</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未命名(2381F)</w:t>
            </w:r>
          </w:p>
        </w:tc>
        <w:tc>
          <w:tcPr>
            <w:tcW w:w="1417" w:type="dxa"/>
            <w:vAlign w:val="center"/>
          </w:tcPr>
          <w:p>
            <w:pPr>
              <w:spacing w:line="360" w:lineRule="exact"/>
              <w:jc w:val="center"/>
              <w:rPr>
                <w:lang w:val="en-US"/>
              </w:rPr>
            </w:pPr>
            <w:r>
              <w:rPr>
                <w:lang w:val="en-US"/>
              </w:rPr>
              <w:t>12722.80</w:t>
            </w:r>
          </w:p>
        </w:tc>
        <w:tc>
          <w:tcPr>
            <w:tcW w:w="2552" w:type="dxa"/>
            <w:vAlign w:val="center"/>
          </w:tcPr>
          <w:p>
            <w:pPr>
              <w:spacing w:line="360" w:lineRule="exact"/>
              <w:jc w:val="center"/>
              <w:rPr>
                <w:lang w:val="en-US"/>
              </w:rPr>
            </w:pPr>
            <w:r>
              <w:rPr>
                <w:lang w:val="en-US"/>
              </w:rPr>
              <w:t>12016.90</w:t>
            </w:r>
          </w:p>
        </w:tc>
        <w:tc>
          <w:tcPr>
            <w:tcW w:w="1134" w:type="dxa"/>
            <w:vAlign w:val="center"/>
          </w:tcPr>
          <w:p>
            <w:pPr>
              <w:spacing w:line="360" w:lineRule="exact"/>
              <w:jc w:val="center"/>
              <w:rPr>
                <w:lang w:val="en-US"/>
              </w:rPr>
            </w:pPr>
            <w:r>
              <w:rPr>
                <w:lang w:val="en-US"/>
              </w:rPr>
              <w:t>94.45</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未命名(2382B)</w:t>
            </w:r>
          </w:p>
        </w:tc>
        <w:tc>
          <w:tcPr>
            <w:tcW w:w="1417" w:type="dxa"/>
            <w:vAlign w:val="center"/>
          </w:tcPr>
          <w:p>
            <w:pPr>
              <w:spacing w:line="360" w:lineRule="exact"/>
              <w:jc w:val="center"/>
              <w:rPr>
                <w:lang w:val="en-US"/>
              </w:rPr>
            </w:pPr>
            <w:r>
              <w:rPr>
                <w:lang w:val="en-US"/>
              </w:rPr>
              <w:t>57.47</w:t>
            </w:r>
          </w:p>
        </w:tc>
        <w:tc>
          <w:tcPr>
            <w:tcW w:w="2552" w:type="dxa"/>
            <w:vAlign w:val="center"/>
          </w:tcPr>
          <w:p>
            <w:pPr>
              <w:spacing w:line="360" w:lineRule="exact"/>
              <w:jc w:val="center"/>
              <w:rPr>
                <w:lang w:val="en-US"/>
              </w:rPr>
            </w:pPr>
            <w:r>
              <w:rPr>
                <w:lang w:val="en-US"/>
              </w:rPr>
              <w:t>57.47</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未命名(2382E)</w:t>
            </w:r>
          </w:p>
        </w:tc>
        <w:tc>
          <w:tcPr>
            <w:tcW w:w="1417" w:type="dxa"/>
            <w:vAlign w:val="center"/>
          </w:tcPr>
          <w:p>
            <w:pPr>
              <w:spacing w:line="360" w:lineRule="exact"/>
              <w:jc w:val="center"/>
              <w:rPr>
                <w:lang w:val="en-US"/>
              </w:rPr>
            </w:pPr>
            <w:r>
              <w:rPr>
                <w:lang w:val="en-US"/>
              </w:rPr>
              <w:t>2702.02</w:t>
            </w:r>
          </w:p>
        </w:tc>
        <w:tc>
          <w:tcPr>
            <w:tcW w:w="2552" w:type="dxa"/>
            <w:vAlign w:val="center"/>
          </w:tcPr>
          <w:p>
            <w:pPr>
              <w:spacing w:line="360" w:lineRule="exact"/>
              <w:jc w:val="center"/>
              <w:rPr>
                <w:lang w:val="en-US"/>
              </w:rPr>
            </w:pPr>
            <w:r>
              <w:rPr>
                <w:lang w:val="en-US"/>
              </w:rPr>
              <w:t>2612.34</w:t>
            </w:r>
          </w:p>
        </w:tc>
        <w:tc>
          <w:tcPr>
            <w:tcW w:w="1134" w:type="dxa"/>
            <w:vAlign w:val="center"/>
          </w:tcPr>
          <w:p>
            <w:pPr>
              <w:spacing w:line="360" w:lineRule="exact"/>
              <w:jc w:val="center"/>
              <w:rPr>
                <w:lang w:val="en-US"/>
              </w:rPr>
            </w:pPr>
            <w:r>
              <w:rPr>
                <w:lang w:val="en-US"/>
              </w:rPr>
              <w:t>96.68</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未命名(23831)</w:t>
            </w:r>
          </w:p>
        </w:tc>
        <w:tc>
          <w:tcPr>
            <w:tcW w:w="1417" w:type="dxa"/>
            <w:vAlign w:val="center"/>
          </w:tcPr>
          <w:p>
            <w:pPr>
              <w:spacing w:line="360" w:lineRule="exact"/>
              <w:jc w:val="center"/>
              <w:rPr>
                <w:lang w:val="en-US"/>
              </w:rPr>
            </w:pPr>
            <w:r>
              <w:rPr>
                <w:lang w:val="en-US"/>
              </w:rPr>
              <w:t>3198.31</w:t>
            </w:r>
          </w:p>
        </w:tc>
        <w:tc>
          <w:tcPr>
            <w:tcW w:w="2552" w:type="dxa"/>
            <w:vAlign w:val="center"/>
          </w:tcPr>
          <w:p>
            <w:pPr>
              <w:spacing w:line="360" w:lineRule="exact"/>
              <w:jc w:val="center"/>
              <w:rPr>
                <w:lang w:val="en-US"/>
              </w:rPr>
            </w:pPr>
            <w:r>
              <w:rPr>
                <w:lang w:val="en-US"/>
              </w:rPr>
              <w:t>3145.43</w:t>
            </w:r>
          </w:p>
        </w:tc>
        <w:tc>
          <w:tcPr>
            <w:tcW w:w="1134" w:type="dxa"/>
            <w:vAlign w:val="center"/>
          </w:tcPr>
          <w:p>
            <w:pPr>
              <w:spacing w:line="360" w:lineRule="exact"/>
              <w:jc w:val="center"/>
              <w:rPr>
                <w:lang w:val="en-US"/>
              </w:rPr>
            </w:pPr>
            <w:r>
              <w:rPr>
                <w:lang w:val="en-US"/>
              </w:rPr>
              <w:t>98.35</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未命名(23FD6)</w:t>
            </w:r>
          </w:p>
        </w:tc>
        <w:tc>
          <w:tcPr>
            <w:tcW w:w="1417" w:type="dxa"/>
            <w:vAlign w:val="center"/>
          </w:tcPr>
          <w:p>
            <w:pPr>
              <w:spacing w:line="360" w:lineRule="exact"/>
              <w:jc w:val="center"/>
              <w:rPr>
                <w:lang w:val="en-US"/>
              </w:rPr>
            </w:pPr>
            <w:r>
              <w:rPr>
                <w:lang w:val="en-US"/>
              </w:rPr>
              <w:t>25986.20</w:t>
            </w:r>
          </w:p>
        </w:tc>
        <w:tc>
          <w:tcPr>
            <w:tcW w:w="2552" w:type="dxa"/>
            <w:vAlign w:val="center"/>
          </w:tcPr>
          <w:p>
            <w:pPr>
              <w:spacing w:line="360" w:lineRule="exact"/>
              <w:jc w:val="center"/>
              <w:rPr>
                <w:lang w:val="en-US"/>
              </w:rPr>
            </w:pPr>
            <w:r>
              <w:rPr>
                <w:lang w:val="en-US"/>
              </w:rPr>
              <w:t>25501.80</w:t>
            </w:r>
          </w:p>
        </w:tc>
        <w:tc>
          <w:tcPr>
            <w:tcW w:w="1134" w:type="dxa"/>
            <w:vAlign w:val="center"/>
          </w:tcPr>
          <w:p>
            <w:pPr>
              <w:spacing w:line="360" w:lineRule="exact"/>
              <w:jc w:val="center"/>
              <w:rPr>
                <w:lang w:val="en-US"/>
              </w:rPr>
            </w:pPr>
            <w:r>
              <w:rPr>
                <w:lang w:val="en-US"/>
              </w:rPr>
              <w:t>98.14</w:t>
            </w:r>
          </w:p>
        </w:tc>
        <w:tc>
          <w:tcPr>
            <w:tcW w:w="835" w:type="dxa"/>
            <w:vAlign w:val="center"/>
          </w:tcPr>
          <w:p>
            <w:pPr>
              <w:spacing w:line="360" w:lineRule="exact"/>
              <w:jc w:val="center"/>
              <w:rPr>
                <w:lang w:val="en-US"/>
              </w:rPr>
            </w:pPr>
            <w:r>
              <w:rPr>
                <w:lang w:val="en-US"/>
              </w:rPr>
              <w:t>是</w:t>
            </w:r>
          </w:p>
        </w:tc>
      </w:tr>
    </w:tbl>
    <w:p>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bookmarkStart w:id="101" w:name="建筑室内外风压差达标判定"/>
      <w:r>
        <w:rPr>
          <w:rFonts w:hint="eastAsia"/>
        </w:rPr>
        <w:t xml:space="preserve"> </w:t>
      </w:r>
      <w:bookmarkEnd w:id="101"/>
    </w:p>
    <w:p>
      <w:pPr>
        <w:rPr>
          <w:lang w:val="en-US"/>
        </w:rPr>
      </w:pPr>
      <w:bookmarkStart w:id="102" w:name="建筑室内外风压差达标判定结论"/>
      <w:r>
        <w:rPr>
          <w:rFonts w:hint="eastAsia"/>
          <w:lang w:val="en-US"/>
        </w:rPr>
        <w:t>结论：本项目中所有建筑均满足“50%以上可开启外窗室内外表面的风压差大于0.5Pa”的要求。</w:t>
      </w:r>
      <w:bookmarkEnd w:id="102"/>
      <w:r>
        <w:rPr>
          <w:rFonts w:hint="eastAsia"/>
          <w:lang w:val="en-US"/>
        </w:rPr>
        <w:t xml:space="preserve"> </w:t>
      </w:r>
    </w:p>
    <w:p>
      <w:pPr>
        <w:rPr>
          <w:lang w:val="en-US"/>
        </w:rPr>
      </w:pPr>
      <w:bookmarkStart w:id="103" w:name="其他工况"/>
      <w:bookmarkEnd w:id="103"/>
      <w:r>
        <w:rPr>
          <w:rFonts w:hint="eastAsia"/>
          <w:lang w:val="en-US"/>
        </w:rPr>
        <w:t xml:space="preserve"> </w:t>
      </w:r>
    </w:p>
    <w:p>
      <w:pPr>
        <w:pStyle w:val="4"/>
      </w:pPr>
      <w:bookmarkStart w:id="104" w:name="_Toc509844764"/>
      <w:bookmarkStart w:id="105" w:name="_Toc60181655"/>
      <w:r>
        <w:rPr>
          <w:rFonts w:hint="eastAsia"/>
        </w:rPr>
        <w:t>结论</w:t>
      </w:r>
      <w:bookmarkEnd w:id="104"/>
      <w:bookmarkEnd w:id="105"/>
    </w:p>
    <w:p>
      <w:pPr>
        <w:pStyle w:val="5"/>
      </w:pPr>
      <w:bookmarkStart w:id="106" w:name="_Toc509844767"/>
      <w:bookmarkEnd w:id="106"/>
      <w:bookmarkStart w:id="107" w:name="_Toc509844768"/>
      <w:bookmarkEnd w:id="107"/>
      <w:bookmarkStart w:id="108" w:name="_Toc509844769"/>
      <w:bookmarkStart w:id="109" w:name="_Toc60181656"/>
      <w:r>
        <w:rPr>
          <w:rFonts w:hint="eastAsia"/>
        </w:rPr>
        <w:t>过渡季、夏季工况达标判断</w:t>
      </w:r>
      <w:bookmarkEnd w:id="108"/>
      <w:bookmarkEnd w:id="109"/>
      <w:bookmarkStart w:id="113" w:name="_GoBack"/>
      <w:bookmarkEnd w:id="113"/>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，得3分</w:t>
            </w:r>
            <w:r>
              <w:rPr>
                <w:lang w:val="en-US"/>
              </w:rPr>
              <w:t xml:space="preserve"> </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r>
              <w:rPr>
                <w:rFonts w:hint="eastAsia"/>
                <w:lang w:val="en-US" w:eastAsia="zh-CN"/>
              </w:rPr>
              <w:t>无</w:t>
            </w:r>
            <w:r>
              <w:rPr>
                <w:rFonts w:hint="eastAsia"/>
                <w:lang w:val="en-US"/>
              </w:rPr>
              <w:t>无风区</w:t>
            </w:r>
          </w:p>
        </w:tc>
        <w:tc>
          <w:tcPr>
            <w:tcW w:w="1985" w:type="dxa"/>
            <w:vMerge w:val="restart"/>
            <w:tcBorders>
              <w:top w:val="single" w:color="auto" w:sz="4" w:space="0"/>
            </w:tcBorders>
            <w:shd w:val="clear" w:color="auto" w:fill="auto"/>
            <w:vAlign w:val="center"/>
          </w:tcPr>
          <w:p>
            <w:pPr>
              <w:jc w:val="center"/>
              <w:rPr>
                <w:lang w:val="en-US"/>
              </w:rPr>
            </w:pPr>
            <w:r>
              <w:rPr>
                <w:rFonts w:hint="eastAsia"/>
                <w:b/>
                <w:color w:val="000000" w:themeColor="text1"/>
                <w:lang w:val="en-US"/>
                <w14:textFill>
                  <w14:solidFill>
                    <w14:schemeClr w14:val="tx1"/>
                  </w14:solidFill>
                </w14:textFill>
              </w:rPr>
              <w:t>达标</w:t>
            </w:r>
          </w:p>
        </w:tc>
        <w:tc>
          <w:tcPr>
            <w:tcW w:w="1416" w:type="dxa"/>
            <w:vMerge w:val="restart"/>
            <w:tcBorders>
              <w:top w:val="single" w:color="auto" w:sz="4" w:space="0"/>
            </w:tcBorders>
            <w:shd w:val="clear" w:color="auto" w:fill="auto"/>
            <w:vAlign w:val="center"/>
          </w:tcPr>
          <w:p>
            <w:pPr>
              <w:jc w:val="center"/>
              <w:rPr>
                <w:lang w:val="en-US"/>
              </w:rPr>
            </w:pPr>
            <w:r>
              <w:rPr>
                <w:lang w:val="en-US"/>
              </w:rPr>
              <w:t>3</w:t>
            </w:r>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人行区无旋涡区</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，得2分。</w:t>
            </w:r>
          </w:p>
        </w:tc>
        <w:tc>
          <w:tcPr>
            <w:tcW w:w="1985" w:type="dxa"/>
            <w:shd w:val="clear" w:color="auto" w:fill="auto"/>
            <w:vAlign w:val="center"/>
          </w:tcPr>
          <w:p>
            <w:pPr>
              <w:jc w:val="center"/>
              <w:rPr>
                <w:lang w:val="en-US"/>
              </w:rPr>
            </w:pPr>
            <w:r>
              <w:rPr>
                <w:rFonts w:hint="eastAsia"/>
                <w:b/>
                <w:lang w:val="en-US"/>
              </w:rPr>
              <w:t>可开启外窗室内外表面的风压差</w:t>
            </w:r>
            <w:bookmarkStart w:id="110" w:name="夏季窗内外风压差结果"/>
            <w:r>
              <w:rPr>
                <w:rFonts w:hint="eastAsia"/>
                <w:lang w:val="en-US"/>
              </w:rPr>
              <w:t>满足</w:t>
            </w:r>
            <w:bookmarkEnd w:id="110"/>
            <w:r>
              <w:rPr>
                <w:rFonts w:hint="eastAsia"/>
                <w:lang w:val="en-US"/>
              </w:rPr>
              <w:t>标准要求</w:t>
            </w:r>
          </w:p>
        </w:tc>
        <w:tc>
          <w:tcPr>
            <w:tcW w:w="1985" w:type="dxa"/>
            <w:shd w:val="clear" w:color="auto" w:fill="auto"/>
            <w:vAlign w:val="center"/>
          </w:tcPr>
          <w:p>
            <w:pPr>
              <w:jc w:val="center"/>
              <w:rPr>
                <w:b/>
                <w:lang w:val="en-US"/>
              </w:rPr>
            </w:pPr>
            <w:bookmarkStart w:id="111" w:name="夏季窗内外风压差达标判定"/>
            <w:r>
              <w:rPr>
                <w:rFonts w:hint="eastAsia"/>
                <w:b/>
                <w:lang w:val="en-US"/>
              </w:rPr>
              <w:t>达标</w:t>
            </w:r>
            <w:bookmarkEnd w:id="111"/>
          </w:p>
        </w:tc>
        <w:tc>
          <w:tcPr>
            <w:tcW w:w="1416" w:type="dxa"/>
            <w:shd w:val="clear" w:color="auto" w:fill="auto"/>
            <w:vAlign w:val="center"/>
          </w:tcPr>
          <w:p>
            <w:pPr>
              <w:jc w:val="center"/>
              <w:rPr>
                <w:lang w:val="en-US"/>
              </w:rPr>
            </w:pPr>
            <w:bookmarkStart w:id="112" w:name="夏季窗内外风压差得分"/>
            <w:r>
              <w:rPr>
                <w:rFonts w:hint="eastAsia"/>
                <w:lang w:val="en-US"/>
              </w:rPr>
              <w:t>2</w:t>
            </w:r>
            <w:bookmarkEnd w:id="112"/>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r>
        <w:rPr>
          <w:lang w:val="en-US"/>
        </w:rPr>
        <w:t>5</w:t>
      </w:r>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6</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8F"/>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7568F"/>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50EF"/>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D6714"/>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C7756"/>
    <w:rsid w:val="00FE4CC4"/>
    <w:rsid w:val="00FE79B9"/>
    <w:rsid w:val="00FF2243"/>
    <w:rsid w:val="51846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4" Type="http://schemas.openxmlformats.org/officeDocument/2006/relationships/fontTable" Target="fontTable.xml"/><Relationship Id="rId73" Type="http://schemas.openxmlformats.org/officeDocument/2006/relationships/customXml" Target="../customXml/item2.xml"/><Relationship Id="rId72" Type="http://schemas.openxmlformats.org/officeDocument/2006/relationships/numbering" Target="numbering.xml"/><Relationship Id="rId71" Type="http://schemas.openxmlformats.org/officeDocument/2006/relationships/customXml" Target="../customXml/item1.xml"/><Relationship Id="rId70" Type="http://schemas.openxmlformats.org/officeDocument/2006/relationships/image" Target="media/image58.png"/><Relationship Id="rId7" Type="http://schemas.openxmlformats.org/officeDocument/2006/relationships/image" Target="media/image2.png"/><Relationship Id="rId69" Type="http://schemas.openxmlformats.org/officeDocument/2006/relationships/image" Target="media/image57.png"/><Relationship Id="rId68" Type="http://schemas.openxmlformats.org/officeDocument/2006/relationships/image" Target="media/image56.png"/><Relationship Id="rId67" Type="http://schemas.openxmlformats.org/officeDocument/2006/relationships/image" Target="media/image55.png"/><Relationship Id="rId66" Type="http://schemas.openxmlformats.org/officeDocument/2006/relationships/image" Target="media/image54.png"/><Relationship Id="rId65" Type="http://schemas.openxmlformats.org/officeDocument/2006/relationships/image" Target="media/image53.wmf"/><Relationship Id="rId64" Type="http://schemas.openxmlformats.org/officeDocument/2006/relationships/oleObject" Target="embeddings/oleObject7.bin"/><Relationship Id="rId63" Type="http://schemas.openxmlformats.org/officeDocument/2006/relationships/image" Target="media/image52.wmf"/><Relationship Id="rId62" Type="http://schemas.openxmlformats.org/officeDocument/2006/relationships/oleObject" Target="embeddings/oleObject6.bin"/><Relationship Id="rId61" Type="http://schemas.openxmlformats.org/officeDocument/2006/relationships/image" Target="media/image51.wmf"/><Relationship Id="rId60" Type="http://schemas.openxmlformats.org/officeDocument/2006/relationships/oleObject" Target="embeddings/oleObject5.bin"/><Relationship Id="rId6" Type="http://schemas.openxmlformats.org/officeDocument/2006/relationships/theme" Target="theme/theme1.xml"/><Relationship Id="rId59" Type="http://schemas.openxmlformats.org/officeDocument/2006/relationships/image" Target="media/image50.wmf"/><Relationship Id="rId58" Type="http://schemas.openxmlformats.org/officeDocument/2006/relationships/oleObject" Target="embeddings/oleObject4.bin"/><Relationship Id="rId57" Type="http://schemas.openxmlformats.org/officeDocument/2006/relationships/image" Target="media/image49.wmf"/><Relationship Id="rId56" Type="http://schemas.openxmlformats.org/officeDocument/2006/relationships/image" Target="media/image48.wmf"/><Relationship Id="rId55" Type="http://schemas.openxmlformats.org/officeDocument/2006/relationships/image" Target="media/image47.wmf"/><Relationship Id="rId54" Type="http://schemas.openxmlformats.org/officeDocument/2006/relationships/image" Target="media/image46.wmf"/><Relationship Id="rId53" Type="http://schemas.openxmlformats.org/officeDocument/2006/relationships/image" Target="media/image45.wmf"/><Relationship Id="rId52" Type="http://schemas.openxmlformats.org/officeDocument/2006/relationships/image" Target="media/image44.wmf"/><Relationship Id="rId51" Type="http://schemas.openxmlformats.org/officeDocument/2006/relationships/image" Target="media/image43.wmf"/><Relationship Id="rId50" Type="http://schemas.openxmlformats.org/officeDocument/2006/relationships/image" Target="media/image42.wmf"/><Relationship Id="rId5" Type="http://schemas.openxmlformats.org/officeDocument/2006/relationships/footer" Target="footer2.xml"/><Relationship Id="rId49" Type="http://schemas.openxmlformats.org/officeDocument/2006/relationships/image" Target="media/image41.wmf"/><Relationship Id="rId48" Type="http://schemas.openxmlformats.org/officeDocument/2006/relationships/image" Target="media/image40.wmf"/><Relationship Id="rId47" Type="http://schemas.openxmlformats.org/officeDocument/2006/relationships/image" Target="media/image39.wmf"/><Relationship Id="rId46" Type="http://schemas.openxmlformats.org/officeDocument/2006/relationships/image" Target="media/image38.wmf"/><Relationship Id="rId45" Type="http://schemas.openxmlformats.org/officeDocument/2006/relationships/image" Target="media/image37.wmf"/><Relationship Id="rId44" Type="http://schemas.openxmlformats.org/officeDocument/2006/relationships/image" Target="media/image36.wmf"/><Relationship Id="rId43" Type="http://schemas.openxmlformats.org/officeDocument/2006/relationships/image" Target="media/image35.wmf"/><Relationship Id="rId42" Type="http://schemas.openxmlformats.org/officeDocument/2006/relationships/image" Target="media/image34.wmf"/><Relationship Id="rId41" Type="http://schemas.openxmlformats.org/officeDocument/2006/relationships/image" Target="media/image33.wmf"/><Relationship Id="rId40" Type="http://schemas.openxmlformats.org/officeDocument/2006/relationships/image" Target="media/image32.wmf"/><Relationship Id="rId4" Type="http://schemas.openxmlformats.org/officeDocument/2006/relationships/footer" Target="footer1.xml"/><Relationship Id="rId39" Type="http://schemas.openxmlformats.org/officeDocument/2006/relationships/image" Target="media/image31.wmf"/><Relationship Id="rId38" Type="http://schemas.openxmlformats.org/officeDocument/2006/relationships/image" Target="media/image30.wmf"/><Relationship Id="rId37" Type="http://schemas.openxmlformats.org/officeDocument/2006/relationships/image" Target="media/image29.wmf"/><Relationship Id="rId36" Type="http://schemas.openxmlformats.org/officeDocument/2006/relationships/image" Target="media/image28.wmf"/><Relationship Id="rId35" Type="http://schemas.openxmlformats.org/officeDocument/2006/relationships/image" Target="media/image27.wmf"/><Relationship Id="rId34" Type="http://schemas.openxmlformats.org/officeDocument/2006/relationships/image" Target="media/image26.wmf"/><Relationship Id="rId33" Type="http://schemas.openxmlformats.org/officeDocument/2006/relationships/image" Target="media/image25.wmf"/><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wmf"/><Relationship Id="rId3" Type="http://schemas.openxmlformats.org/officeDocument/2006/relationships/header" Target="header1.xml"/><Relationship Id="rId29" Type="http://schemas.openxmlformats.org/officeDocument/2006/relationships/image" Target="media/image21.wmf"/><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image" Target="media/image10.png"/><Relationship Id="rId17" Type="http://schemas.openxmlformats.org/officeDocument/2006/relationships/image" Target="media/image9.wmf"/><Relationship Id="rId16" Type="http://schemas.openxmlformats.org/officeDocument/2006/relationships/oleObject" Target="embeddings/oleObject3.bin"/><Relationship Id="rId15" Type="http://schemas.openxmlformats.org/officeDocument/2006/relationships/image" Target="media/image8.wmf"/><Relationship Id="rId14" Type="http://schemas.openxmlformats.org/officeDocument/2006/relationships/oleObject" Target="embeddings/oleObject2.bin"/><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HEN~1\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C39522-0FC9-4A71-8AF7-D033B6892A3D}">
  <ds:schemaRefs/>
</ds:datastoreItem>
</file>

<file path=docProps/app.xml><?xml version="1.0" encoding="utf-8"?>
<Properties xmlns="http://schemas.openxmlformats.org/officeDocument/2006/extended-properties" xmlns:vt="http://schemas.openxmlformats.org/officeDocument/2006/docPropsVTypes">
  <Template>tmp15</Template>
  <Company>ths</Company>
  <Pages>16</Pages>
  <Words>4425</Words>
  <Characters>4178</Characters>
  <Lines>34</Lines>
  <Paragraphs>17</Paragraphs>
  <TotalTime>2</TotalTime>
  <ScaleCrop>false</ScaleCrop>
  <LinksUpToDate>false</LinksUpToDate>
  <CharactersWithSpaces>8586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2020-12-29T16:46:00Z</dcterms:created>
  <dc:creator>MACHENIKE</dc:creator>
  <cp:lastModifiedBy>狗</cp:lastModifiedBy>
  <cp:lastPrinted>2411-12-31T16:00:00Z</cp:lastPrinted>
  <dcterms:modified xsi:type="dcterms:W3CDTF">2020-12-30T15:49:26Z</dcterms:modified>
  <dc:title>室外风环境模拟分析报告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