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浙江-宁波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2020年12月29日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20190909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T17815914366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Style w:val="21"/>
        </w:rPr>
        <w:fldChar w:fldCharType="begin"/>
      </w:r>
      <w:r>
        <w:rPr>
          <w:rStyle w:val="21"/>
        </w:rPr>
        <w:instrText xml:space="preserve"> </w:instrText>
      </w:r>
      <w:r>
        <w:instrText xml:space="preserve">HYPERLINK \l "_Toc316568035"</w:instrText>
      </w:r>
      <w:r>
        <w:rPr>
          <w:rStyle w:val="21"/>
        </w:rPr>
        <w:instrText xml:space="preserve"> </w:instrText>
      </w:r>
      <w:r>
        <w:rPr>
          <w:rStyle w:val="21"/>
        </w:rPr>
        <w:fldChar w:fldCharType="separate"/>
      </w:r>
      <w:r>
        <w:rPr>
          <w:rStyle w:val="21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1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1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1"/>
          <w:lang w:val="en-GB"/>
        </w:rPr>
        <w:t>3.1</w:t>
      </w:r>
      <w:r>
        <w:tab/>
      </w:r>
      <w:r>
        <w:rPr>
          <w:rStyle w:val="21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1"/>
          <w:lang w:val="en-GB"/>
        </w:rPr>
        <w:t>3.2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1"/>
          <w:lang w:val="en-GB"/>
        </w:rPr>
        <w:t>3.3</w:t>
      </w:r>
      <w: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1"/>
          <w:lang w:val="en-GB"/>
        </w:rPr>
        <w:t>3.3.1</w:t>
      </w:r>
      <w: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1"/>
          <w:lang w:val="en-GB"/>
        </w:rPr>
        <w:t>3.3.2</w:t>
      </w:r>
      <w:r>
        <w:tab/>
      </w:r>
      <w:r>
        <w:rPr>
          <w:rStyle w:val="21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1"/>
          <w:lang w:val="en-GB"/>
        </w:rPr>
        <w:t>3.3.3</w:t>
      </w:r>
      <w:r>
        <w:tab/>
      </w:r>
      <w:r>
        <w:rPr>
          <w:rStyle w:val="21"/>
          <w:rFonts w:hint="eastAsia"/>
        </w:rPr>
        <w:t>屋顶构造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1"/>
          <w:lang w:val="en-GB"/>
        </w:rPr>
        <w:t>3.3.4</w:t>
      </w:r>
      <w:r>
        <w:tab/>
      </w:r>
      <w:r>
        <w:rPr>
          <w:rStyle w:val="21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1"/>
          <w:lang w:val="en-GB"/>
        </w:rPr>
        <w:t>3.4</w:t>
      </w:r>
      <w: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1"/>
          <w:lang w:val="en-GB"/>
        </w:rPr>
        <w:t>3.4.1</w:t>
      </w:r>
      <w:r>
        <w:tab/>
      </w:r>
      <w:r>
        <w:rPr>
          <w:rStyle w:val="21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1"/>
          <w:lang w:val="en-GB"/>
        </w:rPr>
        <w:t>3.4.2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1"/>
          <w:lang w:val="en-GB"/>
        </w:rPr>
        <w:t>3.5</w:t>
      </w:r>
      <w:r>
        <w:tab/>
      </w:r>
      <w:r>
        <w:rPr>
          <w:rStyle w:val="21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1"/>
          <w:lang w:val="en-GB"/>
        </w:rPr>
        <w:t>3.5.1</w:t>
      </w:r>
      <w:r>
        <w:tab/>
      </w:r>
      <w:r>
        <w:rPr>
          <w:rStyle w:val="21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1"/>
          <w:lang w:val="en-GB"/>
        </w:rPr>
        <w:t>3.5.2</w:t>
      </w:r>
      <w:r>
        <w:tab/>
      </w:r>
      <w:r>
        <w:rPr>
          <w:rStyle w:val="21"/>
          <w:rFonts w:hint="eastAsia"/>
        </w:rPr>
        <w:t>挑空楼板构造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1"/>
          <w:lang w:val="en-GB"/>
        </w:rPr>
        <w:t>3.5.3</w:t>
      </w:r>
      <w:r>
        <w:tab/>
      </w:r>
      <w:r>
        <w:rPr>
          <w:rStyle w:val="21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1"/>
          <w:lang w:val="en-GB"/>
        </w:rPr>
        <w:t>3.6</w:t>
      </w:r>
      <w:r>
        <w:tab/>
      </w:r>
      <w:r>
        <w:rPr>
          <w:rStyle w:val="21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1"/>
          <w:lang w:val="en-GB"/>
        </w:rPr>
        <w:t>3.6.1</w:t>
      </w:r>
      <w:r>
        <w:tab/>
      </w:r>
      <w:r>
        <w:rPr>
          <w:rStyle w:val="21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1"/>
          <w:lang w:val="en-GB"/>
        </w:rPr>
        <w:t>3.6.2</w:t>
      </w:r>
      <w:r>
        <w:tab/>
      </w:r>
      <w:r>
        <w:rPr>
          <w:rStyle w:val="21"/>
          <w:rFonts w:hint="eastAsia"/>
        </w:rPr>
        <w:t>顶板构造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1"/>
          <w:lang w:val="en-GB"/>
        </w:rPr>
        <w:t>3.6.3</w:t>
      </w:r>
      <w:r>
        <w:tab/>
      </w:r>
      <w:r>
        <w:rPr>
          <w:rStyle w:val="21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1"/>
          <w:lang w:val="en-GB"/>
        </w:rPr>
        <w:t>3.7</w:t>
      </w:r>
      <w:r>
        <w:tab/>
      </w:r>
      <w:r>
        <w:rPr>
          <w:rStyle w:val="21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1"/>
          <w:lang w:val="en-GB"/>
        </w:rPr>
        <w:t>3.7.1</w:t>
      </w:r>
      <w:r>
        <w:tab/>
      </w:r>
      <w:r>
        <w:rPr>
          <w:rStyle w:val="21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1"/>
          <w:lang w:val="en-GB"/>
        </w:rPr>
        <w:t>3.7.2</w:t>
      </w:r>
      <w:r>
        <w:tab/>
      </w:r>
      <w:r>
        <w:rPr>
          <w:rStyle w:val="21"/>
          <w:rFonts w:hint="eastAsia"/>
        </w:rPr>
        <w:t>隔墙构造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1"/>
          <w:lang w:val="en-GB"/>
        </w:rPr>
        <w:t>3.7.3</w:t>
      </w:r>
      <w:r>
        <w:tab/>
      </w:r>
      <w:r>
        <w:rPr>
          <w:rStyle w:val="21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1"/>
          <w:lang w:val="en-GB"/>
        </w:rPr>
        <w:t>3.8</w:t>
      </w:r>
      <w:r>
        <w:tab/>
      </w:r>
      <w:r>
        <w:rPr>
          <w:rStyle w:val="21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1"/>
          <w:lang w:val="en-GB"/>
        </w:rPr>
        <w:t>3.9</w:t>
      </w:r>
      <w:r>
        <w:tab/>
      </w:r>
      <w:r>
        <w:rPr>
          <w:rStyle w:val="21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1"/>
          <w:lang w:val="en-GB"/>
        </w:rPr>
        <w:t>3.10</w:t>
      </w:r>
      <w:r>
        <w:tab/>
      </w:r>
      <w:r>
        <w:rPr>
          <w:rStyle w:val="21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1"/>
          <w:lang w:val="en-GB"/>
        </w:rPr>
        <w:t>3.11</w:t>
      </w:r>
      <w:r>
        <w:tab/>
      </w:r>
      <w:r>
        <w:rPr>
          <w:rStyle w:val="21"/>
          <w:rFonts w:hint="eastAsia"/>
        </w:rPr>
        <w:t>凸窗</w:t>
      </w:r>
      <w:r>
        <w:tab/>
      </w:r>
      <w:r>
        <w:fldChar w:fldCharType="begin"/>
      </w:r>
      <w:r>
        <w:instrText xml:space="preserve"> PAGEREF _Toc316568063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1"/>
          <w:lang w:val="en-GB"/>
        </w:rPr>
        <w:t>3.11.1</w:t>
      </w:r>
      <w:r>
        <w:tab/>
      </w:r>
      <w:r>
        <w:rPr>
          <w:rStyle w:val="21"/>
          <w:rFonts w:hint="eastAsia"/>
        </w:rPr>
        <w:t>凸窗顶板构造</w:t>
      </w:r>
      <w:r>
        <w:tab/>
      </w:r>
      <w:r>
        <w:fldChar w:fldCharType="begin"/>
      </w:r>
      <w:r>
        <w:instrText xml:space="preserve"> PAGEREF _Toc316568064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1"/>
          <w:lang w:val="en-GB"/>
        </w:rPr>
        <w:t>3.11.2</w:t>
      </w:r>
      <w:r>
        <w:tab/>
      </w:r>
      <w:r>
        <w:rPr>
          <w:rStyle w:val="21"/>
          <w:rFonts w:hint="eastAsia"/>
        </w:rPr>
        <w:t>凸窗侧板构造</w:t>
      </w:r>
      <w:r>
        <w:tab/>
      </w:r>
      <w:r>
        <w:fldChar w:fldCharType="begin"/>
      </w:r>
      <w:r>
        <w:instrText xml:space="preserve"> PAGEREF _Toc316568065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1"/>
          <w:lang w:val="en-GB"/>
        </w:rPr>
        <w:t>3.11.3</w:t>
      </w:r>
      <w:r>
        <w:tab/>
      </w:r>
      <w:r>
        <w:rPr>
          <w:rStyle w:val="21"/>
          <w:rFonts w:hint="eastAsia"/>
        </w:rPr>
        <w:t>凸窗底板构造</w:t>
      </w:r>
      <w:r>
        <w:tab/>
      </w:r>
      <w:r>
        <w:fldChar w:fldCharType="begin"/>
      </w:r>
      <w:r>
        <w:instrText xml:space="preserve"> PAGEREF _Toc316568066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1"/>
          <w:lang w:val="en-GB"/>
        </w:rPr>
        <w:t>3.11.4</w:t>
      </w:r>
      <w:r>
        <w:tab/>
      </w:r>
      <w:r>
        <w:rPr>
          <w:rStyle w:val="21"/>
          <w:rFonts w:hint="eastAsia"/>
        </w:rPr>
        <w:t>凸窗透明部分</w:t>
      </w:r>
      <w:r>
        <w:tab/>
      </w:r>
      <w:r>
        <w:fldChar w:fldCharType="begin"/>
      </w:r>
      <w:r>
        <w:instrText xml:space="preserve"> PAGEREF _Toc316568067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1"/>
          <w:lang w:val="en-GB"/>
        </w:rPr>
        <w:t>3.12</w:t>
      </w:r>
      <w:r>
        <w:tab/>
      </w:r>
      <w:r>
        <w:rPr>
          <w:rStyle w:val="21"/>
          <w:rFonts w:hint="eastAsia"/>
        </w:rPr>
        <w:t>不采暖封闭阳台相关指标和构造</w:t>
      </w:r>
      <w:r>
        <w:tab/>
      </w:r>
      <w:r>
        <w:fldChar w:fldCharType="begin"/>
      </w:r>
      <w:r>
        <w:instrText xml:space="preserve"> PAGEREF _Toc316568068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1"/>
          <w:lang w:val="en-GB"/>
        </w:rPr>
        <w:t>3.12.1</w:t>
      </w:r>
      <w:r>
        <w:tab/>
      </w:r>
      <w:r>
        <w:rPr>
          <w:rStyle w:val="21"/>
          <w:rFonts w:hint="eastAsia"/>
        </w:rPr>
        <w:t>不采暖封闭阳台与室内的隔墙</w:t>
      </w:r>
      <w:r>
        <w:tab/>
      </w:r>
      <w:r>
        <w:fldChar w:fldCharType="begin"/>
      </w:r>
      <w:r>
        <w:instrText xml:space="preserve"> PAGEREF _Toc316568069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1"/>
          <w:lang w:val="en-GB"/>
        </w:rPr>
        <w:t>3.12.2</w:t>
      </w:r>
      <w:r>
        <w:tab/>
      </w:r>
      <w:r>
        <w:rPr>
          <w:rStyle w:val="21"/>
          <w:rFonts w:hint="eastAsia"/>
        </w:rPr>
        <w:t>不采暖封闭阳台与室内隔墙的门窗</w:t>
      </w:r>
      <w:r>
        <w:tab/>
      </w:r>
      <w:r>
        <w:fldChar w:fldCharType="begin"/>
      </w:r>
      <w:r>
        <w:instrText xml:space="preserve"> PAGEREF _Toc316568070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1"/>
          <w:lang w:val="en-GB"/>
        </w:rPr>
        <w:t>3.12.3</w:t>
      </w:r>
      <w:r>
        <w:tab/>
      </w:r>
      <w:r>
        <w:rPr>
          <w:rStyle w:val="21"/>
          <w:rFonts w:hint="eastAsia"/>
        </w:rPr>
        <w:t>不采暖封闭阳台隔墙窗墙面积比</w:t>
      </w:r>
      <w:r>
        <w:tab/>
      </w:r>
      <w:r>
        <w:fldChar w:fldCharType="begin"/>
      </w:r>
      <w:r>
        <w:instrText xml:space="preserve"> PAGEREF _Toc316568071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1"/>
          <w:lang w:val="en-GB"/>
        </w:rPr>
        <w:t>3.12.4</w:t>
      </w:r>
      <w:r>
        <w:tab/>
      </w:r>
      <w:r>
        <w:rPr>
          <w:rStyle w:val="21"/>
          <w:rFonts w:hint="eastAsia"/>
        </w:rPr>
        <w:t>不采暖封闭阳台外部墙板</w:t>
      </w:r>
      <w:r>
        <w:tab/>
      </w:r>
      <w:r>
        <w:fldChar w:fldCharType="begin"/>
      </w:r>
      <w:r>
        <w:instrText xml:space="preserve"> PAGEREF _Toc316568072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1"/>
          <w:lang w:val="en-GB"/>
        </w:rPr>
        <w:t>3.12.5</w:t>
      </w:r>
      <w:r>
        <w:tab/>
      </w:r>
      <w:r>
        <w:rPr>
          <w:rStyle w:val="21"/>
          <w:rFonts w:hint="eastAsia"/>
        </w:rPr>
        <w:t>不采暖封闭阳台上部顶板</w:t>
      </w:r>
      <w:r>
        <w:tab/>
      </w:r>
      <w:r>
        <w:fldChar w:fldCharType="begin"/>
      </w:r>
      <w:r>
        <w:instrText xml:space="preserve"> PAGEREF _Toc316568073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1"/>
          <w:lang w:val="en-GB"/>
        </w:rPr>
        <w:t>3.12.6</w:t>
      </w:r>
      <w:r>
        <w:tab/>
      </w:r>
      <w:r>
        <w:rPr>
          <w:rStyle w:val="21"/>
          <w:rFonts w:hint="eastAsia"/>
        </w:rPr>
        <w:t>不采暖封闭阳台底板</w:t>
      </w:r>
      <w:r>
        <w:tab/>
      </w:r>
      <w:r>
        <w:fldChar w:fldCharType="begin"/>
      </w:r>
      <w:r>
        <w:instrText xml:space="preserve"> PAGEREF _Toc316568074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1"/>
          <w:lang w:val="en-GB"/>
        </w:rPr>
        <w:t>3.12.7</w:t>
      </w:r>
      <w:r>
        <w:tab/>
      </w:r>
      <w:r>
        <w:rPr>
          <w:rStyle w:val="21"/>
          <w:rFonts w:hint="eastAsia"/>
        </w:rPr>
        <w:t>不采暖封闭阳台地面</w:t>
      </w:r>
      <w:r>
        <w:tab/>
      </w:r>
      <w:r>
        <w:fldChar w:fldCharType="begin"/>
      </w:r>
      <w:r>
        <w:instrText xml:space="preserve"> PAGEREF _Toc316568075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1"/>
          <w:lang w:val="en-GB"/>
        </w:rPr>
        <w:t>3.12.8</w:t>
      </w:r>
      <w:r>
        <w:tab/>
      </w:r>
      <w:r>
        <w:rPr>
          <w:rStyle w:val="21"/>
          <w:rFonts w:hint="eastAsia"/>
        </w:rPr>
        <w:t>不采暖封闭阳台外窗</w:t>
      </w:r>
      <w:r>
        <w:tab/>
      </w:r>
      <w:r>
        <w:fldChar w:fldCharType="begin"/>
      </w:r>
      <w:r>
        <w:instrText xml:space="preserve"> PAGEREF _Toc316568076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1"/>
          <w:lang w:val="en-GB"/>
        </w:rPr>
        <w:t>3.12.9</w:t>
      </w:r>
      <w:r>
        <w:tab/>
      </w:r>
      <w:r>
        <w:rPr>
          <w:rStyle w:val="21"/>
          <w:rFonts w:hint="eastAsia"/>
        </w:rPr>
        <w:t>不采暖封闭阳台外墙开间窗墙面积比</w:t>
      </w:r>
      <w:r>
        <w:tab/>
      </w:r>
      <w:r>
        <w:fldChar w:fldCharType="begin"/>
      </w:r>
      <w:r>
        <w:instrText xml:space="preserve"> PAGEREF _Toc316568077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1"/>
          <w:lang w:val="en-GB"/>
        </w:rPr>
        <w:t>3.13</w:t>
      </w:r>
      <w:r>
        <w:tab/>
      </w:r>
      <w:r>
        <w:rPr>
          <w:rStyle w:val="21"/>
          <w:rFonts w:hint="eastAsia"/>
        </w:rPr>
        <w:t>周边地面</w:t>
      </w:r>
      <w:r>
        <w:tab/>
      </w:r>
      <w:r>
        <w:fldChar w:fldCharType="begin"/>
      </w:r>
      <w:r>
        <w:instrText xml:space="preserve"> PAGEREF _Toc316568078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1"/>
          <w:lang w:val="en-GB"/>
        </w:rPr>
        <w:t>3.13.1</w:t>
      </w:r>
      <w:r>
        <w:tab/>
      </w:r>
      <w:r>
        <w:rPr>
          <w:rStyle w:val="21"/>
          <w:rFonts w:hint="eastAsia"/>
        </w:rPr>
        <w:t>典型周边地面分类</w:t>
      </w:r>
      <w:r>
        <w:tab/>
      </w:r>
      <w:r>
        <w:fldChar w:fldCharType="begin"/>
      </w:r>
      <w:r>
        <w:instrText xml:space="preserve"> PAGEREF _Toc316568079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1"/>
          <w:lang w:val="en-GB"/>
        </w:rPr>
        <w:t>3.13.2</w:t>
      </w:r>
      <w:r>
        <w:tab/>
      </w:r>
      <w:r>
        <w:rPr>
          <w:rStyle w:val="21"/>
          <w:rFonts w:hint="eastAsia"/>
        </w:rPr>
        <w:t>周边地面相关构造</w:t>
      </w:r>
      <w:r>
        <w:tab/>
      </w:r>
      <w:r>
        <w:fldChar w:fldCharType="begin"/>
      </w:r>
      <w:r>
        <w:instrText xml:space="preserve"> PAGEREF _Toc316568080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1"/>
          <w:lang w:val="en-GB"/>
        </w:rPr>
        <w:t>3.13.3</w:t>
      </w:r>
      <w:r>
        <w:tab/>
      </w:r>
      <w:r>
        <w:rPr>
          <w:rStyle w:val="21"/>
          <w:rFonts w:hint="eastAsia"/>
        </w:rPr>
        <w:t>周边地面平均热工性能</w:t>
      </w:r>
      <w:r>
        <w:tab/>
      </w:r>
      <w:r>
        <w:fldChar w:fldCharType="begin"/>
      </w:r>
      <w:r>
        <w:instrText xml:space="preserve"> PAGEREF _Toc316568081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1"/>
          <w:lang w:val="en-GB"/>
        </w:rPr>
        <w:t>3.14</w:t>
      </w:r>
      <w:r>
        <w:tab/>
      </w:r>
      <w:r>
        <w:rPr>
          <w:rStyle w:val="21"/>
          <w:rFonts w:hint="eastAsia"/>
        </w:rPr>
        <w:t>地下室外墙</w:t>
      </w:r>
      <w:r>
        <w:tab/>
      </w:r>
      <w:r>
        <w:fldChar w:fldCharType="begin"/>
      </w:r>
      <w:r>
        <w:instrText xml:space="preserve"> PAGEREF _Toc316568082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1"/>
          <w:lang w:val="en-GB"/>
        </w:rPr>
        <w:t>3.14.1</w:t>
      </w:r>
      <w:r>
        <w:tab/>
      </w:r>
      <w:r>
        <w:rPr>
          <w:rStyle w:val="21"/>
          <w:rFonts w:hint="eastAsia"/>
        </w:rPr>
        <w:t>地下墙相关构造</w:t>
      </w:r>
      <w:r>
        <w:tab/>
      </w:r>
      <w:r>
        <w:fldChar w:fldCharType="begin"/>
      </w:r>
      <w:r>
        <w:instrText xml:space="preserve"> PAGEREF _Toc316568083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1"/>
          <w:lang w:val="en-GB"/>
        </w:rPr>
        <w:t>3.14.2</w:t>
      </w:r>
      <w:r>
        <w:tab/>
      </w:r>
      <w:r>
        <w:rPr>
          <w:rStyle w:val="21"/>
          <w:rFonts w:hint="eastAsia"/>
        </w:rPr>
        <w:t>地下墙平均热工性能</w:t>
      </w:r>
      <w:r>
        <w:tab/>
      </w:r>
      <w:r>
        <w:fldChar w:fldCharType="begin"/>
      </w:r>
      <w:r>
        <w:instrText xml:space="preserve"> PAGEREF _Toc316568084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1"/>
          <w:lang w:val="en-GB"/>
        </w:rPr>
        <w:t>3.15</w:t>
      </w:r>
      <w:r>
        <w:tab/>
      </w:r>
      <w:r>
        <w:rPr>
          <w:rStyle w:val="21"/>
          <w:rFonts w:hint="eastAsia"/>
        </w:rPr>
        <w:t>外窗（包括敞开式阳台外门窗）气密性</w:t>
      </w:r>
      <w:r>
        <w:tab/>
      </w:r>
      <w:r>
        <w:fldChar w:fldCharType="begin"/>
      </w:r>
      <w:r>
        <w:instrText xml:space="preserve"> PAGEREF _Toc316568085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1"/>
          <w:lang w:val="en-GB"/>
        </w:rPr>
        <w:t>3.16</w:t>
      </w:r>
      <w:r>
        <w:tab/>
      </w:r>
      <w:r>
        <w:rPr>
          <w:rStyle w:val="21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_Toc316568086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1"/>
          <w:lang w:val="en-GB"/>
        </w:rPr>
        <w:t>4.1</w:t>
      </w:r>
      <w:r>
        <w:tab/>
      </w:r>
      <w:r>
        <w:rPr>
          <w:rStyle w:val="21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1"/>
          <w:lang w:val="en-GB"/>
        </w:rPr>
        <w:t>4.2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1"/>
          <w:lang w:val="en-GB"/>
        </w:rPr>
        <w:t>4.3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1"/>
          <w:lang w:val="en-GB"/>
        </w:rPr>
        <w:t>4.4</w:t>
      </w:r>
      <w:r>
        <w:tab/>
      </w:r>
      <w:r>
        <w:rPr>
          <w:rStyle w:val="21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1"/>
          <w:lang w:val="en-GB"/>
        </w:rPr>
        <w:t>4.5</w:t>
      </w:r>
      <w:r>
        <w:tab/>
      </w:r>
      <w:r>
        <w:rPr>
          <w:rStyle w:val="21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1"/>
          <w:lang w:val="en-GB"/>
        </w:rPr>
        <w:t>4.5.1</w:t>
      </w:r>
      <w:r>
        <w:tab/>
      </w:r>
      <w:r>
        <w:rPr>
          <w:rStyle w:val="21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1"/>
          <w:lang w:val="en-GB"/>
        </w:rPr>
        <w:t>4.5.2</w:t>
      </w:r>
      <w:r>
        <w:tab/>
      </w:r>
      <w:r>
        <w:rPr>
          <w:rStyle w:val="21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1"/>
          <w:lang w:val="en-GB"/>
        </w:rPr>
        <w:t>4.5.3</w:t>
      </w:r>
      <w:r>
        <w:tab/>
      </w:r>
      <w:r>
        <w:rPr>
          <w:rStyle w:val="21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_Toc316568095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1"/>
          <w:lang w:val="en-GB"/>
        </w:rPr>
        <w:t>4.6</w:t>
      </w:r>
      <w:r>
        <w:tab/>
      </w:r>
      <w:r>
        <w:rPr>
          <w:rStyle w:val="21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1"/>
          <w:lang w:val="en-GB"/>
        </w:rPr>
        <w:t>4.7</w:t>
      </w:r>
      <w:r>
        <w:tab/>
      </w:r>
      <w:r>
        <w:rPr>
          <w:rStyle w:val="21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附表</w:t>
      </w:r>
      <w:r>
        <w:rPr>
          <w:rStyle w:val="21"/>
        </w:rPr>
        <w:t xml:space="preserve"> </w:t>
      </w:r>
      <w:r>
        <w:rPr>
          <w:rStyle w:val="21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  <w:bookmarkEnd w:id="13"/>
      <w:r>
        <w:fldChar w:fldCharType="end"/>
      </w:r>
    </w:p>
    <w:p>
      <w:pPr>
        <w:pStyle w:val="16"/>
      </w:pPr>
    </w:p>
    <w:p>
      <w:pPr>
        <w:pStyle w:val="2"/>
      </w:pPr>
      <w:bookmarkStart w:id="14" w:name="_Toc316568035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浙江-宁波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29.78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121.55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18890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36.2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73672.93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12760.52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0.38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0.50</w:t>
            </w:r>
            <w:bookmarkEnd w:id="30"/>
          </w:p>
        </w:tc>
      </w:tr>
      <w:bookmarkEnd w:id="15"/>
    </w:tbl>
    <w:p>
      <w:pPr>
        <w:pStyle w:val="2"/>
      </w:pPr>
      <w:bookmarkStart w:id="31" w:name="_Toc316568036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建筑大样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52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339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1~9层平面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244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10层平面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规定性指标检查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陶粒混凝土砌块</w:t>
            </w:r>
          </w:p>
        </w:tc>
        <w:tc>
          <w:tcPr>
            <w:vAlign w:val="center"/>
          </w:tcPr>
          <w:p>
            <w:r>
              <w:t>0.410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581.2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围护结构作法简要说明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轻质混合种植土 300mm</w:t>
      </w:r>
      <w:r>
        <w:rPr>
          <w:color w:val="000000"/>
          <w:kern w:val="2"/>
          <w:szCs w:val="24"/>
          <w:lang w:val="en-US"/>
        </w:rPr>
        <w:t>＋陶粒排（蓄）水层 100mm＋细石混凝土（双向配筋） 40mm＋</w:t>
      </w:r>
      <w:r>
        <w:rPr>
          <w:color w:val="800000"/>
          <w:kern w:val="2"/>
          <w:szCs w:val="24"/>
          <w:lang w:val="en-US"/>
        </w:rPr>
        <w:t>挤塑聚苯板 35mm</w:t>
      </w:r>
      <w:r>
        <w:rPr>
          <w:color w:val="000000"/>
          <w:kern w:val="2"/>
          <w:szCs w:val="24"/>
          <w:lang w:val="en-US"/>
        </w:rPr>
        <w:t>＋防水层 2mm＋水泥砂浆 20mm＋现浇混凝土屋面板 120mm＋混合砂浆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抗裂砂浆（玻纤网） 5mm＋</w:t>
      </w:r>
      <w:r>
        <w:rPr>
          <w:color w:val="800000"/>
          <w:kern w:val="2"/>
          <w:szCs w:val="24"/>
          <w:lang w:val="en-US"/>
        </w:rPr>
        <w:t>挤塑聚苯板 30mm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陶粒混凝土砌块 240mm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外窗构造：</w:t>
      </w:r>
      <w:r>
        <w:rPr>
          <w:color w:val="0000FF"/>
          <w:kern w:val="2"/>
          <w:sz w:val="21"/>
          <w:szCs w:val="21"/>
          <w:lang w:val="en-US"/>
        </w:rPr>
        <w:t>6较低透光Low-E+12空气+6透明-隔热金属多腔密封窗框：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传热系数2.400W/m^2.K，太阳得热系数0.261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12760.52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73672.93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194.40</w:t>
            </w:r>
          </w:p>
        </w:tc>
        <w:tc>
          <w:tcPr>
            <w:vAlign w:val="center"/>
          </w:tcPr>
          <w:p>
            <w:r>
              <w:t>2154.07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170.10</w:t>
            </w:r>
          </w:p>
        </w:tc>
        <w:tc>
          <w:tcPr>
            <w:vAlign w:val="center"/>
          </w:tcPr>
          <w:p>
            <w:r>
              <w:t>2155.32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121.50</w:t>
            </w:r>
          </w:p>
        </w:tc>
        <w:tc>
          <w:tcPr>
            <w:vAlign w:val="center"/>
          </w:tcPr>
          <w:p>
            <w:r>
              <w:t>1614.60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170.10</w:t>
            </w:r>
          </w:p>
        </w:tc>
        <w:tc>
          <w:tcPr>
            <w:vAlign w:val="center"/>
          </w:tcPr>
          <w:p>
            <w:r>
              <w:t>1614.60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  <w:r>
              <w:br w:type="textWrapping"/>
            </w:r>
            <w:r>
              <w:t>194.40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194.40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  <w:r>
              <w:br w:type="textWrapping"/>
            </w:r>
            <w:r>
              <w:t>170.10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170.10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  <w:r>
              <w:br w:type="textWrapping"/>
            </w:r>
            <w:r>
              <w:t>121.50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121.50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  <w:r>
              <w:br w:type="textWrapping"/>
            </w:r>
            <w:r>
              <w:t>170.10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170.10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可见光透射比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0.426</w:t>
            </w:r>
          </w:p>
        </w:tc>
        <w:tc>
          <w:tcPr>
            <w:vAlign w:val="center"/>
          </w:tcPr>
          <w:p>
            <w:r>
              <w:t>4.108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0.256</w:t>
            </w:r>
          </w:p>
        </w:tc>
        <w:tc>
          <w:tcPr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1.061</w:t>
            </w:r>
          </w:p>
        </w:tc>
        <w:tc>
          <w:tcPr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632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1.884</w:t>
            </w:r>
          </w:p>
        </w:tc>
        <w:tc>
          <w:tcPr>
            <w:vAlign w:val="center"/>
          </w:tcPr>
          <w:p>
            <w:r>
              <w:t>8.191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反射隔热涂料附加热阻R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采用反射隔热涂料后K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浙江省《公共建筑节能设计标准》DB33/1036-2007，第72页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反射隔热涂料附加热阻R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采用反射隔热涂料后K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1956.84</w:t>
            </w:r>
          </w:p>
        </w:tc>
        <w:tc>
          <w:tcPr>
            <w:vAlign w:val="center"/>
          </w:tcPr>
          <w:p>
            <w:r>
              <w:t>0.949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8.19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105.63</w:t>
            </w:r>
          </w:p>
        </w:tc>
        <w:tc>
          <w:tcPr>
            <w:vAlign w:val="center"/>
          </w:tcPr>
          <w:p>
            <w:r>
              <w:t>0.051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2062.47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7.93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0.909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陶粒混凝土砌块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0.410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0.585</w:t>
            </w:r>
          </w:p>
        </w:tc>
        <w:tc>
          <w:tcPr>
            <w:vAlign w:val="center"/>
          </w:tcPr>
          <w:p>
            <w:r>
              <w:t>2.556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1.544</w:t>
            </w:r>
          </w:p>
        </w:tc>
        <w:tc>
          <w:tcPr>
            <w:vAlign w:val="center"/>
          </w:tcPr>
          <w:p>
            <w:r>
              <w:t>3.421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0.25[默认] 修正后:0.38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浙江省《公共建筑节能设计标准》DB33/1036-2007，第58页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1793.97</w:t>
            </w:r>
          </w:p>
        </w:tc>
        <w:tc>
          <w:tcPr>
            <w:vAlign w:val="center"/>
          </w:tcPr>
          <w:p>
            <w:r>
              <w:t>0.915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3.42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165.70</w:t>
            </w:r>
          </w:p>
        </w:tc>
        <w:tc>
          <w:tcPr>
            <w:vAlign w:val="center"/>
          </w:tcPr>
          <w:p>
            <w:r>
              <w:t>0.085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1959.67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3.39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1819.42</w:t>
            </w:r>
          </w:p>
        </w:tc>
        <w:tc>
          <w:tcPr>
            <w:vAlign w:val="center"/>
          </w:tcPr>
          <w:p>
            <w:r>
              <w:t>0.916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3.42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165.79</w:t>
            </w:r>
          </w:p>
        </w:tc>
        <w:tc>
          <w:tcPr>
            <w:vAlign w:val="center"/>
          </w:tcPr>
          <w:p>
            <w:r>
              <w:t>0.084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1985.22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3.39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1368.90</w:t>
            </w:r>
          </w:p>
        </w:tc>
        <w:tc>
          <w:tcPr>
            <w:vAlign w:val="center"/>
          </w:tcPr>
          <w:p>
            <w:r>
              <w:t>0.917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3.42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124.20</w:t>
            </w:r>
          </w:p>
        </w:tc>
        <w:tc>
          <w:tcPr>
            <w:vAlign w:val="center"/>
          </w:tcPr>
          <w:p>
            <w:r>
              <w:t>0.083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1493.10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3.39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1320.30</w:t>
            </w:r>
          </w:p>
        </w:tc>
        <w:tc>
          <w:tcPr>
            <w:vAlign w:val="center"/>
          </w:tcPr>
          <w:p>
            <w:r>
              <w:t>0.914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3.42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124.20</w:t>
            </w:r>
          </w:p>
        </w:tc>
        <w:tc>
          <w:tcPr>
            <w:vAlign w:val="center"/>
          </w:tcPr>
          <w:p>
            <w:r>
              <w:t>0.086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1444.50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3.39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6302.60</w:t>
            </w:r>
          </w:p>
        </w:tc>
        <w:tc>
          <w:tcPr>
            <w:vAlign w:val="center"/>
          </w:tcPr>
          <w:p>
            <w:r>
              <w:t>0.916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3.42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579.89</w:t>
            </w:r>
          </w:p>
        </w:tc>
        <w:tc>
          <w:tcPr>
            <w:vAlign w:val="center"/>
          </w:tcPr>
          <w:p>
            <w:r>
              <w:t>0.084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6882.49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3.39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外窗热工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6较低透光Low-E+12空气+6透明-隔热金属多腔密封窗框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摘自《全国民用建筑工程设计技术措施——节能专篇》，窗框面积约20%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194.400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194.400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170.100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170.100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121.500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121.500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170.100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170.100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194.400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194.400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170.100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170.100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121.500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121.500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170.100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170.100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194.40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170.10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121.50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170.10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656.10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有效通风换气面积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1001@1</w:t>
            </w:r>
          </w:p>
        </w:tc>
        <w:tc>
          <w:tcPr>
            <w:gridSpan w:val="2"/>
            <w:vAlign w:val="center"/>
          </w:tcPr>
          <w:p>
            <w:r>
              <w:t>391.28</w:t>
            </w:r>
          </w:p>
        </w:tc>
        <w:tc>
          <w:tcPr>
            <w:vAlign w:val="center"/>
          </w:tcPr>
          <w:p>
            <w:r>
              <w:t>32.11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pPr>
              <w:ind w:firstLine="210" w:firstLineChars="100"/>
            </w:pPr>
            <w:r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1003@1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198.66</w:t>
            </w:r>
          </w:p>
        </w:tc>
        <w:tc>
          <w:tcPr>
            <w:vMerge w:val="restart"/>
            <w:vAlign w:val="center"/>
          </w:tcPr>
          <w:p>
            <w:r>
              <w:t>127.85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1004@1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189.16</w:t>
            </w:r>
          </w:p>
        </w:tc>
        <w:tc>
          <w:tcPr>
            <w:vMerge w:val="restart"/>
            <w:vAlign w:val="center"/>
          </w:tcPr>
          <w:p>
            <w:r>
              <w:t>82.00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1005@1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134.53</w:t>
            </w:r>
          </w:p>
        </w:tc>
        <w:tc>
          <w:tcPr>
            <w:vMerge w:val="restart"/>
            <w:vAlign w:val="center"/>
          </w:tcPr>
          <w:p>
            <w:r>
              <w:t>92.39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1006@1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118.73</w:t>
            </w:r>
          </w:p>
        </w:tc>
        <w:tc>
          <w:tcPr>
            <w:vMerge w:val="restart"/>
            <w:vAlign w:val="center"/>
          </w:tcPr>
          <w:p>
            <w:r>
              <w:t>86.79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1007@1</w:t>
            </w:r>
          </w:p>
        </w:tc>
        <w:tc>
          <w:tcPr>
            <w:gridSpan w:val="2"/>
            <w:vAlign w:val="center"/>
          </w:tcPr>
          <w:p>
            <w:r>
              <w:t>92.22</w:t>
            </w:r>
          </w:p>
        </w:tc>
        <w:tc>
          <w:tcPr>
            <w:vAlign w:val="center"/>
          </w:tcPr>
          <w:p>
            <w:r>
              <w:t>32.74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1008@1</w:t>
            </w:r>
          </w:p>
        </w:tc>
        <w:tc>
          <w:tcPr>
            <w:gridSpan w:val="2"/>
            <w:vAlign w:val="center"/>
          </w:tcPr>
          <w:p>
            <w:r>
              <w:t>90.01</w:t>
            </w:r>
          </w:p>
        </w:tc>
        <w:tc>
          <w:tcPr>
            <w:vAlign w:val="center"/>
          </w:tcPr>
          <w:p>
            <w:r>
              <w:t>31.98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1009@1</w:t>
            </w:r>
          </w:p>
        </w:tc>
        <w:tc>
          <w:tcPr>
            <w:gridSpan w:val="2"/>
            <w:vAlign w:val="center"/>
          </w:tcPr>
          <w:p>
            <w:r>
              <w:t>87.24</w:t>
            </w:r>
          </w:p>
        </w:tc>
        <w:tc>
          <w:tcPr>
            <w:vAlign w:val="center"/>
          </w:tcPr>
          <w:p>
            <w:r>
              <w:t>31.98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1010@1</w:t>
            </w:r>
          </w:p>
        </w:tc>
        <w:tc>
          <w:tcPr>
            <w:gridSpan w:val="2"/>
            <w:vAlign w:val="center"/>
          </w:tcPr>
          <w:p>
            <w:r>
              <w:t>82.33</w:t>
            </w:r>
          </w:p>
        </w:tc>
        <w:tc>
          <w:tcPr>
            <w:vAlign w:val="center"/>
          </w:tcPr>
          <w:p>
            <w:r>
              <w:t>32.09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1011@1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81.73</w:t>
            </w:r>
          </w:p>
        </w:tc>
        <w:tc>
          <w:tcPr>
            <w:vMerge w:val="restart"/>
            <w:vAlign w:val="center"/>
          </w:tcPr>
          <w:p>
            <w:r>
              <w:t>31.87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1012@1</w:t>
            </w:r>
          </w:p>
        </w:tc>
        <w:tc>
          <w:tcPr>
            <w:gridSpan w:val="2"/>
            <w:vAlign w:val="center"/>
          </w:tcPr>
          <w:p>
            <w:r>
              <w:t>63.10</w:t>
            </w:r>
          </w:p>
        </w:tc>
        <w:tc>
          <w:tcPr>
            <w:vAlign w:val="center"/>
          </w:tcPr>
          <w:p>
            <w:r>
              <w:t>33.30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1014@1</w:t>
            </w:r>
          </w:p>
        </w:tc>
        <w:tc>
          <w:tcPr>
            <w:gridSpan w:val="2"/>
            <w:vAlign w:val="center"/>
          </w:tcPr>
          <w:p>
            <w:r>
              <w:t>52.96</w:t>
            </w:r>
          </w:p>
        </w:tc>
        <w:tc>
          <w:tcPr>
            <w:vAlign w:val="center"/>
          </w:tcPr>
          <w:p>
            <w:r>
              <w:t>32.05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1015@1</w:t>
            </w:r>
          </w:p>
        </w:tc>
        <w:tc>
          <w:tcPr>
            <w:gridSpan w:val="2"/>
            <w:vAlign w:val="center"/>
          </w:tcPr>
          <w:p>
            <w:r>
              <w:t>51.09</w:t>
            </w:r>
          </w:p>
        </w:tc>
        <w:tc>
          <w:tcPr>
            <w:vAlign w:val="center"/>
          </w:tcPr>
          <w:p>
            <w:r>
              <w:t>32.88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1016@1</w:t>
            </w:r>
          </w:p>
        </w:tc>
        <w:tc>
          <w:tcPr>
            <w:gridSpan w:val="2"/>
            <w:vAlign w:val="center"/>
          </w:tcPr>
          <w:p>
            <w:r>
              <w:t>36.23</w:t>
            </w:r>
          </w:p>
        </w:tc>
        <w:tc>
          <w:tcPr>
            <w:vAlign w:val="center"/>
          </w:tcPr>
          <w:p>
            <w:r>
              <w:t>40.62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1017@1</w:t>
            </w:r>
          </w:p>
        </w:tc>
        <w:tc>
          <w:tcPr>
            <w:gridSpan w:val="2"/>
            <w:vAlign w:val="center"/>
          </w:tcPr>
          <w:p>
            <w:r>
              <w:t>26.33</w:t>
            </w:r>
          </w:p>
        </w:tc>
        <w:tc>
          <w:tcPr>
            <w:vAlign w:val="center"/>
          </w:tcPr>
          <w:p>
            <w:r>
              <w:t>38.18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1018@1</w:t>
            </w:r>
          </w:p>
        </w:tc>
        <w:tc>
          <w:tcPr>
            <w:gridSpan w:val="2"/>
            <w:vAlign w:val="center"/>
          </w:tcPr>
          <w:p>
            <w:r>
              <w:t>23.39</w:t>
            </w:r>
          </w:p>
        </w:tc>
        <w:tc>
          <w:tcPr>
            <w:vAlign w:val="center"/>
          </w:tcPr>
          <w:p>
            <w:r>
              <w:t>15.58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1025@1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13.15</w:t>
            </w:r>
          </w:p>
        </w:tc>
        <w:tc>
          <w:tcPr>
            <w:vMerge w:val="restart"/>
            <w:vAlign w:val="center"/>
          </w:tcPr>
          <w:p>
            <w:r>
              <w:t>31.15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非中空窗面积比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56.70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40.50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56.70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C1815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幕墙气密性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bookmarkStart w:id="34" w:name="_GoBack" w:colFirst="0" w:colLast="0"/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bookmarkEnd w:id="34"/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1415"/>
        <w:gridCol w:w="27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3BD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5126</Characters>
  <Lines>42</Lines>
  <Paragraphs>12</Paragraphs>
  <TotalTime>43</TotalTime>
  <ScaleCrop>false</ScaleCrop>
  <LinksUpToDate>false</LinksUpToDate>
  <CharactersWithSpaces>6013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狗</cp:lastModifiedBy>
  <cp:lastPrinted>2411-12-31T16:00:00Z</cp:lastPrinted>
  <dcterms:modified xsi:type="dcterms:W3CDTF">2020-12-30T13:11:22Z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