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住区热环境设计报告书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XXX住宅小区</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宁波</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20190808</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T18758818870</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"_Toc16494766" </w:instrText>
      </w:r>
      <w:r>
        <w:fldChar w:fldCharType="separate"/>
      </w:r>
      <w:r>
        <w:rPr>
          <w:rStyle w:val="24"/>
        </w:rPr>
        <w:t>1</w:t>
      </w:r>
      <w:r>
        <w:rPr>
          <w:rFonts w:asciiTheme="minorHAnsi" w:hAnsiTheme="minorHAnsi" w:eastAsiaTheme="minorEastAsia" w:cstheme="minorBidi"/>
          <w:b w:val="0"/>
          <w:bCs w:val="0"/>
          <w:szCs w:val="22"/>
        </w:rPr>
        <w:tab/>
      </w:r>
      <w:r>
        <w:rPr>
          <w:rStyle w:val="24"/>
          <w:rFonts w:hint="eastAsia"/>
        </w:rPr>
        <w:t>住区概况</w:t>
      </w:r>
      <w:r>
        <w:tab/>
      </w:r>
      <w:r>
        <w:fldChar w:fldCharType="begin"/>
      </w:r>
      <w:r>
        <w:instrText xml:space="preserve"> PAGEREF _Toc16494766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"_Toc16494767" </w:instrText>
      </w:r>
      <w:r>
        <w:fldChar w:fldCharType="separate"/>
      </w:r>
      <w:r>
        <w:rPr>
          <w:rStyle w:val="24"/>
        </w:rPr>
        <w:t>2</w:t>
      </w:r>
      <w:r>
        <w:rPr>
          <w:rFonts w:asciiTheme="minorHAnsi" w:hAnsiTheme="minorHAnsi" w:eastAsiaTheme="minorEastAsia" w:cstheme="minorBidi"/>
          <w:b w:val="0"/>
          <w:bCs w:val="0"/>
          <w:szCs w:val="22"/>
        </w:rPr>
        <w:tab/>
      </w:r>
      <w:r>
        <w:rPr>
          <w:rStyle w:val="24"/>
          <w:rFonts w:hint="eastAsia"/>
        </w:rPr>
        <w:t>设计依据</w:t>
      </w:r>
      <w:r>
        <w:tab/>
      </w:r>
      <w:r>
        <w:fldChar w:fldCharType="begin"/>
      </w:r>
      <w:r>
        <w:instrText xml:space="preserve"> PAGEREF _Toc16494767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"_Toc16494768" </w:instrText>
      </w:r>
      <w:r>
        <w:fldChar w:fldCharType="separate"/>
      </w:r>
      <w:r>
        <w:rPr>
          <w:rStyle w:val="24"/>
        </w:rPr>
        <w:t>3</w:t>
      </w:r>
      <w:r>
        <w:rPr>
          <w:rFonts w:asciiTheme="minorHAnsi" w:hAnsiTheme="minorHAnsi" w:eastAsiaTheme="minorEastAsia" w:cstheme="minorBidi"/>
          <w:b w:val="0"/>
          <w:bCs w:val="0"/>
          <w:szCs w:val="22"/>
        </w:rPr>
        <w:tab/>
      </w:r>
      <w:r>
        <w:rPr>
          <w:rStyle w:val="24"/>
          <w:rFonts w:hint="eastAsia"/>
        </w:rPr>
        <w:t>计算规定</w:t>
      </w:r>
      <w:r>
        <w:tab/>
      </w:r>
      <w:r>
        <w:fldChar w:fldCharType="begin"/>
      </w:r>
      <w:r>
        <w:instrText xml:space="preserve"> PAGEREF _Toc16494768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"_Toc16494769" </w:instrText>
      </w:r>
      <w:r>
        <w:fldChar w:fldCharType="separate"/>
      </w:r>
      <w:r>
        <w:rPr>
          <w:rStyle w:val="24"/>
          <w:lang w:val="en-GB"/>
        </w:rPr>
        <w:t>3.1</w:t>
      </w:r>
      <w:r>
        <w:rPr>
          <w:rFonts w:asciiTheme="minorHAnsi" w:hAnsiTheme="minorHAnsi" w:eastAsiaTheme="minorEastAsia" w:cstheme="minorBidi"/>
          <w:szCs w:val="22"/>
        </w:rPr>
        <w:tab/>
      </w:r>
      <w:r>
        <w:rPr>
          <w:rStyle w:val="24"/>
          <w:rFonts w:hint="eastAsia"/>
        </w:rPr>
        <w:t>强制条文</w:t>
      </w:r>
      <w:r>
        <w:tab/>
      </w:r>
      <w:r>
        <w:fldChar w:fldCharType="begin"/>
      </w:r>
      <w:r>
        <w:instrText xml:space="preserve"> PAGEREF _Toc16494769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"_Toc16494770" </w:instrText>
      </w:r>
      <w:r>
        <w:fldChar w:fldCharType="separate"/>
      </w:r>
      <w:r>
        <w:rPr>
          <w:rStyle w:val="24"/>
          <w:lang w:val="en-GB"/>
        </w:rPr>
        <w:t>3.2</w:t>
      </w:r>
      <w:r>
        <w:rPr>
          <w:rFonts w:asciiTheme="minorHAnsi" w:hAnsiTheme="minorHAnsi" w:eastAsiaTheme="minorEastAsia" w:cstheme="minorBidi"/>
          <w:szCs w:val="22"/>
        </w:rPr>
        <w:tab/>
      </w:r>
      <w:r>
        <w:rPr>
          <w:rStyle w:val="24"/>
          <w:rFonts w:hint="eastAsia"/>
        </w:rPr>
        <w:t>规定性设计</w:t>
      </w:r>
      <w:r>
        <w:tab/>
      </w:r>
      <w:r>
        <w:fldChar w:fldCharType="begin"/>
      </w:r>
      <w:r>
        <w:instrText xml:space="preserve"> PAGEREF _Toc16494770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"_Toc16494771" </w:instrText>
      </w:r>
      <w:r>
        <w:fldChar w:fldCharType="separate"/>
      </w:r>
      <w:r>
        <w:rPr>
          <w:rStyle w:val="24"/>
          <w:lang w:val="en-GB"/>
        </w:rPr>
        <w:t>3.3</w:t>
      </w:r>
      <w:r>
        <w:rPr>
          <w:rFonts w:asciiTheme="minorHAnsi" w:hAnsiTheme="minorHAnsi" w:eastAsiaTheme="minorEastAsia" w:cstheme="minorBidi"/>
          <w:szCs w:val="22"/>
        </w:rPr>
        <w:tab/>
      </w:r>
      <w:r>
        <w:rPr>
          <w:rStyle w:val="24"/>
          <w:rFonts w:hint="eastAsia"/>
        </w:rPr>
        <w:t>评价性设计</w:t>
      </w:r>
      <w:r>
        <w:tab/>
      </w:r>
      <w:r>
        <w:fldChar w:fldCharType="begin"/>
      </w:r>
      <w:r>
        <w:instrText xml:space="preserve"> PAGEREF _Toc16494771 \h </w:instrText>
      </w:r>
      <w:r>
        <w:fldChar w:fldCharType="separate"/>
      </w:r>
      <w:r>
        <w:t>5</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"_Toc16494772" </w:instrText>
      </w:r>
      <w:r>
        <w:fldChar w:fldCharType="separate"/>
      </w:r>
      <w:r>
        <w:rPr>
          <w:rStyle w:val="24"/>
        </w:rPr>
        <w:t>4</w:t>
      </w:r>
      <w:r>
        <w:rPr>
          <w:rFonts w:asciiTheme="minorHAnsi" w:hAnsiTheme="minorHAnsi" w:eastAsiaTheme="minorEastAsia" w:cstheme="minorBidi"/>
          <w:b w:val="0"/>
          <w:bCs w:val="0"/>
          <w:szCs w:val="22"/>
        </w:rPr>
        <w:tab/>
      </w:r>
      <w:r>
        <w:rPr>
          <w:rStyle w:val="24"/>
          <w:rFonts w:hint="eastAsia"/>
        </w:rPr>
        <w:t>计算参数</w:t>
      </w:r>
      <w:r>
        <w:tab/>
      </w:r>
      <w:r>
        <w:fldChar w:fldCharType="begin"/>
      </w:r>
      <w:r>
        <w:instrText xml:space="preserve"> PAGEREF _Toc16494772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"_Toc16494773" </w:instrText>
      </w:r>
      <w:r>
        <w:fldChar w:fldCharType="separate"/>
      </w:r>
      <w:r>
        <w:rPr>
          <w:rStyle w:val="24"/>
          <w:lang w:val="en-GB"/>
        </w:rPr>
        <w:t>4.1</w:t>
      </w:r>
      <w:r>
        <w:rPr>
          <w:rFonts w:asciiTheme="minorHAnsi" w:hAnsiTheme="minorHAnsi" w:eastAsiaTheme="minorEastAsia" w:cstheme="minorBidi"/>
          <w:szCs w:val="22"/>
        </w:rPr>
        <w:tab/>
      </w:r>
      <w:r>
        <w:rPr>
          <w:rStyle w:val="24"/>
          <w:rFonts w:hint="eastAsia"/>
        </w:rPr>
        <w:t>典型气象日气象参数</w:t>
      </w:r>
      <w:r>
        <w:tab/>
      </w:r>
      <w:r>
        <w:fldChar w:fldCharType="begin"/>
      </w:r>
      <w:r>
        <w:instrText xml:space="preserve"> PAGEREF _Toc16494773 \h </w:instrText>
      </w:r>
      <w:r>
        <w:fldChar w:fldCharType="separate"/>
      </w:r>
      <w:r>
        <w:t>6</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"_Toc16494774" </w:instrText>
      </w:r>
      <w:r>
        <w:fldChar w:fldCharType="separate"/>
      </w:r>
      <w:r>
        <w:rPr>
          <w:rStyle w:val="24"/>
          <w:lang w:val="en-GB"/>
        </w:rPr>
        <w:t>4.2</w:t>
      </w:r>
      <w:r>
        <w:rPr>
          <w:rFonts w:asciiTheme="minorHAnsi" w:hAnsiTheme="minorHAnsi" w:eastAsiaTheme="minorEastAsia" w:cstheme="minorBidi"/>
          <w:szCs w:val="22"/>
        </w:rPr>
        <w:tab/>
      </w:r>
      <w:r>
        <w:rPr>
          <w:rStyle w:val="24"/>
          <w:rFonts w:hint="eastAsia"/>
        </w:rPr>
        <w:t>渗透面夏季逐时蒸发量</w:t>
      </w:r>
      <w:r>
        <w:tab/>
      </w:r>
      <w:r>
        <w:fldChar w:fldCharType="begin"/>
      </w:r>
      <w:r>
        <w:instrText xml:space="preserve"> PAGEREF _Toc16494774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"_Toc16494775" </w:instrText>
      </w:r>
      <w:r>
        <w:fldChar w:fldCharType="separate"/>
      </w:r>
      <w:r>
        <w:rPr>
          <w:rStyle w:val="24"/>
        </w:rPr>
        <w:t>5</w:t>
      </w:r>
      <w:r>
        <w:rPr>
          <w:rFonts w:asciiTheme="minorHAnsi" w:hAnsiTheme="minorHAnsi" w:eastAsiaTheme="minorEastAsia" w:cstheme="minorBidi"/>
          <w:b w:val="0"/>
          <w:bCs w:val="0"/>
          <w:szCs w:val="22"/>
        </w:rPr>
        <w:tab/>
      </w:r>
      <w:r>
        <w:rPr>
          <w:rStyle w:val="24"/>
          <w:rFonts w:hint="eastAsia"/>
        </w:rPr>
        <w:t>住区指标概览</w:t>
      </w:r>
      <w:r>
        <w:tab/>
      </w:r>
      <w:r>
        <w:fldChar w:fldCharType="begin"/>
      </w:r>
      <w:r>
        <w:instrText xml:space="preserve"> PAGEREF _Toc16494775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"_Toc16494776" </w:instrText>
      </w:r>
      <w:r>
        <w:fldChar w:fldCharType="separate"/>
      </w:r>
      <w:r>
        <w:rPr>
          <w:rStyle w:val="24"/>
        </w:rPr>
        <w:t>6</w:t>
      </w:r>
      <w:r>
        <w:rPr>
          <w:rFonts w:asciiTheme="minorHAnsi" w:hAnsiTheme="minorHAnsi" w:eastAsiaTheme="minorEastAsia" w:cstheme="minorBidi"/>
          <w:b w:val="0"/>
          <w:bCs w:val="0"/>
          <w:szCs w:val="22"/>
        </w:rPr>
        <w:tab/>
      </w:r>
      <w:r>
        <w:rPr>
          <w:rStyle w:val="24"/>
          <w:rFonts w:hint="eastAsia"/>
        </w:rPr>
        <w:t>规定性设计指标</w:t>
      </w:r>
      <w:r>
        <w:tab/>
      </w:r>
      <w:r>
        <w:fldChar w:fldCharType="begin"/>
      </w:r>
      <w:r>
        <w:instrText xml:space="preserve"> PAGEREF _Toc16494776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"_Toc16494777" </w:instrText>
      </w:r>
      <w:r>
        <w:fldChar w:fldCharType="separate"/>
      </w:r>
      <w:r>
        <w:rPr>
          <w:rStyle w:val="24"/>
          <w:lang w:val="en-GB"/>
        </w:rPr>
        <w:t>6.1</w:t>
      </w:r>
      <w:r>
        <w:rPr>
          <w:rFonts w:asciiTheme="minorHAnsi" w:hAnsiTheme="minorHAnsi" w:eastAsiaTheme="minorEastAsia" w:cstheme="minorBidi"/>
          <w:szCs w:val="22"/>
        </w:rPr>
        <w:tab/>
      </w:r>
      <w:r>
        <w:rPr>
          <w:rStyle w:val="24"/>
          <w:rFonts w:hint="eastAsia"/>
        </w:rPr>
        <w:t>平均迎风面积比</w:t>
      </w:r>
      <w:r>
        <w:tab/>
      </w:r>
      <w:r>
        <w:fldChar w:fldCharType="begin"/>
      </w:r>
      <w:r>
        <w:instrText xml:space="preserve"> PAGEREF _Toc16494777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"_Toc16494778" </w:instrText>
      </w:r>
      <w:r>
        <w:fldChar w:fldCharType="separate"/>
      </w:r>
      <w:r>
        <w:rPr>
          <w:rStyle w:val="24"/>
          <w:lang w:val="en-GB"/>
        </w:rPr>
        <w:t>6.2</w:t>
      </w:r>
      <w:r>
        <w:rPr>
          <w:rFonts w:asciiTheme="minorHAnsi" w:hAnsiTheme="minorHAnsi" w:eastAsiaTheme="minorEastAsia" w:cstheme="minorBidi"/>
          <w:szCs w:val="22"/>
        </w:rPr>
        <w:tab/>
      </w:r>
      <w:r>
        <w:rPr>
          <w:rStyle w:val="24"/>
          <w:rFonts w:hint="eastAsia"/>
        </w:rPr>
        <w:t>活动场地遮阳覆盖率</w:t>
      </w:r>
      <w:r>
        <w:tab/>
      </w:r>
      <w:r>
        <w:fldChar w:fldCharType="begin"/>
      </w:r>
      <w:r>
        <w:instrText xml:space="preserve"> PAGEREF _Toc16494778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"_Toc16494779" </w:instrText>
      </w:r>
      <w:r>
        <w:fldChar w:fldCharType="separate"/>
      </w:r>
      <w:r>
        <w:rPr>
          <w:rStyle w:val="24"/>
          <w:lang w:val="en-GB"/>
        </w:rPr>
        <w:t>6.3</w:t>
      </w:r>
      <w:r>
        <w:rPr>
          <w:rFonts w:asciiTheme="minorHAnsi" w:hAnsiTheme="minorHAnsi" w:eastAsiaTheme="minorEastAsia" w:cstheme="minorBidi"/>
          <w:szCs w:val="22"/>
        </w:rPr>
        <w:tab/>
      </w:r>
      <w:r>
        <w:rPr>
          <w:rStyle w:val="24"/>
          <w:rFonts w:hint="eastAsia"/>
        </w:rPr>
        <w:t>底层通风架空率</w:t>
      </w:r>
      <w:r>
        <w:tab/>
      </w:r>
      <w:r>
        <w:fldChar w:fldCharType="begin"/>
      </w:r>
      <w:r>
        <w:instrText xml:space="preserve"> PAGEREF _Toc16494779 \h </w:instrText>
      </w:r>
      <w:r>
        <w:fldChar w:fldCharType="separate"/>
      </w:r>
      <w:r>
        <w:t>8</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"_Toc16494780" </w:instrText>
      </w:r>
      <w:r>
        <w:fldChar w:fldCharType="separate"/>
      </w:r>
      <w:r>
        <w:rPr>
          <w:rStyle w:val="24"/>
          <w:lang w:val="en-GB"/>
        </w:rPr>
        <w:t>6.4</w:t>
      </w:r>
      <w:r>
        <w:rPr>
          <w:rFonts w:asciiTheme="minorHAnsi" w:hAnsiTheme="minorHAnsi" w:eastAsiaTheme="minorEastAsia" w:cstheme="minorBidi"/>
          <w:szCs w:val="22"/>
        </w:rPr>
        <w:tab/>
      </w:r>
      <w:r>
        <w:rPr>
          <w:rStyle w:val="24"/>
          <w:rFonts w:hint="eastAsia"/>
        </w:rPr>
        <w:t>绿化遮阳体叶面积指数</w:t>
      </w:r>
      <w:r>
        <w:tab/>
      </w:r>
      <w:r>
        <w:fldChar w:fldCharType="begin"/>
      </w:r>
      <w:r>
        <w:instrText xml:space="preserve"> PAGEREF _Toc16494780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"_Toc16494781" </w:instrText>
      </w:r>
      <w:r>
        <w:fldChar w:fldCharType="separate"/>
      </w:r>
      <w:r>
        <w:rPr>
          <w:rStyle w:val="24"/>
          <w:lang w:val="en-GB"/>
        </w:rPr>
        <w:t>6.5</w:t>
      </w:r>
      <w:r>
        <w:rPr>
          <w:rFonts w:asciiTheme="minorHAnsi" w:hAnsiTheme="minorHAnsi" w:eastAsiaTheme="minorEastAsia" w:cstheme="minorBidi"/>
          <w:szCs w:val="22"/>
        </w:rPr>
        <w:tab/>
      </w:r>
      <w:r>
        <w:rPr>
          <w:rStyle w:val="24"/>
          <w:rFonts w:hint="eastAsia"/>
        </w:rPr>
        <w:t>渗透蒸发指标</w:t>
      </w:r>
      <w:r>
        <w:tab/>
      </w:r>
      <w:r>
        <w:fldChar w:fldCharType="begin"/>
      </w:r>
      <w:r>
        <w:instrText xml:space="preserve"> PAGEREF _Toc16494781 \h </w:instrText>
      </w:r>
      <w:r>
        <w:fldChar w:fldCharType="separate"/>
      </w:r>
      <w:r>
        <w:t>9</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"_Toc16494782" </w:instrText>
      </w:r>
      <w:r>
        <w:fldChar w:fldCharType="separate"/>
      </w:r>
      <w:r>
        <w:rPr>
          <w:rStyle w:val="24"/>
          <w:lang w:val="en-GB"/>
        </w:rPr>
        <w:t>6.6</w:t>
      </w:r>
      <w:r>
        <w:rPr>
          <w:rFonts w:asciiTheme="minorHAnsi" w:hAnsiTheme="minorHAnsi" w:eastAsiaTheme="minorEastAsia" w:cstheme="minorBidi"/>
          <w:szCs w:val="22"/>
        </w:rPr>
        <w:tab/>
      </w:r>
      <w:r>
        <w:rPr>
          <w:rStyle w:val="24"/>
          <w:rFonts w:hint="eastAsia"/>
        </w:rPr>
        <w:t>屋面绿化率</w:t>
      </w:r>
      <w:r>
        <w:tab/>
      </w:r>
      <w:r>
        <w:fldChar w:fldCharType="begin"/>
      </w:r>
      <w:r>
        <w:instrText xml:space="preserve"> PAGEREF _Toc16494782 \h </w:instrText>
      </w:r>
      <w:r>
        <w:fldChar w:fldCharType="separate"/>
      </w:r>
      <w:r>
        <w:t>10</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"_Toc16494783" </w:instrText>
      </w:r>
      <w:r>
        <w:fldChar w:fldCharType="separate"/>
      </w:r>
      <w:r>
        <w:rPr>
          <w:rStyle w:val="24"/>
        </w:rPr>
        <w:t>7</w:t>
      </w:r>
      <w:r>
        <w:rPr>
          <w:rFonts w:asciiTheme="minorHAnsi" w:hAnsiTheme="minorHAnsi" w:eastAsiaTheme="minorEastAsia" w:cstheme="minorBidi"/>
          <w:b w:val="0"/>
          <w:bCs w:val="0"/>
          <w:szCs w:val="22"/>
        </w:rPr>
        <w:tab/>
      </w:r>
      <w:r>
        <w:rPr>
          <w:rStyle w:val="24"/>
          <w:rFonts w:hint="eastAsia"/>
        </w:rPr>
        <w:t>评价性设计</w:t>
      </w:r>
      <w:r>
        <w:tab/>
      </w:r>
      <w:r>
        <w:fldChar w:fldCharType="begin"/>
      </w:r>
      <w:r>
        <w:instrText xml:space="preserve"> PAGEREF _Toc16494783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"_Toc16494784" </w:instrText>
      </w:r>
      <w:r>
        <w:fldChar w:fldCharType="separate"/>
      </w:r>
      <w:r>
        <w:rPr>
          <w:rStyle w:val="24"/>
          <w:lang w:val="en-GB"/>
        </w:rPr>
        <w:t>7.1</w:t>
      </w:r>
      <w:r>
        <w:rPr>
          <w:rFonts w:asciiTheme="minorHAnsi" w:hAnsiTheme="minorHAnsi" w:eastAsiaTheme="minorEastAsia" w:cstheme="minorBidi"/>
          <w:szCs w:val="22"/>
        </w:rPr>
        <w:tab/>
      </w:r>
      <w:r>
        <w:rPr>
          <w:rStyle w:val="24"/>
          <w:rFonts w:hint="eastAsia"/>
        </w:rPr>
        <w:t>平均热岛强度</w:t>
      </w:r>
      <w:r>
        <w:tab/>
      </w:r>
      <w:r>
        <w:fldChar w:fldCharType="begin"/>
      </w:r>
      <w:r>
        <w:instrText xml:space="preserve"> PAGEREF _Toc16494784 \h </w:instrText>
      </w:r>
      <w:r>
        <w:fldChar w:fldCharType="separate"/>
      </w:r>
      <w:r>
        <w:t>10</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"_Toc16494785" </w:instrText>
      </w:r>
      <w:r>
        <w:fldChar w:fldCharType="separate"/>
      </w:r>
      <w:r>
        <w:rPr>
          <w:rStyle w:val="24"/>
          <w:lang w:val="en-GB"/>
        </w:rPr>
        <w:t>7.2</w:t>
      </w:r>
      <w:r>
        <w:rPr>
          <w:rFonts w:asciiTheme="minorHAnsi" w:hAnsiTheme="minorHAnsi" w:eastAsiaTheme="minorEastAsia" w:cstheme="minorBidi"/>
          <w:szCs w:val="22"/>
        </w:rPr>
        <w:tab/>
      </w:r>
      <w:r>
        <w:rPr>
          <w:rStyle w:val="24"/>
          <w:rFonts w:hint="eastAsia"/>
        </w:rPr>
        <w:t>湿球黑球温度</w:t>
      </w:r>
      <w:r>
        <w:tab/>
      </w:r>
      <w:r>
        <w:fldChar w:fldCharType="begin"/>
      </w:r>
      <w:r>
        <w:instrText xml:space="preserve"> PAGEREF _Toc16494785 \h </w:instrText>
      </w:r>
      <w:r>
        <w:fldChar w:fldCharType="separate"/>
      </w:r>
      <w:r>
        <w:t>11</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"_Toc16494786" </w:instrText>
      </w:r>
      <w:r>
        <w:fldChar w:fldCharType="separate"/>
      </w:r>
      <w:r>
        <w:rPr>
          <w:rStyle w:val="24"/>
        </w:rPr>
        <w:t>8</w:t>
      </w:r>
      <w:r>
        <w:rPr>
          <w:rFonts w:asciiTheme="minorHAnsi" w:hAnsiTheme="minorHAnsi" w:eastAsiaTheme="minorEastAsia" w:cstheme="minorBidi"/>
          <w:b w:val="0"/>
          <w:bCs w:val="0"/>
          <w:szCs w:val="22"/>
        </w:rPr>
        <w:tab/>
      </w:r>
      <w:r>
        <w:rPr>
          <w:rStyle w:val="24"/>
          <w:rFonts w:hint="eastAsia"/>
        </w:rPr>
        <w:t>结论</w:t>
      </w:r>
      <w:r>
        <w:tab/>
      </w:r>
      <w:r>
        <w:fldChar w:fldCharType="begin"/>
      </w:r>
      <w:r>
        <w:instrText xml:space="preserve"> PAGEREF _Toc16494786 \h </w:instrText>
      </w:r>
      <w:r>
        <w:fldChar w:fldCharType="separate"/>
      </w:r>
      <w:r>
        <w:t>12</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66"/>
      <w:r>
        <w:rPr>
          <w:rFonts w:hint="eastAsia"/>
        </w:rPr>
        <w:t>住区概况</w:t>
      </w:r>
      <w:bookmarkEnd w:id="11"/>
    </w:p>
    <w:tbl>
      <w:tblPr>
        <w:tblStyle w:val="19"/>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XXX住宅小区</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宁波</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29.87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121.55</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东南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4657725" cy="42576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4658214" cy="4258122"/>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67"/>
      <w:bookmarkStart w:id="23" w:name="TitleFormat"/>
      <w:r>
        <w:rPr>
          <w:rFonts w:hint="eastAsia"/>
        </w:rPr>
        <w:t>设计依据</w:t>
      </w:r>
      <w:bookmarkEnd w:id="22"/>
    </w:p>
    <w:bookmarkEnd w:id="23"/>
    <w:p>
      <w:pPr>
        <w:widowControl w:val="0"/>
        <w:jc w:val="both"/>
        <w:rPr>
          <w:kern w:val="2"/>
          <w:szCs w:val="24"/>
          <w:lang w:val="en-US"/>
        </w:rPr>
      </w:pPr>
      <w:bookmarkStart w:id="24" w:name="计算依据"/>
      <w:bookmarkEnd w:id="24"/>
      <w:r>
        <w:rPr>
          <w:rFonts w:hint="eastAsia"/>
          <w:kern w:val="2"/>
          <w:szCs w:val="24"/>
          <w:lang w:val="en-US"/>
        </w:rPr>
        <w:t>《城市居住区热环境设计标准》（JGJ 286-2013）</w:t>
      </w:r>
    </w:p>
    <w:p>
      <w:pPr>
        <w:pStyle w:val="2"/>
      </w:pPr>
      <w:bookmarkStart w:id="25" w:name="_Toc16494768"/>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16494769"/>
      <w:r>
        <w:rPr>
          <w:rFonts w:hint="eastAsia"/>
        </w:rPr>
        <w:t>强制条文</w:t>
      </w:r>
      <w:bookmarkEnd w:id="26"/>
    </w:p>
    <w:p>
      <w:pPr>
        <w:pStyle w:val="3"/>
        <w:spacing w:line="360" w:lineRule="auto"/>
        <w:ind w:firstLine="420"/>
        <w:rPr>
          <w:kern w:val="2"/>
          <w:szCs w:val="24"/>
          <w:lang w:val="en-US"/>
        </w:rPr>
      </w:pPr>
      <w:r>
        <w:rPr>
          <w:rFonts w:hint="eastAsia"/>
          <w:kern w:val="2"/>
          <w:szCs w:val="24"/>
          <w:lang w:val="en-US"/>
        </w:rPr>
        <w:t>（1）</w:t>
      </w:r>
      <w:r>
        <w:rPr>
          <w:kern w:val="2"/>
          <w:szCs w:val="24"/>
          <w:lang w:val="en-US"/>
        </w:rPr>
        <w:t>4</w:t>
      </w:r>
      <w:r>
        <w:rPr>
          <w:rFonts w:hint="eastAsia"/>
          <w:kern w:val="2"/>
          <w:szCs w:val="24"/>
          <w:lang w:val="en-US"/>
        </w:rPr>
        <w:t>.1.1</w:t>
      </w:r>
      <w:r>
        <w:rPr>
          <w:kern w:val="2"/>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2"/>
          <w:rFonts w:ascii="Arial" w:hAnsi="Arial" w:cs="Arial"/>
          <w:color w:val="333333"/>
          <w:sz w:val="21"/>
          <w:szCs w:val="21"/>
        </w:rPr>
      </w:pPr>
      <w:r>
        <w:rPr>
          <w:rStyle w:val="22"/>
          <w:rFonts w:ascii="Arial" w:hAnsi="Arial" w:cs="Arial"/>
          <w:color w:val="333333"/>
          <w:sz w:val="21"/>
          <w:szCs w:val="21"/>
        </w:rPr>
        <w:t>表4．1．1 居住区的夏季平均迎风面积比（ζ</w:t>
      </w:r>
      <w:r>
        <w:rPr>
          <w:rStyle w:val="22"/>
          <w:rFonts w:ascii="Arial" w:hAnsi="Arial" w:cs="Arial"/>
          <w:color w:val="333333"/>
          <w:sz w:val="21"/>
          <w:szCs w:val="21"/>
          <w:vertAlign w:val="subscript"/>
        </w:rPr>
        <w:t>s</w:t>
      </w:r>
      <w:r>
        <w:rPr>
          <w:rStyle w:val="22"/>
          <w:rFonts w:ascii="Arial" w:hAnsi="Arial" w:cs="Arial"/>
          <w:color w:val="333333"/>
          <w:sz w:val="21"/>
          <w:szCs w:val="21"/>
        </w:rPr>
        <w:t>）限值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2"/>
          <w:rFonts w:ascii="Arial" w:hAnsi="Arial" w:cs="Arial"/>
          <w:color w:val="333333"/>
          <w:sz w:val="21"/>
          <w:szCs w:val="21"/>
        </w:rPr>
      </w:pPr>
      <w:r>
        <w:rPr>
          <w:rStyle w:val="22"/>
          <w:rFonts w:ascii="Arial" w:hAnsi="Arial" w:cs="Arial"/>
          <w:color w:val="333333"/>
          <w:sz w:val="21"/>
          <w:szCs w:val="21"/>
        </w:rPr>
        <w:t>表4．2．1 居住区活动场地的遮阳覆盖率限值(％)</w:t>
      </w:r>
    </w:p>
    <w:tbl>
      <w:tblPr>
        <w:tblStyle w:val="20"/>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7" w:name="_Toc16494770"/>
      <w:r>
        <w:rPr>
          <w:rFonts w:hint="eastAsia"/>
        </w:rPr>
        <w:t>规定性设计</w:t>
      </w:r>
      <w:bookmarkEnd w:id="27"/>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（1）4.1.4：在Ⅲ、Ⅳ、Ⅴ建筑气候区，当夏季主导风向上的建筑物迎风面宽度超过80m时，该建筑底层的通风架空率不应小于10％。</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（2）4.2.3：</w:t>
      </w:r>
      <w:r>
        <w:rPr>
          <w:rFonts w:ascii="Times New Roman" w:hAnsi="Times New Roman" w:cs="Times New Roman"/>
          <w:bCs/>
          <w:kern w:val="2"/>
        </w:rPr>
        <w:t>绿化遮阳体的叶面积指数不应小于3</w:t>
      </w:r>
      <w:r>
        <w:rPr>
          <w:rFonts w:hint="eastAsia" w:ascii="Times New Roman" w:hAnsi="Times New Roman" w:cs="Times New Roman"/>
          <w:bCs/>
          <w:kern w:val="2"/>
        </w:rPr>
        <w:t>.0</w:t>
      </w:r>
      <w:r>
        <w:rPr>
          <w:rFonts w:ascii="Times New Roman" w:hAnsi="Times New Roman" w:cs="Times New Roman"/>
          <w:bCs/>
          <w:kern w:val="2"/>
        </w:rPr>
        <w:t>。</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（3）4.3.1：居住区户外活动场地和人行道路地面应有雨水渗透与蒸发能力，渗透与蒸发指标不应低于表4.3.1的规定。</w:t>
      </w:r>
    </w:p>
    <w:p>
      <w:pPr>
        <w:pStyle w:val="18"/>
        <w:shd w:val="clear" w:color="auto" w:fill="FFFFFF"/>
        <w:spacing w:before="0" w:beforeAutospacing="0" w:after="0" w:afterAutospacing="0"/>
        <w:ind w:firstLine="420"/>
        <w:jc w:val="center"/>
        <w:rPr>
          <w:rStyle w:val="22"/>
          <w:rFonts w:ascii="Arial" w:hAnsi="Arial" w:cs="Arial"/>
          <w:color w:val="333333"/>
          <w:sz w:val="21"/>
          <w:szCs w:val="21"/>
        </w:rPr>
      </w:pPr>
      <w:r>
        <w:rPr>
          <w:rStyle w:val="22"/>
          <w:rFonts w:ascii="Arial" w:hAnsi="Arial" w:cs="Arial"/>
          <w:color w:val="333333"/>
          <w:sz w:val="21"/>
          <w:szCs w:val="21"/>
        </w:rPr>
        <w:t>表4．</w:t>
      </w:r>
      <w:r>
        <w:rPr>
          <w:rStyle w:val="22"/>
          <w:rFonts w:hint="eastAsia" w:ascii="Arial" w:hAnsi="Arial" w:cs="Arial"/>
          <w:color w:val="333333"/>
          <w:sz w:val="21"/>
          <w:szCs w:val="21"/>
        </w:rPr>
        <w:t>3</w:t>
      </w:r>
      <w:r>
        <w:rPr>
          <w:rStyle w:val="22"/>
          <w:rFonts w:ascii="Arial" w:hAnsi="Arial" w:cs="Arial"/>
          <w:color w:val="333333"/>
          <w:sz w:val="21"/>
          <w:szCs w:val="21"/>
        </w:rPr>
        <w:t>．1 居住区</w:t>
      </w:r>
      <w:r>
        <w:rPr>
          <w:rStyle w:val="22"/>
          <w:rFonts w:hint="eastAsia" w:ascii="Arial" w:hAnsi="Arial" w:cs="Arial"/>
          <w:color w:val="333333"/>
          <w:sz w:val="21"/>
          <w:szCs w:val="21"/>
        </w:rPr>
        <w:t>地面渗透蒸发指标</w:t>
      </w:r>
    </w:p>
    <w:tbl>
      <w:tblPr>
        <w:tblStyle w:val="19"/>
        <w:tblW w:w="9747" w:type="dxa"/>
        <w:tblInd w:w="0" w:type="dxa"/>
        <w:tblLayout w:type="autofit"/>
        <w:tblCellMar>
          <w:top w:w="0" w:type="dxa"/>
          <w:left w:w="0" w:type="dxa"/>
          <w:bottom w:w="0" w:type="dxa"/>
          <w:right w:w="0" w:type="dxa"/>
        </w:tblCellMar>
      </w:tblPr>
      <w:tblGrid>
        <w:gridCol w:w="1116"/>
        <w:gridCol w:w="1456"/>
        <w:gridCol w:w="1439"/>
        <w:gridCol w:w="1278"/>
        <w:gridCol w:w="1536"/>
        <w:gridCol w:w="1505"/>
        <w:gridCol w:w="1417"/>
      </w:tblGrid>
      <w:tr>
        <w:tblPrEx>
          <w:tblCellMar>
            <w:top w:w="0" w:type="dxa"/>
            <w:left w:w="0" w:type="dxa"/>
            <w:bottom w:w="0" w:type="dxa"/>
            <w:right w:w="0" w:type="dxa"/>
          </w:tblCellMar>
        </w:tblPrEx>
        <w:trPr>
          <w:trHeight w:val="403" w:hRule="atLeast"/>
        </w:trPr>
        <w:tc>
          <w:tcPr>
            <w:tcW w:w="111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w:t>
            </w:r>
          </w:p>
        </w:tc>
        <w:tc>
          <w:tcPr>
            <w:tcW w:w="4173"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I、II、VI、VII气候区</w:t>
            </w:r>
          </w:p>
        </w:tc>
        <w:tc>
          <w:tcPr>
            <w:tcW w:w="445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III、IV、V气候区</w:t>
            </w:r>
          </w:p>
        </w:tc>
      </w:tr>
      <w:tr>
        <w:tblPrEx>
          <w:tblCellMar>
            <w:top w:w="0" w:type="dxa"/>
            <w:left w:w="0" w:type="dxa"/>
            <w:bottom w:w="0" w:type="dxa"/>
            <w:right w:w="0" w:type="dxa"/>
          </w:tblCellMar>
        </w:tblPrEx>
        <w:trPr>
          <w:trHeight w:val="1108"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bCs/>
                <w:kern w:val="2"/>
                <w:szCs w:val="21"/>
                <w:lang w:val="en-US"/>
              </w:rPr>
            </w:pP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渗透面积比率β（%）</w:t>
            </w:r>
          </w:p>
        </w:tc>
        <w:tc>
          <w:tcPr>
            <w:tcW w:w="143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地面透水系数k（mm/s）</w:t>
            </w:r>
          </w:p>
        </w:tc>
        <w:tc>
          <w:tcPr>
            <w:tcW w:w="127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蒸发量m（kg/㎡·d）</w:t>
            </w: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渗透面积比率β（%）</w:t>
            </w: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地面透水系数k（mm/s）</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蒸发量m（kg/㎡·d）</w:t>
            </w: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广场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40</w:t>
            </w:r>
          </w:p>
        </w:tc>
        <w:tc>
          <w:tcPr>
            <w:tcW w:w="14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3</w:t>
            </w:r>
          </w:p>
        </w:tc>
        <w:tc>
          <w:tcPr>
            <w:tcW w:w="127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1.6</w:t>
            </w: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15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rFonts w:ascii="Arial" w:hAnsi="Arial" w:cs="Arial"/>
                <w:sz w:val="36"/>
                <w:szCs w:val="36"/>
                <w:lang w:val="en-US"/>
              </w:rPr>
            </w:pPr>
            <w:r>
              <w:rPr>
                <w:rFonts w:hint="eastAsia" w:ascii="微软雅黑" w:hAnsi="微软雅黑" w:cs="Arial" w:eastAsiaTheme="minorEastAsia"/>
                <w:color w:val="000000" w:themeColor="text1"/>
                <w:kern w:val="2"/>
                <w:sz w:val="24"/>
                <w:szCs w:val="24"/>
                <w:lang w:val="en-US"/>
                <w14:textFill>
                  <w14:solidFill>
                    <w14:schemeClr w14:val="tx1"/>
                  </w14:solidFill>
                </w14:textFill>
              </w:rPr>
              <w:t>3</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1.3</w:t>
            </w: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游憩场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停车场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70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人行道</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bl>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（4）居住区内建筑屋面的绿化面积不应低于可绿化屋面面积的50％。</w:t>
      </w:r>
    </w:p>
    <w:p>
      <w:pPr>
        <w:pStyle w:val="3"/>
        <w:ind w:firstLine="199" w:firstLineChars="95"/>
        <w:rPr>
          <w:lang w:val="en-US"/>
        </w:rPr>
      </w:pPr>
      <w:r>
        <w:rPr>
          <w:rFonts w:hint="eastAsia"/>
          <w:lang w:val="en-US"/>
        </w:rPr>
        <w:t>当以上4条有任意一条不能满足时候，需要进行评价性设计。</w:t>
      </w:r>
    </w:p>
    <w:p>
      <w:pPr>
        <w:pStyle w:val="4"/>
      </w:pPr>
      <w:bookmarkStart w:id="28" w:name="_Toc16494771"/>
      <w:r>
        <w:rPr>
          <w:rFonts w:hint="eastAsia"/>
        </w:rPr>
        <w:t>评价性设计</w:t>
      </w:r>
      <w:bookmarkEnd w:id="28"/>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9" w:name="_Toc16494772"/>
      <w:r>
        <w:rPr>
          <w:rFonts w:hint="eastAsia"/>
        </w:rPr>
        <w:t>计算参数</w:t>
      </w:r>
      <w:bookmarkEnd w:id="29"/>
    </w:p>
    <w:p>
      <w:pPr>
        <w:pStyle w:val="4"/>
      </w:pPr>
      <w:bookmarkStart w:id="30" w:name="_Toc16494773"/>
      <w:r>
        <w:rPr>
          <w:rFonts w:hint="eastAsia"/>
        </w:rPr>
        <w:t>典型气象日气象参数</w:t>
      </w:r>
      <w:bookmarkEnd w:id="3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29.1</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4.7</w:t>
            </w:r>
          </w:p>
        </w:tc>
        <w:tc>
          <w:tcPr>
            <w:tcW w:w="1341" w:type="dxa"/>
            <w:vMerge w:val="restart"/>
            <w:vAlign w:val="center"/>
          </w:tcPr>
          <w:p>
            <w:pPr>
              <w:jc w:val="center"/>
            </w:pPr>
            <w:r>
              <w:t>东南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28.8</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4.3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28.3</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27.9</w:t>
            </w:r>
          </w:p>
        </w:tc>
        <w:tc>
          <w:tcPr>
            <w:tcW w:w="1341" w:type="dxa"/>
            <w:vAlign w:val="center"/>
          </w:tcPr>
          <w:p>
            <w:pPr>
              <w:jc w:val="center"/>
            </w:pPr>
            <w:r>
              <w:t>85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27.5</w:t>
            </w:r>
          </w:p>
        </w:tc>
        <w:tc>
          <w:tcPr>
            <w:tcW w:w="1341" w:type="dxa"/>
            <w:vAlign w:val="center"/>
          </w:tcPr>
          <w:p>
            <w:pPr>
              <w:jc w:val="center"/>
            </w:pPr>
            <w:r>
              <w:t>83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27.2</w:t>
            </w:r>
          </w:p>
        </w:tc>
        <w:tc>
          <w:tcPr>
            <w:tcW w:w="1341" w:type="dxa"/>
            <w:vAlign w:val="center"/>
          </w:tcPr>
          <w:p>
            <w:pPr>
              <w:jc w:val="center"/>
            </w:pPr>
            <w:r>
              <w:t>81</w:t>
            </w:r>
          </w:p>
        </w:tc>
        <w:tc>
          <w:tcPr>
            <w:tcW w:w="1341" w:type="dxa"/>
            <w:vAlign w:val="center"/>
          </w:tcPr>
          <w:p>
            <w:pPr>
              <w:jc w:val="center"/>
            </w:pPr>
            <w:r>
              <w:t>13.89</w:t>
            </w:r>
          </w:p>
        </w:tc>
        <w:tc>
          <w:tcPr>
            <w:tcW w:w="1341" w:type="dxa"/>
            <w:vAlign w:val="center"/>
          </w:tcPr>
          <w:p>
            <w:pPr>
              <w:jc w:val="center"/>
            </w:pPr>
            <w:r>
              <w:t>13.89</w:t>
            </w:r>
          </w:p>
        </w:tc>
        <w:tc>
          <w:tcPr>
            <w:tcW w:w="1341" w:type="dxa"/>
            <w:vAlign w:val="center"/>
          </w:tcPr>
          <w:p>
            <w:pPr>
              <w:jc w:val="center"/>
            </w:pPr>
            <w:r>
              <w:t>2.1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27.7</w:t>
            </w:r>
          </w:p>
        </w:tc>
        <w:tc>
          <w:tcPr>
            <w:tcW w:w="1341" w:type="dxa"/>
            <w:vAlign w:val="center"/>
          </w:tcPr>
          <w:p>
            <w:pPr>
              <w:jc w:val="center"/>
            </w:pPr>
            <w:r>
              <w:t>79</w:t>
            </w:r>
          </w:p>
        </w:tc>
        <w:tc>
          <w:tcPr>
            <w:tcW w:w="1341" w:type="dxa"/>
            <w:vAlign w:val="center"/>
          </w:tcPr>
          <w:p>
            <w:pPr>
              <w:jc w:val="center"/>
            </w:pPr>
            <w:r>
              <w:t>108.33</w:t>
            </w:r>
          </w:p>
        </w:tc>
        <w:tc>
          <w:tcPr>
            <w:tcW w:w="1341" w:type="dxa"/>
            <w:vAlign w:val="center"/>
          </w:tcPr>
          <w:p>
            <w:pPr>
              <w:jc w:val="center"/>
            </w:pPr>
            <w:r>
              <w:t>102.78</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29.2</w:t>
            </w:r>
          </w:p>
        </w:tc>
        <w:tc>
          <w:tcPr>
            <w:tcW w:w="1341" w:type="dxa"/>
            <w:vAlign w:val="center"/>
          </w:tcPr>
          <w:p>
            <w:pPr>
              <w:jc w:val="center"/>
            </w:pPr>
            <w:r>
              <w:t>76</w:t>
            </w:r>
          </w:p>
        </w:tc>
        <w:tc>
          <w:tcPr>
            <w:tcW w:w="1341" w:type="dxa"/>
            <w:vAlign w:val="center"/>
          </w:tcPr>
          <w:p>
            <w:pPr>
              <w:jc w:val="center"/>
            </w:pPr>
            <w:r>
              <w:t>222.22</w:t>
            </w:r>
          </w:p>
        </w:tc>
        <w:tc>
          <w:tcPr>
            <w:tcW w:w="1341" w:type="dxa"/>
            <w:vAlign w:val="center"/>
          </w:tcPr>
          <w:p>
            <w:pPr>
              <w:jc w:val="center"/>
            </w:pPr>
            <w:r>
              <w:t>180.56</w:t>
            </w:r>
          </w:p>
        </w:tc>
        <w:tc>
          <w:tcPr>
            <w:tcW w:w="1341" w:type="dxa"/>
            <w:vAlign w:val="center"/>
          </w:tcPr>
          <w:p>
            <w:pPr>
              <w:jc w:val="center"/>
            </w:pPr>
            <w:r>
              <w:t>4.1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29.8</w:t>
            </w:r>
          </w:p>
        </w:tc>
        <w:tc>
          <w:tcPr>
            <w:tcW w:w="1341" w:type="dxa"/>
            <w:vAlign w:val="center"/>
          </w:tcPr>
          <w:p>
            <w:pPr>
              <w:jc w:val="center"/>
            </w:pPr>
            <w:r>
              <w:t>73</w:t>
            </w:r>
          </w:p>
        </w:tc>
        <w:tc>
          <w:tcPr>
            <w:tcW w:w="1341" w:type="dxa"/>
            <w:vAlign w:val="center"/>
          </w:tcPr>
          <w:p>
            <w:pPr>
              <w:jc w:val="center"/>
            </w:pPr>
            <w:r>
              <w:t>341.67</w:t>
            </w:r>
          </w:p>
        </w:tc>
        <w:tc>
          <w:tcPr>
            <w:tcW w:w="1341" w:type="dxa"/>
            <w:vAlign w:val="center"/>
          </w:tcPr>
          <w:p>
            <w:pPr>
              <w:jc w:val="center"/>
            </w:pPr>
            <w:r>
              <w:t>250.00</w:t>
            </w:r>
          </w:p>
        </w:tc>
        <w:tc>
          <w:tcPr>
            <w:tcW w:w="1341" w:type="dxa"/>
            <w:vAlign w:val="center"/>
          </w:tcPr>
          <w:p>
            <w:pPr>
              <w:jc w:val="center"/>
            </w:pPr>
            <w:r>
              <w:t>3.5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31.9</w:t>
            </w:r>
          </w:p>
        </w:tc>
        <w:tc>
          <w:tcPr>
            <w:tcW w:w="1341" w:type="dxa"/>
            <w:vAlign w:val="center"/>
          </w:tcPr>
          <w:p>
            <w:pPr>
              <w:jc w:val="center"/>
            </w:pPr>
            <w:r>
              <w:t>71</w:t>
            </w:r>
          </w:p>
        </w:tc>
        <w:tc>
          <w:tcPr>
            <w:tcW w:w="1341" w:type="dxa"/>
            <w:vAlign w:val="center"/>
          </w:tcPr>
          <w:p>
            <w:pPr>
              <w:jc w:val="center"/>
            </w:pPr>
            <w:r>
              <w:t>455.56</w:t>
            </w:r>
          </w:p>
        </w:tc>
        <w:tc>
          <w:tcPr>
            <w:tcW w:w="1341" w:type="dxa"/>
            <w:vAlign w:val="center"/>
          </w:tcPr>
          <w:p>
            <w:pPr>
              <w:jc w:val="center"/>
            </w:pPr>
            <w:r>
              <w:t>308.33</w:t>
            </w:r>
          </w:p>
        </w:tc>
        <w:tc>
          <w:tcPr>
            <w:tcW w:w="1341" w:type="dxa"/>
            <w:vAlign w:val="center"/>
          </w:tcPr>
          <w:p>
            <w:pPr>
              <w:jc w:val="center"/>
            </w:pPr>
            <w:r>
              <w:t>2.3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33.1</w:t>
            </w:r>
          </w:p>
        </w:tc>
        <w:tc>
          <w:tcPr>
            <w:tcW w:w="1341" w:type="dxa"/>
            <w:vAlign w:val="center"/>
          </w:tcPr>
          <w:p>
            <w:pPr>
              <w:jc w:val="center"/>
            </w:pPr>
            <w:r>
              <w:t>69</w:t>
            </w:r>
          </w:p>
        </w:tc>
        <w:tc>
          <w:tcPr>
            <w:tcW w:w="1341" w:type="dxa"/>
            <w:vAlign w:val="center"/>
          </w:tcPr>
          <w:p>
            <w:pPr>
              <w:jc w:val="center"/>
            </w:pPr>
            <w:r>
              <w:t>541.67</w:t>
            </w:r>
          </w:p>
        </w:tc>
        <w:tc>
          <w:tcPr>
            <w:tcW w:w="1341" w:type="dxa"/>
            <w:vAlign w:val="center"/>
          </w:tcPr>
          <w:p>
            <w:pPr>
              <w:jc w:val="center"/>
            </w:pPr>
            <w:r>
              <w:t>347.22</w:t>
            </w:r>
          </w:p>
        </w:tc>
        <w:tc>
          <w:tcPr>
            <w:tcW w:w="1341" w:type="dxa"/>
            <w:vAlign w:val="center"/>
          </w:tcPr>
          <w:p>
            <w:pPr>
              <w:jc w:val="center"/>
            </w:pPr>
            <w:r>
              <w:t>3.1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34.9</w:t>
            </w:r>
          </w:p>
        </w:tc>
        <w:tc>
          <w:tcPr>
            <w:tcW w:w="1341" w:type="dxa"/>
            <w:vAlign w:val="center"/>
          </w:tcPr>
          <w:p>
            <w:pPr>
              <w:jc w:val="center"/>
            </w:pPr>
            <w:r>
              <w:t>68</w:t>
            </w:r>
          </w:p>
        </w:tc>
        <w:tc>
          <w:tcPr>
            <w:tcW w:w="1341" w:type="dxa"/>
            <w:vAlign w:val="center"/>
          </w:tcPr>
          <w:p>
            <w:pPr>
              <w:jc w:val="center"/>
            </w:pPr>
            <w:r>
              <w:t>594.44</w:t>
            </w:r>
          </w:p>
        </w:tc>
        <w:tc>
          <w:tcPr>
            <w:tcW w:w="1341" w:type="dxa"/>
            <w:vAlign w:val="center"/>
          </w:tcPr>
          <w:p>
            <w:pPr>
              <w:jc w:val="center"/>
            </w:pPr>
            <w:r>
              <w:t>372.22</w:t>
            </w:r>
          </w:p>
        </w:tc>
        <w:tc>
          <w:tcPr>
            <w:tcW w:w="1341" w:type="dxa"/>
            <w:vAlign w:val="center"/>
          </w:tcPr>
          <w:p>
            <w:pPr>
              <w:jc w:val="center"/>
            </w:pPr>
            <w:r>
              <w:t>3.4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35.9</w:t>
            </w:r>
          </w:p>
        </w:tc>
        <w:tc>
          <w:tcPr>
            <w:tcW w:w="1341" w:type="dxa"/>
            <w:vAlign w:val="center"/>
          </w:tcPr>
          <w:p>
            <w:pPr>
              <w:jc w:val="center"/>
            </w:pPr>
            <w:r>
              <w:t>67</w:t>
            </w:r>
          </w:p>
        </w:tc>
        <w:tc>
          <w:tcPr>
            <w:tcW w:w="1341" w:type="dxa"/>
            <w:vAlign w:val="center"/>
          </w:tcPr>
          <w:p>
            <w:pPr>
              <w:jc w:val="center"/>
            </w:pPr>
            <w:r>
              <w:t>597.22</w:t>
            </w:r>
          </w:p>
        </w:tc>
        <w:tc>
          <w:tcPr>
            <w:tcW w:w="1341" w:type="dxa"/>
            <w:vAlign w:val="center"/>
          </w:tcPr>
          <w:p>
            <w:pPr>
              <w:jc w:val="center"/>
            </w:pPr>
            <w:r>
              <w:t>372.22</w:t>
            </w:r>
          </w:p>
        </w:tc>
        <w:tc>
          <w:tcPr>
            <w:tcW w:w="1341" w:type="dxa"/>
            <w:vAlign w:val="center"/>
          </w:tcPr>
          <w:p>
            <w:pPr>
              <w:jc w:val="center"/>
            </w:pPr>
            <w:r>
              <w:t>3.3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36.5</w:t>
            </w:r>
          </w:p>
        </w:tc>
        <w:tc>
          <w:tcPr>
            <w:tcW w:w="1341" w:type="dxa"/>
            <w:vAlign w:val="center"/>
          </w:tcPr>
          <w:p>
            <w:pPr>
              <w:jc w:val="center"/>
            </w:pPr>
            <w:r>
              <w:t>68</w:t>
            </w:r>
          </w:p>
        </w:tc>
        <w:tc>
          <w:tcPr>
            <w:tcW w:w="1341" w:type="dxa"/>
            <w:vAlign w:val="center"/>
          </w:tcPr>
          <w:p>
            <w:pPr>
              <w:jc w:val="center"/>
            </w:pPr>
            <w:r>
              <w:t>555.56</w:t>
            </w:r>
          </w:p>
        </w:tc>
        <w:tc>
          <w:tcPr>
            <w:tcW w:w="1341" w:type="dxa"/>
            <w:vAlign w:val="center"/>
          </w:tcPr>
          <w:p>
            <w:pPr>
              <w:jc w:val="center"/>
            </w:pPr>
            <w:r>
              <w:t>352.78</w:t>
            </w:r>
          </w:p>
        </w:tc>
        <w:tc>
          <w:tcPr>
            <w:tcW w:w="1341" w:type="dxa"/>
            <w:vAlign w:val="center"/>
          </w:tcPr>
          <w:p>
            <w:pPr>
              <w:jc w:val="center"/>
            </w:pPr>
            <w:r>
              <w:t>2.8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36.7</w:t>
            </w:r>
          </w:p>
        </w:tc>
        <w:tc>
          <w:tcPr>
            <w:tcW w:w="1341" w:type="dxa"/>
            <w:vAlign w:val="center"/>
          </w:tcPr>
          <w:p>
            <w:pPr>
              <w:jc w:val="center"/>
            </w:pPr>
            <w:r>
              <w:t>70</w:t>
            </w:r>
          </w:p>
        </w:tc>
        <w:tc>
          <w:tcPr>
            <w:tcW w:w="1341" w:type="dxa"/>
            <w:vAlign w:val="center"/>
          </w:tcPr>
          <w:p>
            <w:pPr>
              <w:jc w:val="center"/>
            </w:pPr>
            <w:r>
              <w:t>475.00</w:t>
            </w:r>
          </w:p>
        </w:tc>
        <w:tc>
          <w:tcPr>
            <w:tcW w:w="1341" w:type="dxa"/>
            <w:vAlign w:val="center"/>
          </w:tcPr>
          <w:p>
            <w:pPr>
              <w:jc w:val="center"/>
            </w:pPr>
            <w:r>
              <w:t>313.89</w:t>
            </w:r>
          </w:p>
        </w:tc>
        <w:tc>
          <w:tcPr>
            <w:tcW w:w="1341" w:type="dxa"/>
            <w:vAlign w:val="center"/>
          </w:tcPr>
          <w:p>
            <w:pPr>
              <w:jc w:val="center"/>
            </w:pPr>
            <w:r>
              <w:t>3.4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35.8</w:t>
            </w:r>
          </w:p>
        </w:tc>
        <w:tc>
          <w:tcPr>
            <w:tcW w:w="1341" w:type="dxa"/>
            <w:vAlign w:val="center"/>
          </w:tcPr>
          <w:p>
            <w:pPr>
              <w:jc w:val="center"/>
            </w:pPr>
            <w:r>
              <w:t>72</w:t>
            </w:r>
          </w:p>
        </w:tc>
        <w:tc>
          <w:tcPr>
            <w:tcW w:w="1341" w:type="dxa"/>
            <w:vAlign w:val="center"/>
          </w:tcPr>
          <w:p>
            <w:pPr>
              <w:jc w:val="center"/>
            </w:pPr>
            <w:r>
              <w:t>366.67</w:t>
            </w:r>
          </w:p>
        </w:tc>
        <w:tc>
          <w:tcPr>
            <w:tcW w:w="1341" w:type="dxa"/>
            <w:vAlign w:val="center"/>
          </w:tcPr>
          <w:p>
            <w:pPr>
              <w:jc w:val="center"/>
            </w:pPr>
            <w:r>
              <w:t>255.56</w:t>
            </w:r>
          </w:p>
        </w:tc>
        <w:tc>
          <w:tcPr>
            <w:tcW w:w="1341" w:type="dxa"/>
            <w:vAlign w:val="center"/>
          </w:tcPr>
          <w:p>
            <w:pPr>
              <w:jc w:val="center"/>
            </w:pPr>
            <w:r>
              <w:t>4.3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35.6</w:t>
            </w:r>
          </w:p>
        </w:tc>
        <w:tc>
          <w:tcPr>
            <w:tcW w:w="1341" w:type="dxa"/>
            <w:vAlign w:val="center"/>
          </w:tcPr>
          <w:p>
            <w:pPr>
              <w:jc w:val="center"/>
            </w:pPr>
            <w:r>
              <w:t>76</w:t>
            </w:r>
          </w:p>
        </w:tc>
        <w:tc>
          <w:tcPr>
            <w:tcW w:w="1341" w:type="dxa"/>
            <w:vAlign w:val="center"/>
          </w:tcPr>
          <w:p>
            <w:pPr>
              <w:jc w:val="center"/>
            </w:pPr>
            <w:r>
              <w:t>247.22</w:t>
            </w:r>
          </w:p>
        </w:tc>
        <w:tc>
          <w:tcPr>
            <w:tcW w:w="1341" w:type="dxa"/>
            <w:vAlign w:val="center"/>
          </w:tcPr>
          <w:p>
            <w:pPr>
              <w:jc w:val="center"/>
            </w:pPr>
            <w:r>
              <w:t>183.33</w:t>
            </w:r>
          </w:p>
        </w:tc>
        <w:tc>
          <w:tcPr>
            <w:tcW w:w="1341" w:type="dxa"/>
            <w:vAlign w:val="center"/>
          </w:tcPr>
          <w:p>
            <w:pPr>
              <w:jc w:val="center"/>
            </w:pPr>
            <w:r>
              <w:t>4.1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34.9</w:t>
            </w:r>
          </w:p>
        </w:tc>
        <w:tc>
          <w:tcPr>
            <w:tcW w:w="1341" w:type="dxa"/>
            <w:vAlign w:val="center"/>
          </w:tcPr>
          <w:p>
            <w:pPr>
              <w:jc w:val="center"/>
            </w:pPr>
            <w:r>
              <w:t>79</w:t>
            </w:r>
          </w:p>
        </w:tc>
        <w:tc>
          <w:tcPr>
            <w:tcW w:w="1341" w:type="dxa"/>
            <w:vAlign w:val="center"/>
          </w:tcPr>
          <w:p>
            <w:pPr>
              <w:jc w:val="center"/>
            </w:pPr>
            <w:r>
              <w:t>130.56</w:t>
            </w:r>
          </w:p>
        </w:tc>
        <w:tc>
          <w:tcPr>
            <w:tcW w:w="1341" w:type="dxa"/>
            <w:vAlign w:val="center"/>
          </w:tcPr>
          <w:p>
            <w:pPr>
              <w:jc w:val="center"/>
            </w:pPr>
            <w:r>
              <w:t>105.56</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32.3</w:t>
            </w:r>
          </w:p>
        </w:tc>
        <w:tc>
          <w:tcPr>
            <w:tcW w:w="1341" w:type="dxa"/>
            <w:vAlign w:val="center"/>
          </w:tcPr>
          <w:p>
            <w:pPr>
              <w:jc w:val="center"/>
            </w:pPr>
            <w:r>
              <w:t>82</w:t>
            </w:r>
          </w:p>
        </w:tc>
        <w:tc>
          <w:tcPr>
            <w:tcW w:w="1341" w:type="dxa"/>
            <w:vAlign w:val="center"/>
          </w:tcPr>
          <w:p>
            <w:pPr>
              <w:jc w:val="center"/>
            </w:pPr>
            <w:r>
              <w:t>30.56</w:t>
            </w:r>
          </w:p>
        </w:tc>
        <w:tc>
          <w:tcPr>
            <w:tcW w:w="1341" w:type="dxa"/>
            <w:vAlign w:val="center"/>
          </w:tcPr>
          <w:p>
            <w:pPr>
              <w:jc w:val="center"/>
            </w:pPr>
            <w:r>
              <w:t>25.00</w:t>
            </w:r>
          </w:p>
        </w:tc>
        <w:tc>
          <w:tcPr>
            <w:tcW w:w="1341" w:type="dxa"/>
            <w:vAlign w:val="center"/>
          </w:tcPr>
          <w:p>
            <w:pPr>
              <w:jc w:val="center"/>
            </w:pPr>
            <w:r>
              <w:t>3.3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30.9</w:t>
            </w:r>
          </w:p>
        </w:tc>
        <w:tc>
          <w:tcPr>
            <w:tcW w:w="1341" w:type="dxa"/>
            <w:vAlign w:val="center"/>
          </w:tcPr>
          <w:p>
            <w:pPr>
              <w:jc w:val="center"/>
            </w:pPr>
            <w:r>
              <w:t>85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2.4</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30.2</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3.5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29.6</w:t>
            </w:r>
          </w:p>
        </w:tc>
        <w:tc>
          <w:tcPr>
            <w:tcW w:w="1341" w:type="dxa"/>
            <w:vAlign w:val="center"/>
          </w:tcPr>
          <w:p>
            <w:pPr>
              <w:jc w:val="center"/>
            </w:pPr>
            <w:r>
              <w:t>88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28.7</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28.6</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31.3</w:t>
            </w:r>
          </w:p>
        </w:tc>
        <w:tc>
          <w:tcPr>
            <w:tcW w:w="1341" w:type="dxa"/>
            <w:vAlign w:val="center"/>
          </w:tcPr>
          <w:p>
            <w:pPr>
              <w:jc w:val="center"/>
            </w:pPr>
            <w:r>
              <w:t>79</w:t>
            </w:r>
          </w:p>
        </w:tc>
        <w:tc>
          <w:tcPr>
            <w:tcW w:w="1341" w:type="dxa"/>
            <w:vAlign w:val="center"/>
          </w:tcPr>
          <w:p>
            <w:pPr>
              <w:jc w:val="center"/>
            </w:pPr>
            <w:r>
              <w:t>195.02</w:t>
            </w:r>
          </w:p>
        </w:tc>
        <w:tc>
          <w:tcPr>
            <w:tcW w:w="1341" w:type="dxa"/>
            <w:vAlign w:val="center"/>
          </w:tcPr>
          <w:p>
            <w:pPr>
              <w:jc w:val="center"/>
            </w:pPr>
            <w:r>
              <w:t>132.64</w:t>
            </w:r>
          </w:p>
        </w:tc>
        <w:tc>
          <w:tcPr>
            <w:tcW w:w="1341" w:type="dxa"/>
            <w:vAlign w:val="center"/>
          </w:tcPr>
          <w:p>
            <w:pPr>
              <w:jc w:val="center"/>
            </w:pPr>
            <w:r>
              <w:t>3.1</w:t>
            </w:r>
          </w:p>
        </w:tc>
        <w:tc>
          <w:tcPr>
            <w:tcW w:w="1341" w:type="dxa"/>
            <w:vMerge w:val="continue"/>
            <w:vAlign w:val="center"/>
          </w:tcPr>
          <w:p>
            <w:pPr>
              <w:jc w:val="center"/>
            </w:pPr>
          </w:p>
        </w:tc>
      </w:tr>
    </w:tbl>
    <w:p>
      <w:pPr>
        <w:pStyle w:val="3"/>
        <w:ind w:firstLine="0" w:firstLineChars="0"/>
        <w:rPr>
          <w:lang w:val="en-US"/>
        </w:rPr>
      </w:pPr>
      <w:bookmarkStart w:id="31" w:name="气象参数"/>
      <w:bookmarkEnd w:id="31"/>
    </w:p>
    <w:p>
      <w:pPr>
        <w:pStyle w:val="4"/>
      </w:pPr>
      <w:bookmarkStart w:id="32" w:name="_Toc16494774"/>
      <w:r>
        <w:rPr>
          <w:rFonts w:hint="eastAsia"/>
        </w:rPr>
        <w:t>渗透面夏季逐时蒸发量</w:t>
      </w:r>
      <w:bookmarkEnd w:id="3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0.09</w:t>
            </w:r>
          </w:p>
        </w:tc>
        <w:tc>
          <w:tcPr>
            <w:tcW w:w="1866" w:type="dxa"/>
            <w:vAlign w:val="center"/>
          </w:tcPr>
          <w:p>
            <w:pPr>
              <w:jc w:val="center"/>
            </w:pPr>
            <w:r>
              <w:t>0.24</w:t>
            </w:r>
          </w:p>
        </w:tc>
        <w:tc>
          <w:tcPr>
            <w:tcW w:w="1866" w:type="dxa"/>
            <w:vAlign w:val="center"/>
          </w:tcPr>
          <w:p>
            <w:pPr>
              <w:jc w:val="center"/>
            </w:pPr>
            <w:r>
              <w:t>0.07</w:t>
            </w:r>
          </w:p>
        </w:tc>
        <w:tc>
          <w:tcPr>
            <w:tcW w:w="1866" w:type="dxa"/>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0.10</w:t>
            </w:r>
          </w:p>
        </w:tc>
        <w:tc>
          <w:tcPr>
            <w:tcW w:w="1866" w:type="dxa"/>
            <w:vAlign w:val="center"/>
          </w:tcPr>
          <w:p>
            <w:pPr>
              <w:jc w:val="center"/>
            </w:pPr>
            <w:r>
              <w:t>0.19</w:t>
            </w:r>
          </w:p>
        </w:tc>
        <w:tc>
          <w:tcPr>
            <w:tcW w:w="1866" w:type="dxa"/>
            <w:vAlign w:val="center"/>
          </w:tcPr>
          <w:p>
            <w:pPr>
              <w:jc w:val="center"/>
            </w:pPr>
            <w:r>
              <w:t>0.06</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0.08</w:t>
            </w:r>
          </w:p>
        </w:tc>
        <w:tc>
          <w:tcPr>
            <w:tcW w:w="1866" w:type="dxa"/>
            <w:vAlign w:val="center"/>
          </w:tcPr>
          <w:p>
            <w:pPr>
              <w:jc w:val="center"/>
            </w:pPr>
            <w:r>
              <w:t>0.15</w:t>
            </w:r>
          </w:p>
        </w:tc>
        <w:tc>
          <w:tcPr>
            <w:tcW w:w="1866" w:type="dxa"/>
            <w:vAlign w:val="center"/>
          </w:tcPr>
          <w:p>
            <w:pPr>
              <w:jc w:val="center"/>
            </w:pPr>
            <w:r>
              <w:t>0.06</w:t>
            </w:r>
          </w:p>
        </w:tc>
        <w:tc>
          <w:tcPr>
            <w:tcW w:w="1866" w:type="dxa"/>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0.08</w:t>
            </w:r>
          </w:p>
        </w:tc>
        <w:tc>
          <w:tcPr>
            <w:tcW w:w="1866" w:type="dxa"/>
            <w:vAlign w:val="center"/>
          </w:tcPr>
          <w:p>
            <w:pPr>
              <w:jc w:val="center"/>
            </w:pPr>
            <w:r>
              <w:t>0.14</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0.09</w:t>
            </w:r>
          </w:p>
        </w:tc>
        <w:tc>
          <w:tcPr>
            <w:tcW w:w="1866" w:type="dxa"/>
            <w:vAlign w:val="center"/>
          </w:tcPr>
          <w:p>
            <w:pPr>
              <w:jc w:val="center"/>
            </w:pPr>
            <w:r>
              <w:t>0.13</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0.07</w:t>
            </w:r>
          </w:p>
        </w:tc>
        <w:tc>
          <w:tcPr>
            <w:tcW w:w="1866" w:type="dxa"/>
            <w:vAlign w:val="center"/>
          </w:tcPr>
          <w:p>
            <w:pPr>
              <w:jc w:val="center"/>
            </w:pPr>
            <w:r>
              <w:t>0.16</w:t>
            </w:r>
          </w:p>
        </w:tc>
        <w:tc>
          <w:tcPr>
            <w:tcW w:w="1866" w:type="dxa"/>
            <w:vAlign w:val="center"/>
          </w:tcPr>
          <w:p>
            <w:pPr>
              <w:jc w:val="center"/>
            </w:pPr>
            <w:r>
              <w:t>0.05</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0.18</w:t>
            </w:r>
          </w:p>
        </w:tc>
        <w:tc>
          <w:tcPr>
            <w:tcW w:w="1866" w:type="dxa"/>
            <w:vAlign w:val="center"/>
          </w:tcPr>
          <w:p>
            <w:pPr>
              <w:jc w:val="center"/>
            </w:pPr>
            <w:r>
              <w:t>0.22</w:t>
            </w:r>
          </w:p>
        </w:tc>
        <w:tc>
          <w:tcPr>
            <w:tcW w:w="1866" w:type="dxa"/>
            <w:vAlign w:val="center"/>
          </w:tcPr>
          <w:p>
            <w:pPr>
              <w:jc w:val="center"/>
            </w:pPr>
            <w:r>
              <w:t>0.08</w:t>
            </w:r>
          </w:p>
        </w:tc>
        <w:tc>
          <w:tcPr>
            <w:tcW w:w="1866" w:type="dxa"/>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0.34</w:t>
            </w:r>
          </w:p>
        </w:tc>
        <w:tc>
          <w:tcPr>
            <w:tcW w:w="1866" w:type="dxa"/>
            <w:vAlign w:val="center"/>
          </w:tcPr>
          <w:p>
            <w:pPr>
              <w:jc w:val="center"/>
            </w:pPr>
            <w:r>
              <w:t>0.33</w:t>
            </w:r>
          </w:p>
        </w:tc>
        <w:tc>
          <w:tcPr>
            <w:tcW w:w="1866" w:type="dxa"/>
            <w:vAlign w:val="center"/>
          </w:tcPr>
          <w:p>
            <w:pPr>
              <w:jc w:val="center"/>
            </w:pPr>
            <w:r>
              <w:t>0.09</w:t>
            </w:r>
          </w:p>
        </w:tc>
        <w:tc>
          <w:tcPr>
            <w:tcW w:w="1866" w:type="dxa"/>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0.52</w:t>
            </w:r>
          </w:p>
        </w:tc>
        <w:tc>
          <w:tcPr>
            <w:tcW w:w="1866" w:type="dxa"/>
            <w:vAlign w:val="center"/>
          </w:tcPr>
          <w:p>
            <w:pPr>
              <w:jc w:val="center"/>
            </w:pPr>
            <w:r>
              <w:t>0.43</w:t>
            </w:r>
          </w:p>
        </w:tc>
        <w:tc>
          <w:tcPr>
            <w:tcW w:w="1866" w:type="dxa"/>
            <w:vAlign w:val="center"/>
          </w:tcPr>
          <w:p>
            <w:pPr>
              <w:jc w:val="center"/>
            </w:pPr>
            <w:r>
              <w:t>0.10</w:t>
            </w:r>
          </w:p>
        </w:tc>
        <w:tc>
          <w:tcPr>
            <w:tcW w:w="1866" w:type="dxa"/>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0.75</w:t>
            </w:r>
          </w:p>
        </w:tc>
        <w:tc>
          <w:tcPr>
            <w:tcW w:w="1866" w:type="dxa"/>
            <w:vAlign w:val="center"/>
          </w:tcPr>
          <w:p>
            <w:pPr>
              <w:jc w:val="center"/>
            </w:pPr>
            <w:r>
              <w:t>0.53</w:t>
            </w:r>
          </w:p>
        </w:tc>
        <w:tc>
          <w:tcPr>
            <w:tcW w:w="1866" w:type="dxa"/>
            <w:vAlign w:val="center"/>
          </w:tcPr>
          <w:p>
            <w:pPr>
              <w:jc w:val="center"/>
            </w:pPr>
            <w:r>
              <w:t>0.10</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0.89</w:t>
            </w:r>
          </w:p>
        </w:tc>
        <w:tc>
          <w:tcPr>
            <w:tcW w:w="1866" w:type="dxa"/>
            <w:vAlign w:val="center"/>
          </w:tcPr>
          <w:p>
            <w:pPr>
              <w:jc w:val="center"/>
            </w:pPr>
            <w:r>
              <w:t>0.55</w:t>
            </w:r>
          </w:p>
        </w:tc>
        <w:tc>
          <w:tcPr>
            <w:tcW w:w="1866" w:type="dxa"/>
            <w:vAlign w:val="center"/>
          </w:tcPr>
          <w:p>
            <w:pPr>
              <w:jc w:val="center"/>
            </w:pPr>
            <w:r>
              <w:t>0.10</w:t>
            </w:r>
          </w:p>
        </w:tc>
        <w:tc>
          <w:tcPr>
            <w:tcW w:w="1866" w:type="dxa"/>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1.05</w:t>
            </w:r>
          </w:p>
        </w:tc>
        <w:tc>
          <w:tcPr>
            <w:tcW w:w="1866" w:type="dxa"/>
            <w:vAlign w:val="center"/>
          </w:tcPr>
          <w:p>
            <w:pPr>
              <w:jc w:val="center"/>
            </w:pPr>
            <w:r>
              <w:t>0.54</w:t>
            </w:r>
          </w:p>
        </w:tc>
        <w:tc>
          <w:tcPr>
            <w:tcW w:w="1866" w:type="dxa"/>
            <w:vAlign w:val="center"/>
          </w:tcPr>
          <w:p>
            <w:pPr>
              <w:jc w:val="center"/>
            </w:pPr>
            <w:r>
              <w:t>0.10</w:t>
            </w:r>
          </w:p>
        </w:tc>
        <w:tc>
          <w:tcPr>
            <w:tcW w:w="1866" w:type="dxa"/>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1.11</w:t>
            </w:r>
          </w:p>
        </w:tc>
        <w:tc>
          <w:tcPr>
            <w:tcW w:w="1866" w:type="dxa"/>
            <w:vAlign w:val="center"/>
          </w:tcPr>
          <w:p>
            <w:pPr>
              <w:jc w:val="center"/>
            </w:pPr>
            <w:r>
              <w:t>0.50</w:t>
            </w:r>
          </w:p>
        </w:tc>
        <w:tc>
          <w:tcPr>
            <w:tcW w:w="1866" w:type="dxa"/>
            <w:vAlign w:val="center"/>
          </w:tcPr>
          <w:p>
            <w:pPr>
              <w:jc w:val="center"/>
            </w:pPr>
            <w:r>
              <w:t>0.09</w:t>
            </w:r>
          </w:p>
        </w:tc>
        <w:tc>
          <w:tcPr>
            <w:tcW w:w="1866" w:type="dxa"/>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1.03</w:t>
            </w:r>
          </w:p>
        </w:tc>
        <w:tc>
          <w:tcPr>
            <w:tcW w:w="1866" w:type="dxa"/>
            <w:vAlign w:val="center"/>
          </w:tcPr>
          <w:p>
            <w:pPr>
              <w:jc w:val="center"/>
            </w:pPr>
            <w:r>
              <w:t>0.43</w:t>
            </w:r>
          </w:p>
        </w:tc>
        <w:tc>
          <w:tcPr>
            <w:tcW w:w="1866" w:type="dxa"/>
            <w:vAlign w:val="center"/>
          </w:tcPr>
          <w:p>
            <w:pPr>
              <w:jc w:val="center"/>
            </w:pPr>
            <w:r>
              <w:t>0.09</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0.92</w:t>
            </w:r>
          </w:p>
        </w:tc>
        <w:tc>
          <w:tcPr>
            <w:tcW w:w="1866" w:type="dxa"/>
            <w:vAlign w:val="center"/>
          </w:tcPr>
          <w:p>
            <w:pPr>
              <w:jc w:val="center"/>
            </w:pPr>
            <w:r>
              <w:t>0.34</w:t>
            </w:r>
          </w:p>
        </w:tc>
        <w:tc>
          <w:tcPr>
            <w:tcW w:w="1866" w:type="dxa"/>
            <w:vAlign w:val="center"/>
          </w:tcPr>
          <w:p>
            <w:pPr>
              <w:jc w:val="center"/>
            </w:pPr>
            <w:r>
              <w:t>0.06</w:t>
            </w:r>
          </w:p>
        </w:tc>
        <w:tc>
          <w:tcPr>
            <w:tcW w:w="1866" w:type="dxa"/>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0.78</w:t>
            </w:r>
          </w:p>
        </w:tc>
        <w:tc>
          <w:tcPr>
            <w:tcW w:w="1866" w:type="dxa"/>
            <w:vAlign w:val="center"/>
          </w:tcPr>
          <w:p>
            <w:pPr>
              <w:jc w:val="center"/>
            </w:pPr>
            <w:r>
              <w:t>0.29</w:t>
            </w:r>
          </w:p>
        </w:tc>
        <w:tc>
          <w:tcPr>
            <w:tcW w:w="1866" w:type="dxa"/>
            <w:vAlign w:val="center"/>
          </w:tcPr>
          <w:p>
            <w:pPr>
              <w:jc w:val="center"/>
            </w:pPr>
            <w:r>
              <w:t>0.04</w:t>
            </w:r>
          </w:p>
        </w:tc>
        <w:tc>
          <w:tcPr>
            <w:tcW w:w="1866" w:type="dxa"/>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0.60</w:t>
            </w:r>
          </w:p>
        </w:tc>
        <w:tc>
          <w:tcPr>
            <w:tcW w:w="1866" w:type="dxa"/>
            <w:vAlign w:val="center"/>
          </w:tcPr>
          <w:p>
            <w:pPr>
              <w:jc w:val="center"/>
            </w:pPr>
            <w:r>
              <w:t>0.22</w:t>
            </w:r>
          </w:p>
        </w:tc>
        <w:tc>
          <w:tcPr>
            <w:tcW w:w="1866" w:type="dxa"/>
            <w:vAlign w:val="center"/>
          </w:tcPr>
          <w:p>
            <w:pPr>
              <w:jc w:val="center"/>
            </w:pPr>
            <w:r>
              <w:t>0.04</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0.39</w:t>
            </w:r>
          </w:p>
        </w:tc>
        <w:tc>
          <w:tcPr>
            <w:tcW w:w="1866" w:type="dxa"/>
            <w:vAlign w:val="center"/>
          </w:tcPr>
          <w:p>
            <w:pPr>
              <w:jc w:val="center"/>
            </w:pPr>
            <w:r>
              <w:t>0.16</w:t>
            </w:r>
          </w:p>
        </w:tc>
        <w:tc>
          <w:tcPr>
            <w:tcW w:w="1866" w:type="dxa"/>
            <w:vAlign w:val="center"/>
          </w:tcPr>
          <w:p>
            <w:pPr>
              <w:jc w:val="center"/>
            </w:pPr>
            <w:r>
              <w:t>0.02</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0.28</w:t>
            </w:r>
          </w:p>
        </w:tc>
        <w:tc>
          <w:tcPr>
            <w:tcW w:w="1866" w:type="dxa"/>
            <w:vAlign w:val="center"/>
          </w:tcPr>
          <w:p>
            <w:pPr>
              <w:jc w:val="center"/>
            </w:pPr>
            <w:r>
              <w:t>0.12</w:t>
            </w:r>
          </w:p>
        </w:tc>
        <w:tc>
          <w:tcPr>
            <w:tcW w:w="1866" w:type="dxa"/>
            <w:vAlign w:val="center"/>
          </w:tcPr>
          <w:p>
            <w:pPr>
              <w:jc w:val="center"/>
            </w:pPr>
            <w:r>
              <w:t>0.02</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0.01</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0.15</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0.14</w:t>
            </w:r>
          </w:p>
        </w:tc>
        <w:tc>
          <w:tcPr>
            <w:tcW w:w="1866" w:type="dxa"/>
            <w:vAlign w:val="center"/>
          </w:tcPr>
          <w:p>
            <w:pPr>
              <w:jc w:val="center"/>
            </w:pPr>
            <w:r>
              <w:t>0.07</w:t>
            </w:r>
          </w:p>
        </w:tc>
        <w:tc>
          <w:tcPr>
            <w:tcW w:w="1866" w:type="dxa"/>
            <w:vAlign w:val="center"/>
          </w:tcPr>
          <w:p>
            <w:pPr>
              <w:jc w:val="center"/>
            </w:pPr>
            <w:r>
              <w:t>0.00</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0.11</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0.11</w:t>
            </w:r>
          </w:p>
        </w:tc>
        <w:tc>
          <w:tcPr>
            <w:tcW w:w="1866" w:type="dxa"/>
            <w:vAlign w:val="center"/>
          </w:tcPr>
          <w:p>
            <w:pPr>
              <w:jc w:val="center"/>
            </w:pPr>
            <w:r>
              <w:t>0.05</w:t>
            </w:r>
          </w:p>
        </w:tc>
        <w:tc>
          <w:tcPr>
            <w:tcW w:w="1866" w:type="dxa"/>
            <w:vAlign w:val="center"/>
          </w:tcPr>
          <w:p>
            <w:pPr>
              <w:jc w:val="center"/>
            </w:pPr>
            <w:r>
              <w:t>0.00</w:t>
            </w:r>
          </w:p>
        </w:tc>
        <w:tc>
          <w:tcPr>
            <w:tcW w:w="1866" w:type="dxa"/>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10.06</w:t>
            </w:r>
          </w:p>
        </w:tc>
        <w:tc>
          <w:tcPr>
            <w:tcW w:w="1866" w:type="dxa"/>
            <w:vAlign w:val="center"/>
          </w:tcPr>
          <w:p>
            <w:pPr>
              <w:jc w:val="center"/>
            </w:pPr>
            <w:r>
              <w:t>6.03</w:t>
            </w:r>
          </w:p>
        </w:tc>
        <w:tc>
          <w:tcPr>
            <w:tcW w:w="1866" w:type="dxa"/>
            <w:vAlign w:val="center"/>
          </w:tcPr>
          <w:p>
            <w:pPr>
              <w:jc w:val="center"/>
            </w:pPr>
            <w:r>
              <w:t>1.30</w:t>
            </w:r>
          </w:p>
        </w:tc>
        <w:tc>
          <w:tcPr>
            <w:tcW w:w="1866" w:type="dxa"/>
            <w:vAlign w:val="center"/>
          </w:tcPr>
          <w:p>
            <w:pPr>
              <w:jc w:val="center"/>
            </w:pPr>
            <w:r>
              <w:t>4.80</w:t>
            </w:r>
          </w:p>
        </w:tc>
      </w:tr>
    </w:tbl>
    <w:p>
      <w:pPr>
        <w:pStyle w:val="3"/>
        <w:ind w:firstLine="0" w:firstLineChars="0"/>
        <w:rPr>
          <w:lang w:val="en-US"/>
        </w:rPr>
      </w:pPr>
      <w:bookmarkStart w:id="33" w:name="蒸发量参数"/>
      <w:bookmarkEnd w:id="33"/>
    </w:p>
    <w:p>
      <w:pPr>
        <w:pStyle w:val="2"/>
      </w:pPr>
      <w:bookmarkStart w:id="34" w:name="_Toc16494775"/>
      <w:r>
        <w:rPr>
          <w:rFonts w:hint="eastAsia"/>
        </w:rPr>
        <w:t>住区指标概览</w:t>
      </w:r>
      <w:bookmarkEnd w:id="34"/>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685168.41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663740.22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18384.60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7681.33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2636.86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3081.75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8.11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4</w:t>
            </w:r>
          </w:p>
        </w:tc>
      </w:tr>
    </w:tbl>
    <w:p>
      <w:pPr>
        <w:pStyle w:val="3"/>
        <w:ind w:firstLine="420"/>
        <w:rPr>
          <w:lang w:val="en-US"/>
        </w:rPr>
      </w:pPr>
      <w:bookmarkStart w:id="35" w:name="住区指标概览"/>
      <w:bookmarkEnd w:id="35"/>
    </w:p>
    <w:p>
      <w:pPr>
        <w:pStyle w:val="2"/>
      </w:pPr>
      <w:bookmarkStart w:id="36" w:name="_Toc16494776"/>
      <w:r>
        <w:rPr>
          <w:rFonts w:hint="eastAsia"/>
        </w:rPr>
        <w:t>规定性设计指标</w:t>
      </w:r>
      <w:bookmarkEnd w:id="36"/>
    </w:p>
    <w:p>
      <w:pPr>
        <w:pStyle w:val="4"/>
      </w:pPr>
      <w:bookmarkStart w:id="37" w:name="_Toc16494777"/>
      <w:r>
        <w:rPr>
          <w:rFonts w:hint="eastAsia"/>
        </w:rPr>
        <w:t>平均迎风面积比</w:t>
      </w:r>
      <w:bookmarkEnd w:id="37"/>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迎风面积(㎡)</w:t>
            </w:r>
          </w:p>
        </w:tc>
        <w:tc>
          <w:tcPr>
            <w:tcW w:w="1866" w:type="dxa"/>
            <w:shd w:val="clear" w:color="auto" w:fill="E6E6E6"/>
            <w:vAlign w:val="center"/>
          </w:tcPr>
          <w:p>
            <w:pPr>
              <w:jc w:val="center"/>
            </w:pPr>
            <w:r>
              <w:t>最大可能</w:t>
            </w:r>
            <w:r>
              <w:br w:type="textWrapping"/>
            </w:r>
            <w:r>
              <w:t>迎风面积(㎡)</w:t>
            </w:r>
          </w:p>
        </w:tc>
        <w:tc>
          <w:tcPr>
            <w:tcW w:w="1866" w:type="dxa"/>
            <w:shd w:val="clear" w:color="auto" w:fill="E6E6E6"/>
            <w:vAlign w:val="center"/>
          </w:tcPr>
          <w:p>
            <w:pPr>
              <w:jc w:val="center"/>
            </w:pPr>
            <w:r>
              <w:t>最大可能</w:t>
            </w:r>
            <w:r>
              <w:br w:type="textWrapping"/>
            </w:r>
            <w:r>
              <w:t>迎风方向(°)</w:t>
            </w:r>
          </w:p>
        </w:tc>
        <w:tc>
          <w:tcPr>
            <w:tcW w:w="1866" w:type="dxa"/>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a</w:t>
            </w:r>
          </w:p>
        </w:tc>
        <w:tc>
          <w:tcPr>
            <w:tcW w:w="1866" w:type="dxa"/>
            <w:vAlign w:val="center"/>
          </w:tcPr>
          <w:p>
            <w:pPr>
              <w:rPr>
                <w:rFonts w:hint="default" w:eastAsia="宋体"/>
                <w:lang w:val="en-US" w:eastAsia="zh-CN"/>
              </w:rPr>
            </w:pPr>
            <w:r>
              <w:rPr>
                <w:rFonts w:hint="eastAsia"/>
                <w:lang w:val="en-US" w:eastAsia="zh-CN"/>
              </w:rPr>
              <w:t>4862.22</w:t>
            </w:r>
          </w:p>
        </w:tc>
        <w:tc>
          <w:tcPr>
            <w:tcW w:w="1866" w:type="dxa"/>
            <w:vAlign w:val="center"/>
          </w:tcPr>
          <w:p>
            <w:r>
              <w:t>7029.14</w:t>
            </w:r>
          </w:p>
        </w:tc>
        <w:tc>
          <w:tcPr>
            <w:tcW w:w="1866" w:type="dxa"/>
            <w:vAlign w:val="center"/>
          </w:tcPr>
          <w:p>
            <w:r>
              <w:t>30.00</w:t>
            </w:r>
          </w:p>
        </w:tc>
        <w:tc>
          <w:tcPr>
            <w:tcW w:w="1866" w:type="dxa"/>
            <w:vAlign w:val="center"/>
          </w:tcPr>
          <w:p>
            <w:pPr>
              <w:rPr>
                <w:rFonts w:hint="default" w:eastAsia="宋体"/>
                <w:lang w:val="en-US" w:eastAsia="zh-CN"/>
              </w:rPr>
            </w:pPr>
            <w:r>
              <w:t>0.</w:t>
            </w:r>
            <w:r>
              <w:rPr>
                <w:rFonts w:hint="eastAsia"/>
                <w:lang w:val="en-US" w:eastAsia="zh-CN"/>
              </w:rPr>
              <w:t>6917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1</w:t>
            </w:r>
          </w:p>
        </w:tc>
        <w:tc>
          <w:tcPr>
            <w:tcW w:w="1866" w:type="dxa"/>
            <w:vAlign w:val="center"/>
          </w:tcPr>
          <w:p>
            <w:r>
              <w:t>2460.94</w:t>
            </w:r>
          </w:p>
        </w:tc>
        <w:tc>
          <w:tcPr>
            <w:tcW w:w="1866" w:type="dxa"/>
            <w:vAlign w:val="center"/>
          </w:tcPr>
          <w:p>
            <w:r>
              <w:t>2787.17</w:t>
            </w:r>
          </w:p>
        </w:tc>
        <w:tc>
          <w:tcPr>
            <w:tcW w:w="1866" w:type="dxa"/>
            <w:vAlign w:val="center"/>
          </w:tcPr>
          <w:p>
            <w:r>
              <w:t>30.00</w:t>
            </w:r>
          </w:p>
        </w:tc>
        <w:tc>
          <w:tcPr>
            <w:tcW w:w="1866" w:type="dxa"/>
            <w:vAlign w:val="center"/>
          </w:tcPr>
          <w:p>
            <w:pPr>
              <w:rPr>
                <w:rFonts w:hint="default" w:eastAsia="宋体"/>
                <w:lang w:val="en-US" w:eastAsia="zh-CN"/>
              </w:rPr>
            </w:pPr>
            <w:r>
              <w:t>0.</w:t>
            </w:r>
            <w:r>
              <w:rPr>
                <w:rFonts w:hint="eastAsia"/>
                <w:lang w:val="en-US" w:eastAsia="zh-CN"/>
              </w:rPr>
              <w:t>4968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2</w:t>
            </w:r>
          </w:p>
        </w:tc>
        <w:tc>
          <w:tcPr>
            <w:tcW w:w="1866" w:type="dxa"/>
            <w:vAlign w:val="center"/>
          </w:tcPr>
          <w:p>
            <w:pPr>
              <w:rPr>
                <w:rFonts w:hint="default" w:eastAsia="宋体"/>
                <w:lang w:val="en-US" w:eastAsia="zh-CN"/>
              </w:rPr>
            </w:pPr>
            <w:r>
              <w:rPr>
                <w:rFonts w:hint="eastAsia"/>
                <w:lang w:val="en-US" w:eastAsia="zh-CN"/>
              </w:rPr>
              <w:t>4859.69</w:t>
            </w:r>
          </w:p>
        </w:tc>
        <w:tc>
          <w:tcPr>
            <w:tcW w:w="1866" w:type="dxa"/>
            <w:vAlign w:val="center"/>
          </w:tcPr>
          <w:p>
            <w:r>
              <w:t>7554.19</w:t>
            </w:r>
          </w:p>
        </w:tc>
        <w:tc>
          <w:tcPr>
            <w:tcW w:w="1866" w:type="dxa"/>
            <w:vAlign w:val="center"/>
          </w:tcPr>
          <w:p>
            <w:r>
              <w:t>30.00</w:t>
            </w:r>
          </w:p>
        </w:tc>
        <w:tc>
          <w:tcPr>
            <w:tcW w:w="1866" w:type="dxa"/>
            <w:vAlign w:val="center"/>
          </w:tcPr>
          <w:p>
            <w:pPr>
              <w:rPr>
                <w:rFonts w:hint="default" w:eastAsia="宋体"/>
                <w:lang w:val="en-US" w:eastAsia="zh-CN"/>
              </w:rPr>
            </w:pPr>
            <w:r>
              <w:t>0.</w:t>
            </w:r>
            <w:r>
              <w:rPr>
                <w:rFonts w:hint="eastAsia"/>
                <w:lang w:val="en-US" w:eastAsia="zh-CN"/>
              </w:rPr>
              <w:t>6433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3</w:t>
            </w:r>
          </w:p>
        </w:tc>
        <w:tc>
          <w:tcPr>
            <w:tcW w:w="1866" w:type="dxa"/>
            <w:vAlign w:val="center"/>
          </w:tcPr>
          <w:p>
            <w:pPr>
              <w:rPr>
                <w:rFonts w:hint="default" w:eastAsia="宋体"/>
                <w:lang w:val="en-US" w:eastAsia="zh-CN"/>
              </w:rPr>
            </w:pPr>
            <w:r>
              <w:rPr>
                <w:rFonts w:hint="eastAsia"/>
                <w:lang w:val="en-US" w:eastAsia="zh-CN"/>
              </w:rPr>
              <w:t>8547.84</w:t>
            </w:r>
          </w:p>
        </w:tc>
        <w:tc>
          <w:tcPr>
            <w:tcW w:w="1866" w:type="dxa"/>
            <w:vAlign w:val="center"/>
          </w:tcPr>
          <w:p>
            <w:r>
              <w:t>12142.41</w:t>
            </w:r>
          </w:p>
        </w:tc>
        <w:tc>
          <w:tcPr>
            <w:tcW w:w="1866" w:type="dxa"/>
            <w:vAlign w:val="center"/>
          </w:tcPr>
          <w:p>
            <w:r>
              <w:t>50.00</w:t>
            </w:r>
          </w:p>
        </w:tc>
        <w:tc>
          <w:tcPr>
            <w:tcW w:w="1866" w:type="dxa"/>
            <w:vAlign w:val="center"/>
          </w:tcPr>
          <w:p>
            <w:pPr>
              <w:rPr>
                <w:rFonts w:hint="default" w:eastAsia="宋体"/>
                <w:lang w:val="en-US" w:eastAsia="zh-CN"/>
              </w:rPr>
            </w:pPr>
            <w:r>
              <w:t>0.</w:t>
            </w:r>
            <w:r>
              <w:rPr>
                <w:rFonts w:hint="eastAsia"/>
                <w:lang w:val="en-US" w:eastAsia="zh-CN"/>
              </w:rPr>
              <w:t>7040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4</w:t>
            </w:r>
          </w:p>
        </w:tc>
        <w:tc>
          <w:tcPr>
            <w:tcW w:w="1866" w:type="dxa"/>
            <w:vAlign w:val="center"/>
          </w:tcPr>
          <w:p>
            <w:pPr>
              <w:rPr>
                <w:rFonts w:hint="default" w:eastAsia="宋体"/>
                <w:lang w:val="en-US" w:eastAsia="zh-CN"/>
              </w:rPr>
            </w:pPr>
            <w:r>
              <w:rPr>
                <w:rFonts w:hint="eastAsia"/>
                <w:lang w:val="en-US" w:eastAsia="zh-CN"/>
              </w:rPr>
              <w:t>5594.36</w:t>
            </w:r>
          </w:p>
        </w:tc>
        <w:tc>
          <w:tcPr>
            <w:tcW w:w="1866" w:type="dxa"/>
            <w:vAlign w:val="center"/>
          </w:tcPr>
          <w:p>
            <w:r>
              <w:t>8082.39</w:t>
            </w:r>
          </w:p>
        </w:tc>
        <w:tc>
          <w:tcPr>
            <w:tcW w:w="1866" w:type="dxa"/>
            <w:vAlign w:val="center"/>
          </w:tcPr>
          <w:p>
            <w:r>
              <w:t>120.00</w:t>
            </w:r>
          </w:p>
        </w:tc>
        <w:tc>
          <w:tcPr>
            <w:tcW w:w="1866" w:type="dxa"/>
            <w:vAlign w:val="center"/>
          </w:tcPr>
          <w:p>
            <w:pPr>
              <w:rPr>
                <w:rFonts w:hint="default" w:eastAsia="宋体"/>
                <w:lang w:val="en-US" w:eastAsia="zh-CN"/>
              </w:rPr>
            </w:pPr>
            <w:r>
              <w:t>0.</w:t>
            </w:r>
            <w:r>
              <w:rPr>
                <w:rFonts w:hint="eastAsia"/>
                <w:lang w:val="en-US" w:eastAsia="zh-CN"/>
              </w:rPr>
              <w:t>6922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5</w:t>
            </w:r>
          </w:p>
        </w:tc>
        <w:tc>
          <w:tcPr>
            <w:tcW w:w="1866" w:type="dxa"/>
            <w:vAlign w:val="center"/>
          </w:tcPr>
          <w:p>
            <w:pPr>
              <w:rPr>
                <w:rFonts w:hint="default" w:eastAsia="宋体"/>
                <w:lang w:val="en-US" w:eastAsia="zh-CN"/>
              </w:rPr>
            </w:pPr>
            <w:r>
              <w:rPr>
                <w:rFonts w:hint="eastAsia"/>
                <w:lang w:val="en-US" w:eastAsia="zh-CN"/>
              </w:rPr>
              <w:t>4468.61</w:t>
            </w:r>
          </w:p>
        </w:tc>
        <w:tc>
          <w:tcPr>
            <w:tcW w:w="1866" w:type="dxa"/>
            <w:vAlign w:val="center"/>
          </w:tcPr>
          <w:p>
            <w:r>
              <w:t>5626.51</w:t>
            </w:r>
          </w:p>
        </w:tc>
        <w:tc>
          <w:tcPr>
            <w:tcW w:w="1866" w:type="dxa"/>
            <w:vAlign w:val="center"/>
          </w:tcPr>
          <w:p>
            <w:r>
              <w:t>120.00</w:t>
            </w:r>
          </w:p>
        </w:tc>
        <w:tc>
          <w:tcPr>
            <w:tcW w:w="1866" w:type="dxa"/>
            <w:vAlign w:val="center"/>
          </w:tcPr>
          <w:p>
            <w:pPr>
              <w:rPr>
                <w:rFonts w:hint="default" w:eastAsia="宋体"/>
                <w:lang w:val="en-US" w:eastAsia="zh-CN"/>
              </w:rPr>
            </w:pPr>
            <w:r>
              <w:t>0.</w:t>
            </w:r>
            <w:r>
              <w:rPr>
                <w:rFonts w:hint="eastAsia"/>
                <w:lang w:val="en-US" w:eastAsia="zh-CN"/>
              </w:rPr>
              <w:t>7942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6</w:t>
            </w:r>
          </w:p>
        </w:tc>
        <w:tc>
          <w:tcPr>
            <w:tcW w:w="1866" w:type="dxa"/>
            <w:vAlign w:val="center"/>
          </w:tcPr>
          <w:p>
            <w:pPr>
              <w:rPr>
                <w:rFonts w:hint="default" w:eastAsia="宋体"/>
                <w:lang w:val="en-US" w:eastAsia="zh-CN"/>
              </w:rPr>
            </w:pPr>
            <w:r>
              <w:rPr>
                <w:rFonts w:hint="eastAsia"/>
                <w:lang w:val="en-US" w:eastAsia="zh-CN"/>
              </w:rPr>
              <w:t>4200.84</w:t>
            </w:r>
          </w:p>
        </w:tc>
        <w:tc>
          <w:tcPr>
            <w:tcW w:w="1866" w:type="dxa"/>
            <w:vAlign w:val="center"/>
          </w:tcPr>
          <w:p>
            <w:r>
              <w:t>5723.50</w:t>
            </w:r>
          </w:p>
        </w:tc>
        <w:tc>
          <w:tcPr>
            <w:tcW w:w="1866" w:type="dxa"/>
            <w:vAlign w:val="center"/>
          </w:tcPr>
          <w:p>
            <w:r>
              <w:t>40.00</w:t>
            </w:r>
          </w:p>
        </w:tc>
        <w:tc>
          <w:tcPr>
            <w:tcW w:w="1866" w:type="dxa"/>
            <w:vAlign w:val="center"/>
          </w:tcPr>
          <w:p>
            <w:pPr>
              <w:rPr>
                <w:rFonts w:hint="default" w:eastAsia="宋体"/>
                <w:lang w:val="en-US" w:eastAsia="zh-CN"/>
              </w:rPr>
            </w:pPr>
            <w:r>
              <w:t>0.</w:t>
            </w:r>
            <w:r>
              <w:rPr>
                <w:rFonts w:hint="eastAsia"/>
                <w:lang w:val="en-US" w:eastAsia="zh-CN"/>
              </w:rPr>
              <w:t>7340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7</w:t>
            </w:r>
          </w:p>
        </w:tc>
        <w:tc>
          <w:tcPr>
            <w:tcW w:w="1866" w:type="dxa"/>
            <w:vAlign w:val="center"/>
          </w:tcPr>
          <w:p>
            <w:pPr>
              <w:rPr>
                <w:rFonts w:hint="default" w:eastAsia="宋体"/>
                <w:lang w:val="en-US" w:eastAsia="zh-CN"/>
              </w:rPr>
            </w:pPr>
            <w:r>
              <w:rPr>
                <w:rFonts w:hint="eastAsia"/>
                <w:lang w:val="en-US" w:eastAsia="zh-CN"/>
              </w:rPr>
              <w:t>5684.94</w:t>
            </w:r>
          </w:p>
        </w:tc>
        <w:tc>
          <w:tcPr>
            <w:tcW w:w="1866" w:type="dxa"/>
            <w:vAlign w:val="center"/>
          </w:tcPr>
          <w:p>
            <w:r>
              <w:t>7647.05</w:t>
            </w:r>
          </w:p>
        </w:tc>
        <w:tc>
          <w:tcPr>
            <w:tcW w:w="1866" w:type="dxa"/>
            <w:vAlign w:val="center"/>
          </w:tcPr>
          <w:p>
            <w:r>
              <w:t>40.00</w:t>
            </w:r>
          </w:p>
        </w:tc>
        <w:tc>
          <w:tcPr>
            <w:tcW w:w="1866" w:type="dxa"/>
            <w:vAlign w:val="center"/>
          </w:tcPr>
          <w:p>
            <w:pPr>
              <w:rPr>
                <w:rFonts w:hint="default" w:eastAsia="宋体"/>
                <w:lang w:val="en-US" w:eastAsia="zh-CN"/>
              </w:rPr>
            </w:pPr>
            <w:r>
              <w:t>0.</w:t>
            </w:r>
            <w:r>
              <w:rPr>
                <w:rFonts w:hint="eastAsia"/>
                <w:lang w:val="en-US" w:eastAsia="zh-CN"/>
              </w:rPr>
              <w:t>7434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8</w:t>
            </w:r>
          </w:p>
        </w:tc>
        <w:tc>
          <w:tcPr>
            <w:tcW w:w="1866" w:type="dxa"/>
            <w:vAlign w:val="center"/>
          </w:tcPr>
          <w:p>
            <w:pPr>
              <w:rPr>
                <w:rFonts w:hint="default" w:eastAsia="宋体"/>
                <w:lang w:val="en-US" w:eastAsia="zh-CN"/>
              </w:rPr>
            </w:pPr>
            <w:r>
              <w:rPr>
                <w:rFonts w:hint="eastAsia"/>
                <w:lang w:val="en-US" w:eastAsia="zh-CN"/>
              </w:rPr>
              <w:t>7684.43</w:t>
            </w:r>
          </w:p>
        </w:tc>
        <w:tc>
          <w:tcPr>
            <w:tcW w:w="1866" w:type="dxa"/>
            <w:vAlign w:val="center"/>
          </w:tcPr>
          <w:p>
            <w:r>
              <w:t>10068.98</w:t>
            </w:r>
          </w:p>
        </w:tc>
        <w:tc>
          <w:tcPr>
            <w:tcW w:w="1866" w:type="dxa"/>
            <w:vAlign w:val="center"/>
          </w:tcPr>
          <w:p>
            <w:r>
              <w:t>40.00</w:t>
            </w:r>
          </w:p>
        </w:tc>
        <w:tc>
          <w:tcPr>
            <w:tcW w:w="1866" w:type="dxa"/>
            <w:vAlign w:val="center"/>
          </w:tcPr>
          <w:p>
            <w:pPr>
              <w:rPr>
                <w:rFonts w:hint="default" w:eastAsia="宋体"/>
                <w:lang w:val="en-US" w:eastAsia="zh-CN"/>
              </w:rPr>
            </w:pPr>
            <w:r>
              <w:t>0.</w:t>
            </w:r>
            <w:r>
              <w:rPr>
                <w:rFonts w:hint="eastAsia"/>
                <w:lang w:val="en-US" w:eastAsia="zh-CN"/>
              </w:rPr>
              <w:t>7632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9</w:t>
            </w:r>
          </w:p>
        </w:tc>
        <w:tc>
          <w:tcPr>
            <w:tcW w:w="1866" w:type="dxa"/>
            <w:vAlign w:val="center"/>
          </w:tcPr>
          <w:p>
            <w:pPr>
              <w:rPr>
                <w:rFonts w:hint="default" w:eastAsia="宋体"/>
                <w:lang w:val="en-US" w:eastAsia="zh-CN"/>
              </w:rPr>
            </w:pPr>
            <w:r>
              <w:rPr>
                <w:rFonts w:hint="eastAsia"/>
                <w:lang w:val="en-US" w:eastAsia="zh-CN"/>
              </w:rPr>
              <w:t>3945.61</w:t>
            </w:r>
          </w:p>
        </w:tc>
        <w:tc>
          <w:tcPr>
            <w:tcW w:w="1866" w:type="dxa"/>
            <w:vAlign w:val="center"/>
          </w:tcPr>
          <w:p>
            <w:r>
              <w:t>5960.49</w:t>
            </w:r>
          </w:p>
        </w:tc>
        <w:tc>
          <w:tcPr>
            <w:tcW w:w="1866" w:type="dxa"/>
            <w:vAlign w:val="center"/>
          </w:tcPr>
          <w:p>
            <w:r>
              <w:t>110.00</w:t>
            </w:r>
          </w:p>
        </w:tc>
        <w:tc>
          <w:tcPr>
            <w:tcW w:w="1866" w:type="dxa"/>
            <w:vAlign w:val="center"/>
          </w:tcPr>
          <w:p>
            <w:pPr>
              <w:rPr>
                <w:rFonts w:hint="default" w:eastAsia="宋体"/>
                <w:lang w:val="en-US" w:eastAsia="zh-CN"/>
              </w:rPr>
            </w:pPr>
            <w:r>
              <w:t>0.</w:t>
            </w:r>
            <w:r>
              <w:rPr>
                <w:rFonts w:hint="eastAsia"/>
                <w:lang w:val="en-US" w:eastAsia="zh-CN"/>
              </w:rPr>
              <w:t>6620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80" w:hRule="atLeast"/>
        </w:trPr>
        <w:tc>
          <w:tcPr>
            <w:tcW w:w="1866" w:type="dxa"/>
            <w:shd w:val="clear" w:color="auto" w:fill="E6E6E6"/>
            <w:vAlign w:val="center"/>
          </w:tcPr>
          <w:p>
            <w:r>
              <w:t>平均迎风面积比</w:t>
            </w:r>
          </w:p>
        </w:tc>
        <w:tc>
          <w:tcPr>
            <w:tcW w:w="7464" w:type="dxa"/>
            <w:gridSpan w:val="4"/>
            <w:vAlign w:val="center"/>
          </w:tcPr>
          <w:p>
            <w:pPr>
              <w:rPr>
                <w:rFonts w:hint="default" w:eastAsia="宋体"/>
                <w:lang w:val="en-US" w:eastAsia="zh-CN"/>
              </w:rPr>
            </w:pPr>
            <w:r>
              <w:rPr>
                <w:rFonts w:hint="eastAsia"/>
                <w:b/>
                <w:color w:val="000000" w:themeColor="text1"/>
                <w:lang w:val="en-US" w:eastAsia="zh-CN"/>
                <w14:textFill>
                  <w14:solidFill>
                    <w14:schemeClr w14:val="tx1"/>
                  </w14:solidFill>
                </w14:textFill>
              </w:rPr>
              <w:t>0.769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平均迎风面积比≤0.80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color w:val="000000" w:themeColor="text1"/>
                <w14:textFill>
                  <w14:solidFill>
                    <w14:schemeClr w14:val="tx1"/>
                  </w14:solidFill>
                </w14:textFill>
              </w:rPr>
              <w:t>满足</w:t>
            </w:r>
          </w:p>
        </w:tc>
      </w:tr>
    </w:tbl>
    <w:p>
      <w:pPr>
        <w:pStyle w:val="3"/>
        <w:ind w:firstLine="420"/>
        <w:rPr>
          <w:lang w:val="en-US"/>
        </w:rPr>
      </w:pPr>
      <w:bookmarkStart w:id="38" w:name="平均迎风面积比"/>
      <w:bookmarkEnd w:id="38"/>
    </w:p>
    <w:p>
      <w:pPr>
        <w:pStyle w:val="4"/>
      </w:pPr>
      <w:bookmarkStart w:id="39" w:name="_Toc16494778"/>
      <w:r>
        <w:rPr>
          <w:rFonts w:hint="eastAsia"/>
        </w:rPr>
        <w:t>活动场地遮阳覆盖率</w:t>
      </w:r>
      <w:bookmarkEnd w:id="3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场地</w:t>
            </w:r>
          </w:p>
        </w:tc>
        <w:tc>
          <w:tcPr>
            <w:tcW w:w="1866" w:type="dxa"/>
            <w:shd w:val="clear" w:color="auto" w:fill="E6E6E6"/>
            <w:vAlign w:val="center"/>
          </w:tcPr>
          <w:p>
            <w:pPr>
              <w:jc w:val="center"/>
            </w:pPr>
            <w:r>
              <w:t>遮阳面积(㎡)</w:t>
            </w:r>
          </w:p>
        </w:tc>
        <w:tc>
          <w:tcPr>
            <w:tcW w:w="1866" w:type="dxa"/>
            <w:shd w:val="clear" w:color="auto" w:fill="E6E6E6"/>
            <w:vAlign w:val="center"/>
          </w:tcPr>
          <w:p>
            <w:pPr>
              <w:jc w:val="center"/>
            </w:pPr>
            <w:r>
              <w:t>场地面积(㎡)</w:t>
            </w:r>
          </w:p>
        </w:tc>
        <w:tc>
          <w:tcPr>
            <w:tcW w:w="1866" w:type="dxa"/>
            <w:shd w:val="clear" w:color="auto" w:fill="E6E6E6"/>
            <w:vAlign w:val="center"/>
          </w:tcPr>
          <w:p>
            <w:pPr>
              <w:jc w:val="center"/>
            </w:pPr>
            <w:r>
              <w:t>遮阳覆盖率(%)</w:t>
            </w:r>
          </w:p>
        </w:tc>
        <w:tc>
          <w:tcPr>
            <w:tcW w:w="1866" w:type="dxa"/>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人行道</w:t>
            </w:r>
          </w:p>
        </w:tc>
        <w:tc>
          <w:tcPr>
            <w:tcW w:w="1866" w:type="dxa"/>
            <w:vAlign w:val="center"/>
          </w:tcPr>
          <w:p>
            <w:r>
              <w:t>0.0</w:t>
            </w:r>
          </w:p>
        </w:tc>
        <w:tc>
          <w:tcPr>
            <w:tcW w:w="1866" w:type="dxa"/>
            <w:vAlign w:val="center"/>
          </w:tcPr>
          <w:p>
            <w:r>
              <w:t>18384.6</w:t>
            </w:r>
          </w:p>
        </w:tc>
        <w:tc>
          <w:tcPr>
            <w:tcW w:w="1866" w:type="dxa"/>
            <w:vAlign w:val="center"/>
          </w:tcPr>
          <w:p>
            <w:pPr>
              <w:rPr>
                <w:rFonts w:hint="default" w:eastAsia="宋体"/>
                <w:lang w:val="en-US" w:eastAsia="zh-CN"/>
              </w:rPr>
            </w:pPr>
            <w:r>
              <w:rPr>
                <w:rFonts w:hint="eastAsia"/>
                <w:color w:val="000000" w:themeColor="text1"/>
                <w:lang w:val="en-US" w:eastAsia="zh-CN"/>
                <w14:textFill>
                  <w14:solidFill>
                    <w14:schemeClr w14:val="tx1"/>
                  </w14:solidFill>
                </w14:textFill>
              </w:rPr>
              <w:t>34</w:t>
            </w:r>
          </w:p>
        </w:tc>
        <w:tc>
          <w:tcPr>
            <w:tcW w:w="1866" w:type="dxa"/>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color w:val="000000" w:themeColor="text1"/>
                <w14:textFill>
                  <w14:solidFill>
                    <w14:schemeClr w14:val="tx1"/>
                  </w14:solidFill>
                </w14:textFill>
              </w:rPr>
              <w:t>满足</w:t>
            </w:r>
          </w:p>
        </w:tc>
      </w:tr>
    </w:tbl>
    <w:p>
      <w:pPr>
        <w:pStyle w:val="3"/>
        <w:ind w:firstLine="420"/>
        <w:rPr>
          <w:lang w:val="en-US"/>
        </w:rPr>
      </w:pPr>
      <w:bookmarkStart w:id="40" w:name="活动场地遮阳覆盖率"/>
      <w:bookmarkEnd w:id="40"/>
    </w:p>
    <w:p>
      <w:pPr>
        <w:pStyle w:val="4"/>
      </w:pPr>
      <w:bookmarkStart w:id="41" w:name="_Toc16494779"/>
      <w:r>
        <w:rPr>
          <w:rFonts w:hint="eastAsia"/>
        </w:rPr>
        <w:t>底层通风架空率</w:t>
      </w:r>
      <w:bookmarkEnd w:id="4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底层架空面积(㎡)</w:t>
            </w:r>
          </w:p>
        </w:tc>
        <w:tc>
          <w:tcPr>
            <w:tcW w:w="1867" w:type="dxa"/>
            <w:shd w:val="clear" w:color="auto" w:fill="E6E6E6"/>
            <w:vAlign w:val="center"/>
          </w:tcPr>
          <w:p>
            <w:pPr>
              <w:jc w:val="center"/>
            </w:pPr>
            <w:r>
              <w:t>基底面积(㎡)</w:t>
            </w:r>
          </w:p>
        </w:tc>
        <w:tc>
          <w:tcPr>
            <w:tcW w:w="1867" w:type="dxa"/>
            <w:shd w:val="clear" w:color="auto" w:fill="E6E6E6"/>
            <w:vAlign w:val="center"/>
          </w:tcPr>
          <w:p>
            <w:pPr>
              <w:jc w:val="center"/>
            </w:pPr>
            <w:r>
              <w:t>迎风面宽度(m)</w:t>
            </w:r>
          </w:p>
        </w:tc>
        <w:tc>
          <w:tcPr>
            <w:tcW w:w="1867" w:type="dxa"/>
            <w:shd w:val="clear" w:color="auto" w:fill="E6E6E6"/>
            <w:vAlign w:val="center"/>
          </w:tcPr>
          <w:p>
            <w:pPr>
              <w:jc w:val="center"/>
            </w:pPr>
            <w:r>
              <w:t>底层通风架空率(%)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tc>
        <w:tc>
          <w:tcPr>
            <w:tcW w:w="1866" w:type="dxa"/>
            <w:vAlign w:val="center"/>
          </w:tcPr>
          <w:p>
            <w:r>
              <w:rPr>
                <w:rFonts w:hint="eastAsia"/>
                <w:lang w:val="en-US" w:eastAsia="zh-CN"/>
              </w:rPr>
              <w:t>242</w:t>
            </w:r>
            <w:r>
              <w:t>.0</w:t>
            </w:r>
          </w:p>
        </w:tc>
        <w:tc>
          <w:tcPr>
            <w:tcW w:w="1867" w:type="dxa"/>
            <w:vAlign w:val="center"/>
          </w:tcPr>
          <w:p>
            <w:r>
              <w:rPr>
                <w:rFonts w:hint="eastAsia"/>
                <w:lang w:val="en-US" w:eastAsia="zh-CN"/>
              </w:rPr>
              <w:t>2350</w:t>
            </w:r>
            <w:r>
              <w:t>.0</w:t>
            </w:r>
          </w:p>
        </w:tc>
        <w:tc>
          <w:tcPr>
            <w:tcW w:w="1867" w:type="dxa"/>
            <w:vAlign w:val="center"/>
          </w:tcPr>
          <w:p>
            <w:r>
              <w:t>274.4</w:t>
            </w:r>
          </w:p>
        </w:tc>
        <w:tc>
          <w:tcPr>
            <w:tcW w:w="1867" w:type="dxa"/>
            <w:vAlign w:val="center"/>
          </w:tcPr>
          <w:p>
            <w:pPr>
              <w:rPr>
                <w:rFonts w:hint="default" w:eastAsia="宋体"/>
                <w:lang w:val="en-US" w:eastAsia="zh-CN"/>
              </w:rPr>
            </w:pPr>
            <w:r>
              <w:rPr>
                <w:rFonts w:hint="eastAsia"/>
                <w:color w:val="000000" w:themeColor="text1"/>
                <w:lang w:val="en-US" w:eastAsia="zh-CN"/>
                <w14:textFill>
                  <w14:solidFill>
                    <w14:schemeClr w14:val="tx1"/>
                  </w14:solidFill>
                </w14:textFill>
              </w:rPr>
              <w:t>10.3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a</w:t>
            </w:r>
          </w:p>
        </w:tc>
        <w:tc>
          <w:tcPr>
            <w:tcW w:w="1866" w:type="dxa"/>
            <w:vAlign w:val="center"/>
          </w:tcPr>
          <w:p>
            <w:r>
              <w:t>2712.6</w:t>
            </w:r>
          </w:p>
        </w:tc>
        <w:tc>
          <w:tcPr>
            <w:tcW w:w="1867" w:type="dxa"/>
            <w:vAlign w:val="center"/>
          </w:tcPr>
          <w:p>
            <w:r>
              <w:t>6705.5</w:t>
            </w:r>
          </w:p>
        </w:tc>
        <w:tc>
          <w:tcPr>
            <w:tcW w:w="1867" w:type="dxa"/>
            <w:vAlign w:val="center"/>
          </w:tcPr>
          <w:p>
            <w:r>
              <w:t>128.8</w:t>
            </w:r>
          </w:p>
        </w:tc>
        <w:tc>
          <w:tcPr>
            <w:tcW w:w="1867" w:type="dxa"/>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7" w:type="dxa"/>
            <w:gridSpan w:val="4"/>
            <w:vAlign w:val="center"/>
          </w:tcPr>
          <w:p>
            <w:r>
              <w:t>《城市居住区热环境设计标准》4.1.4条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7" w:type="dxa"/>
            <w:gridSpan w:val="4"/>
            <w:vAlign w:val="center"/>
          </w:tcPr>
          <w:p>
            <w:r>
              <w:t>III、IV、V气候区，夏季主导风向迎风面积宽度超过80m时，底层通风架空率不应小于10%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7" w:type="dxa"/>
            <w:gridSpan w:val="4"/>
            <w:vAlign w:val="center"/>
          </w:tcPr>
          <w:p>
            <w:r>
              <w:rPr>
                <w:color w:val="000000" w:themeColor="text1"/>
                <w14:textFill>
                  <w14:solidFill>
                    <w14:schemeClr w14:val="tx1"/>
                  </w14:solidFill>
                </w14:textFill>
              </w:rPr>
              <w:t>满足</w:t>
            </w:r>
          </w:p>
        </w:tc>
      </w:tr>
    </w:tbl>
    <w:p>
      <w:pPr>
        <w:pStyle w:val="3"/>
        <w:ind w:firstLine="420"/>
        <w:rPr>
          <w:lang w:val="en-US"/>
        </w:rPr>
      </w:pPr>
      <w:bookmarkStart w:id="42" w:name="底层通风架空率"/>
      <w:bookmarkEnd w:id="42"/>
    </w:p>
    <w:p>
      <w:pPr>
        <w:pStyle w:val="4"/>
      </w:pPr>
      <w:bookmarkStart w:id="43" w:name="_Toc16494780"/>
      <w:r>
        <w:rPr>
          <w:rFonts w:hint="eastAsia"/>
        </w:rPr>
        <w:t>绿化遮阳体叶面积指数</w:t>
      </w:r>
      <w:bookmarkEnd w:id="4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13"/>
        <w:gridCol w:w="3110"/>
        <w:gridCol w:w="31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pPr>
              <w:jc w:val="center"/>
            </w:pPr>
            <w:r>
              <w:t>遮阳体类型</w:t>
            </w:r>
          </w:p>
        </w:tc>
        <w:tc>
          <w:tcPr>
            <w:tcW w:w="3110" w:type="dxa"/>
            <w:shd w:val="clear" w:color="auto" w:fill="E6E6E6"/>
            <w:vAlign w:val="center"/>
          </w:tcPr>
          <w:p>
            <w:pPr>
              <w:jc w:val="center"/>
            </w:pPr>
            <w:r>
              <w:t>叶面积指数</w:t>
            </w:r>
          </w:p>
        </w:tc>
        <w:tc>
          <w:tcPr>
            <w:tcW w:w="3110" w:type="dxa"/>
            <w:shd w:val="clear" w:color="auto" w:fill="E6E6E6"/>
            <w:vAlign w:val="center"/>
          </w:tcPr>
          <w:p>
            <w:pPr>
              <w:jc w:val="center"/>
            </w:pPr>
            <w:r>
              <w:t>面积(㎡)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restart"/>
            <w:shd w:val="clear" w:color="auto" w:fill="E6E6E6"/>
            <w:vAlign w:val="center"/>
          </w:tcPr>
          <w:p>
            <w:r>
              <w:t>乔木</w:t>
            </w:r>
          </w:p>
        </w:tc>
        <w:tc>
          <w:tcPr>
            <w:tcW w:w="3110" w:type="dxa"/>
            <w:vAlign w:val="center"/>
          </w:tcPr>
          <w:p>
            <w:r>
              <w:t>LAI&gt;3</w:t>
            </w:r>
          </w:p>
        </w:tc>
        <w:tc>
          <w:tcPr>
            <w:tcW w:w="3110" w:type="dxa"/>
            <w:vAlign w:val="center"/>
          </w:tcPr>
          <w:p>
            <w:pPr>
              <w:rPr>
                <w:rFonts w:hint="default" w:eastAsia="宋体"/>
                <w:lang w:val="en-US" w:eastAsia="zh-CN"/>
              </w:rPr>
            </w:pPr>
            <w:r>
              <w:rPr>
                <w:rFonts w:hint="eastAsia"/>
                <w:lang w:val="en-US" w:eastAsia="zh-CN"/>
              </w:rPr>
              <w:t>4261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continue"/>
            <w:shd w:val="clear" w:color="auto" w:fill="E6E6E6"/>
            <w:vAlign w:val="center"/>
          </w:tcPr>
          <w:p/>
        </w:tc>
        <w:tc>
          <w:tcPr>
            <w:tcW w:w="3110" w:type="dxa"/>
            <w:vAlign w:val="center"/>
          </w:tcPr>
          <w:p>
            <w:r>
              <w:t>2.0&lt;LAI&lt;=3.0</w:t>
            </w:r>
          </w:p>
        </w:tc>
        <w:tc>
          <w:tcPr>
            <w:tcW w:w="3110" w:type="dxa"/>
            <w:vAlign w:val="center"/>
          </w:tcPr>
          <w:p>
            <w:r>
              <w:t>2594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continue"/>
            <w:shd w:val="clear" w:color="auto" w:fill="E6E6E6"/>
            <w:vAlign w:val="center"/>
          </w:tcPr>
          <w:p/>
        </w:tc>
        <w:tc>
          <w:tcPr>
            <w:tcW w:w="3110" w:type="dxa"/>
            <w:vAlign w:val="center"/>
          </w:tcPr>
          <w:p>
            <w:r>
              <w:t>1.0&lt;LAI&lt;=2.0</w:t>
            </w:r>
          </w:p>
        </w:tc>
        <w:tc>
          <w:tcPr>
            <w:tcW w:w="3110" w:type="dxa"/>
            <w:vAlign w:val="center"/>
          </w:tcPr>
          <w:p>
            <w:r>
              <w:rPr>
                <w:rFonts w:hint="eastAsia"/>
                <w:lang w:val="en-US" w:eastAsia="zh-CN"/>
              </w:rPr>
              <w:t>104</w:t>
            </w: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3112" w:type="dxa"/>
            <w:vMerge w:val="continue"/>
            <w:shd w:val="clear" w:color="auto" w:fill="E6E6E6"/>
            <w:vAlign w:val="center"/>
          </w:tcPr>
          <w:p/>
        </w:tc>
        <w:tc>
          <w:tcPr>
            <w:tcW w:w="3110" w:type="dxa"/>
            <w:vAlign w:val="center"/>
          </w:tcPr>
          <w:p>
            <w:r>
              <w:t>0.5&lt;LAI&lt;=1.0</w:t>
            </w:r>
          </w:p>
        </w:tc>
        <w:tc>
          <w:tcPr>
            <w:tcW w:w="3110" w:type="dxa"/>
            <w:vAlign w:val="center"/>
          </w:tcPr>
          <w:p>
            <w:pPr>
              <w:rPr>
                <w:rFonts w:hint="default" w:eastAsia="宋体"/>
                <w:lang w:val="en-US" w:eastAsia="zh-CN"/>
              </w:rPr>
            </w:pPr>
            <w:r>
              <w:rPr>
                <w:rFonts w:hint="eastAsia"/>
                <w:lang w:val="en-US" w:eastAsia="zh-CN"/>
              </w:rPr>
              <w:t>4171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continue"/>
            <w:shd w:val="clear" w:color="auto" w:fill="E6E6E6"/>
            <w:vAlign w:val="center"/>
          </w:tcPr>
          <w:p/>
        </w:tc>
        <w:tc>
          <w:tcPr>
            <w:tcW w:w="3110" w:type="dxa"/>
            <w:vAlign w:val="center"/>
          </w:tcPr>
          <w:p>
            <w:r>
              <w:t>LAI&lt;=0.5</w:t>
            </w:r>
          </w:p>
        </w:tc>
        <w:tc>
          <w:tcPr>
            <w:tcW w:w="3110" w:type="dxa"/>
            <w:vAlign w:val="center"/>
          </w:tcPr>
          <w:p>
            <w:pPr>
              <w:rPr>
                <w:rFonts w:hint="default" w:eastAsia="宋体"/>
                <w:lang w:val="en-US" w:eastAsia="zh-CN"/>
              </w:rPr>
            </w:pPr>
            <w:r>
              <w:rPr>
                <w:rFonts w:hint="eastAsia"/>
                <w:lang w:val="en-US" w:eastAsia="zh-CN"/>
              </w:rPr>
              <w:t>8577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restart"/>
            <w:shd w:val="clear" w:color="auto" w:fill="E6E6E6"/>
            <w:vAlign w:val="center"/>
          </w:tcPr>
          <w:p>
            <w:r>
              <w:t>爬藤棚架</w:t>
            </w:r>
          </w:p>
        </w:tc>
        <w:tc>
          <w:tcPr>
            <w:tcW w:w="3110" w:type="dxa"/>
            <w:vAlign w:val="center"/>
          </w:tcPr>
          <w:p>
            <w:r>
              <w:t>LAI&gt;3</w:t>
            </w:r>
          </w:p>
        </w:tc>
        <w:tc>
          <w:tcPr>
            <w:tcW w:w="3110" w:type="dxa"/>
            <w:vAlign w:val="center"/>
          </w:tcPr>
          <w:p>
            <w:pPr>
              <w:rPr>
                <w:rFonts w:hint="default" w:eastAsia="宋体"/>
                <w:lang w:val="en-US" w:eastAsia="zh-CN"/>
              </w:rPr>
            </w:pPr>
            <w:r>
              <w:rPr>
                <w:rFonts w:hint="eastAsia"/>
                <w:lang w:val="en-US" w:eastAsia="zh-CN"/>
              </w:rPr>
              <w:t>658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continue"/>
            <w:shd w:val="clear" w:color="auto" w:fill="E6E6E6"/>
            <w:vAlign w:val="center"/>
          </w:tcPr>
          <w:p/>
        </w:tc>
        <w:tc>
          <w:tcPr>
            <w:tcW w:w="3110" w:type="dxa"/>
            <w:vAlign w:val="center"/>
          </w:tcPr>
          <w:p>
            <w:r>
              <w:t>2.0&lt;LAI&lt;=3.0</w:t>
            </w:r>
          </w:p>
        </w:tc>
        <w:tc>
          <w:tcPr>
            <w:tcW w:w="3110" w:type="dxa"/>
            <w:vAlign w:val="center"/>
          </w:tcPr>
          <w:p>
            <w:r>
              <w:t>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continue"/>
            <w:shd w:val="clear" w:color="auto" w:fill="E6E6E6"/>
            <w:vAlign w:val="center"/>
          </w:tcPr>
          <w:p/>
        </w:tc>
        <w:tc>
          <w:tcPr>
            <w:tcW w:w="3110" w:type="dxa"/>
            <w:vAlign w:val="center"/>
          </w:tcPr>
          <w:p>
            <w:r>
              <w:t>1.0&lt;LAI&lt;=2.0</w:t>
            </w:r>
          </w:p>
        </w:tc>
        <w:tc>
          <w:tcPr>
            <w:tcW w:w="3110" w:type="dxa"/>
            <w:vAlign w:val="center"/>
          </w:tcPr>
          <w:p>
            <w:pPr>
              <w:rPr>
                <w:rFonts w:hint="default" w:eastAsia="宋体"/>
                <w:lang w:val="en-US" w:eastAsia="zh-CN"/>
              </w:rPr>
            </w:pPr>
            <w:r>
              <w:rPr>
                <w:rFonts w:hint="eastAsia"/>
                <w:lang w:val="en-US" w:eastAsia="zh-CN"/>
              </w:rPr>
              <w:t>516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continue"/>
            <w:shd w:val="clear" w:color="auto" w:fill="E6E6E6"/>
            <w:vAlign w:val="center"/>
          </w:tcPr>
          <w:p/>
        </w:tc>
        <w:tc>
          <w:tcPr>
            <w:tcW w:w="3110" w:type="dxa"/>
            <w:vAlign w:val="center"/>
          </w:tcPr>
          <w:p>
            <w:r>
              <w:t>0.5&lt;LAI&lt;=1.0</w:t>
            </w:r>
          </w:p>
        </w:tc>
        <w:tc>
          <w:tcPr>
            <w:tcW w:w="3110" w:type="dxa"/>
            <w:vAlign w:val="center"/>
          </w:tcPr>
          <w:p>
            <w:pPr>
              <w:rPr>
                <w:rFonts w:hint="default" w:eastAsia="宋体"/>
                <w:lang w:val="en-US" w:eastAsia="zh-CN"/>
              </w:rPr>
            </w:pPr>
            <w:r>
              <w:rPr>
                <w:rFonts w:hint="eastAsia"/>
                <w:lang w:val="en-US" w:eastAsia="zh-CN"/>
              </w:rPr>
              <w:t>815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vMerge w:val="continue"/>
            <w:shd w:val="clear" w:color="auto" w:fill="E6E6E6"/>
            <w:vAlign w:val="center"/>
          </w:tcPr>
          <w:p/>
        </w:tc>
        <w:tc>
          <w:tcPr>
            <w:tcW w:w="3110" w:type="dxa"/>
            <w:vAlign w:val="center"/>
          </w:tcPr>
          <w:p>
            <w:r>
              <w:t>LAI&lt;=0.5</w:t>
            </w:r>
          </w:p>
        </w:tc>
        <w:tc>
          <w:tcPr>
            <w:tcW w:w="3110" w:type="dxa"/>
            <w:vAlign w:val="center"/>
          </w:tcPr>
          <w:p>
            <w:pPr>
              <w:rPr>
                <w:rFonts w:hint="default" w:eastAsia="宋体"/>
                <w:lang w:val="en-US" w:eastAsia="zh-CN"/>
              </w:rPr>
            </w:pPr>
            <w:r>
              <w:rPr>
                <w:rFonts w:hint="eastAsia"/>
                <w:lang w:val="en-US" w:eastAsia="zh-CN"/>
              </w:rPr>
              <w:t>416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依据</w:t>
            </w:r>
          </w:p>
        </w:tc>
        <w:tc>
          <w:tcPr>
            <w:tcW w:w="6220" w:type="dxa"/>
            <w:gridSpan w:val="2"/>
            <w:vAlign w:val="center"/>
          </w:tcPr>
          <w:p>
            <w:r>
              <w:t>《城市居住区热环境设计标准》4.2.3条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标准要求</w:t>
            </w:r>
          </w:p>
        </w:tc>
        <w:tc>
          <w:tcPr>
            <w:tcW w:w="6220" w:type="dxa"/>
            <w:gridSpan w:val="2"/>
            <w:vAlign w:val="center"/>
          </w:tcPr>
          <w:p>
            <w:r>
              <w:t>绿化遮阳体叶面积指数不应小于3.0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结论</w:t>
            </w:r>
          </w:p>
        </w:tc>
        <w:tc>
          <w:tcPr>
            <w:tcW w:w="6220" w:type="dxa"/>
            <w:gridSpan w:val="2"/>
            <w:vAlign w:val="center"/>
          </w:tcPr>
          <w:p>
            <w:r>
              <w:rPr>
                <w:color w:val="000000" w:themeColor="text1"/>
                <w14:textFill>
                  <w14:solidFill>
                    <w14:schemeClr w14:val="tx1"/>
                  </w14:solidFill>
                </w14:textFill>
              </w:rPr>
              <w:t>满足</w:t>
            </w:r>
          </w:p>
        </w:tc>
      </w:tr>
    </w:tbl>
    <w:p>
      <w:pPr>
        <w:pStyle w:val="3"/>
        <w:ind w:firstLine="420"/>
        <w:rPr>
          <w:lang w:val="en-US"/>
        </w:rPr>
      </w:pPr>
      <w:bookmarkStart w:id="44" w:name="绿化遮阳体叶面积指数"/>
      <w:bookmarkEnd w:id="44"/>
    </w:p>
    <w:p>
      <w:pPr>
        <w:pStyle w:val="4"/>
      </w:pPr>
      <w:bookmarkStart w:id="45" w:name="_Toc16494781"/>
      <w:r>
        <w:rPr>
          <w:rFonts w:hint="eastAsia"/>
        </w:rPr>
        <w:t>渗透蒸发指标</w:t>
      </w:r>
      <w:bookmarkEnd w:id="4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地面</w:t>
            </w:r>
          </w:p>
        </w:tc>
        <w:tc>
          <w:tcPr>
            <w:tcW w:w="1866" w:type="dxa"/>
            <w:shd w:val="clear" w:color="auto" w:fill="E6E6E6"/>
            <w:vAlign w:val="center"/>
          </w:tcPr>
          <w:p>
            <w:pPr>
              <w:jc w:val="center"/>
            </w:pPr>
            <w:r>
              <w:t>面积(㎡)</w:t>
            </w:r>
          </w:p>
        </w:tc>
        <w:tc>
          <w:tcPr>
            <w:tcW w:w="1866" w:type="dxa"/>
            <w:shd w:val="clear" w:color="auto" w:fill="E6E6E6"/>
            <w:vAlign w:val="center"/>
          </w:tcPr>
          <w:p>
            <w:pPr>
              <w:jc w:val="center"/>
            </w:pPr>
            <w:r>
              <w:t>面积所占比例</w:t>
            </w:r>
          </w:p>
        </w:tc>
        <w:tc>
          <w:tcPr>
            <w:tcW w:w="1866" w:type="dxa"/>
            <w:shd w:val="clear" w:color="auto" w:fill="E6E6E6"/>
            <w:vAlign w:val="center"/>
          </w:tcPr>
          <w:p>
            <w:pPr>
              <w:jc w:val="center"/>
            </w:pPr>
            <w:r>
              <w:t>地面透水系数k(mm/s)</w:t>
            </w:r>
          </w:p>
        </w:tc>
        <w:tc>
          <w:tcPr>
            <w:tcW w:w="1866" w:type="dxa"/>
            <w:shd w:val="clear" w:color="auto" w:fill="E6E6E6"/>
            <w:vAlign w:val="center"/>
          </w:tcPr>
          <w:p>
            <w:pPr>
              <w:jc w:val="center"/>
            </w:pPr>
            <w:r>
              <w:t>蒸发量m</w:t>
            </w:r>
            <w:r>
              <w:br w:type="textWrapping"/>
            </w:r>
            <w:r>
              <w:t>(kg/(㎡·d))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人行道</w:t>
            </w:r>
          </w:p>
        </w:tc>
        <w:tc>
          <w:tcPr>
            <w:tcW w:w="1866" w:type="dxa"/>
            <w:vAlign w:val="center"/>
          </w:tcPr>
          <w:p>
            <w:r>
              <w:t>18385</w:t>
            </w:r>
          </w:p>
        </w:tc>
        <w:tc>
          <w:tcPr>
            <w:tcW w:w="1866" w:type="dxa"/>
            <w:vAlign w:val="center"/>
          </w:tcPr>
          <w:p>
            <w:r>
              <w:t>1.000</w:t>
            </w:r>
          </w:p>
        </w:tc>
        <w:tc>
          <w:tcPr>
            <w:tcW w:w="1866" w:type="dxa"/>
            <w:vAlign w:val="center"/>
          </w:tcPr>
          <w:p>
            <w:r>
              <w:rPr>
                <w:rFonts w:hint="eastAsia"/>
                <w:lang w:val="en-US" w:eastAsia="zh-CN"/>
              </w:rPr>
              <w:t>1</w:t>
            </w:r>
            <w:r>
              <w:t>.</w:t>
            </w:r>
            <w:r>
              <w:rPr>
                <w:rFonts w:hint="eastAsia"/>
                <w:lang w:val="en-US" w:eastAsia="zh-CN"/>
              </w:rPr>
              <w:t>2</w:t>
            </w:r>
            <w:r>
              <w:t>0</w:t>
            </w:r>
          </w:p>
        </w:tc>
        <w:tc>
          <w:tcPr>
            <w:tcW w:w="1866" w:type="dxa"/>
            <w:vAlign w:val="center"/>
          </w:tcPr>
          <w:p>
            <w:pPr>
              <w:rPr>
                <w:rFonts w:hint="default" w:eastAsia="宋体"/>
                <w:lang w:val="en-US" w:eastAsia="zh-CN"/>
              </w:rPr>
            </w:pPr>
            <w:r>
              <w:rPr>
                <w:rFonts w:hint="eastAsia"/>
                <w:lang w:val="en-US" w:eastAsia="zh-CN"/>
              </w:rPr>
              <w:t>1.15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合计</w:t>
            </w:r>
          </w:p>
        </w:tc>
        <w:tc>
          <w:tcPr>
            <w:tcW w:w="1866" w:type="dxa"/>
            <w:vAlign w:val="center"/>
          </w:tcPr>
          <w:p>
            <w:r>
              <w:t>18385</w:t>
            </w:r>
          </w:p>
        </w:tc>
        <w:tc>
          <w:tcPr>
            <w:tcW w:w="1866" w:type="dxa"/>
            <w:vAlign w:val="center"/>
          </w:tcPr>
          <w:p>
            <w:r>
              <w:t>1.0</w:t>
            </w:r>
          </w:p>
        </w:tc>
        <w:tc>
          <w:tcPr>
            <w:tcW w:w="1866" w:type="dxa"/>
            <w:vAlign w:val="center"/>
          </w:tcPr>
          <w:p>
            <w:r>
              <w:rPr>
                <w:rFonts w:hint="eastAsia"/>
                <w:lang w:val="en-US" w:eastAsia="zh-CN"/>
              </w:rPr>
              <w:t>1</w:t>
            </w:r>
            <w:r>
              <w:t>.</w:t>
            </w:r>
            <w:r>
              <w:rPr>
                <w:rFonts w:hint="eastAsia"/>
                <w:lang w:val="en-US" w:eastAsia="zh-CN"/>
              </w:rPr>
              <w:t>2</w:t>
            </w:r>
            <w:r>
              <w:t>0</w:t>
            </w:r>
          </w:p>
        </w:tc>
        <w:tc>
          <w:tcPr>
            <w:tcW w:w="1866" w:type="dxa"/>
            <w:vAlign w:val="center"/>
          </w:tcPr>
          <w:p>
            <w:r>
              <w:rPr>
                <w:rFonts w:hint="eastAsia"/>
                <w:lang w:val="en-US" w:eastAsia="zh-CN"/>
              </w:rPr>
              <w:t>1.15</w:t>
            </w:r>
          </w:p>
        </w:tc>
      </w:tr>
    </w:tbl>
    <w:p>
      <w:pPr>
        <w:pStyle w:val="3"/>
        <w:ind w:firstLine="420"/>
        <w:rPr>
          <w:lang w:val="en-US"/>
        </w:rPr>
      </w:pPr>
      <w:bookmarkStart w:id="46" w:name="渗透蒸发指标"/>
      <w:bookmarkEnd w:id="4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13"/>
        <w:gridCol w:w="3110"/>
        <w:gridCol w:w="31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pPr>
              <w:jc w:val="center"/>
            </w:pPr>
            <w:r>
              <w:t>地面</w:t>
            </w:r>
          </w:p>
        </w:tc>
        <w:tc>
          <w:tcPr>
            <w:tcW w:w="3110" w:type="dxa"/>
            <w:shd w:val="clear" w:color="auto" w:fill="E6E6E6"/>
            <w:vAlign w:val="center"/>
          </w:tcPr>
          <w:p>
            <w:pPr>
              <w:jc w:val="center"/>
            </w:pPr>
            <w:r>
              <w:t>渗透面积比率(%)</w:t>
            </w:r>
          </w:p>
        </w:tc>
        <w:tc>
          <w:tcPr>
            <w:tcW w:w="3110" w:type="dxa"/>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人行道</w:t>
            </w:r>
          </w:p>
        </w:tc>
        <w:tc>
          <w:tcPr>
            <w:tcW w:w="3110" w:type="dxa"/>
            <w:vAlign w:val="center"/>
          </w:tcPr>
          <w:p>
            <w:pPr>
              <w:rPr>
                <w:rFonts w:hint="default" w:eastAsia="宋体"/>
                <w:lang w:val="en-US" w:eastAsia="zh-CN"/>
              </w:rPr>
            </w:pPr>
            <w:r>
              <w:rPr>
                <w:rFonts w:hint="eastAsia"/>
                <w:color w:val="000000" w:themeColor="text1"/>
                <w:lang w:val="en-US" w:eastAsia="zh-CN"/>
                <w14:textFill>
                  <w14:solidFill>
                    <w14:schemeClr w14:val="tx1"/>
                  </w14:solidFill>
                </w14:textFill>
              </w:rPr>
              <w:t>56</w:t>
            </w:r>
          </w:p>
        </w:tc>
        <w:tc>
          <w:tcPr>
            <w:tcW w:w="3110" w:type="dxa"/>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32" w:type="dxa"/>
            <w:gridSpan w:val="3"/>
            <w:shd w:val="clear" w:color="auto" w:fill="E6E6E6"/>
            <w:vAlign w:val="center"/>
          </w:tcPr>
          <w:p>
            <w:pPr>
              <w:jc w:val="center"/>
            </w:pPr>
            <w:r>
              <w:t>渗透与蒸发指标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pPr>
              <w:jc w:val="center"/>
            </w:pPr>
            <w:r>
              <w:t>指标</w:t>
            </w:r>
          </w:p>
        </w:tc>
        <w:tc>
          <w:tcPr>
            <w:tcW w:w="3110" w:type="dxa"/>
            <w:shd w:val="clear" w:color="auto" w:fill="E6E6E6"/>
            <w:vAlign w:val="center"/>
          </w:tcPr>
          <w:p>
            <w:pPr>
              <w:jc w:val="center"/>
            </w:pPr>
            <w:r>
              <w:t>值</w:t>
            </w:r>
          </w:p>
        </w:tc>
        <w:tc>
          <w:tcPr>
            <w:tcW w:w="3110" w:type="dxa"/>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地面透水系数k(mm/s)</w:t>
            </w:r>
          </w:p>
        </w:tc>
        <w:tc>
          <w:tcPr>
            <w:tcW w:w="3110" w:type="dxa"/>
            <w:vAlign w:val="center"/>
          </w:tcPr>
          <w:p>
            <w:pPr>
              <w:rPr>
                <w:rFonts w:hint="default" w:eastAsia="宋体"/>
                <w:lang w:val="en-US" w:eastAsia="zh-CN"/>
              </w:rPr>
            </w:pPr>
            <w:r>
              <w:rPr>
                <w:rFonts w:hint="eastAsia"/>
                <w:color w:val="000000" w:themeColor="text1"/>
                <w:lang w:val="en-US" w:eastAsia="zh-CN"/>
                <w14:textFill>
                  <w14:solidFill>
                    <w14:schemeClr w14:val="tx1"/>
                  </w14:solidFill>
                </w14:textFill>
              </w:rPr>
              <w:t>1.20</w:t>
            </w:r>
          </w:p>
        </w:tc>
        <w:tc>
          <w:tcPr>
            <w:tcW w:w="3110" w:type="dxa"/>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蒸发量m(kg/(㎡·d))</w:t>
            </w:r>
          </w:p>
        </w:tc>
        <w:tc>
          <w:tcPr>
            <w:tcW w:w="3110" w:type="dxa"/>
            <w:vAlign w:val="center"/>
          </w:tcPr>
          <w:p>
            <w:pPr>
              <w:rPr>
                <w:rFonts w:hint="default" w:eastAsia="宋体"/>
                <w:lang w:val="en-US" w:eastAsia="zh-CN"/>
              </w:rPr>
            </w:pPr>
            <w:r>
              <w:rPr>
                <w:rFonts w:hint="eastAsia"/>
                <w:color w:val="000000" w:themeColor="text1"/>
                <w:lang w:val="en-US" w:eastAsia="zh-CN"/>
                <w14:textFill>
                  <w14:solidFill>
                    <w14:schemeClr w14:val="tx1"/>
                  </w14:solidFill>
                </w14:textFill>
              </w:rPr>
              <w:t>1.15</w:t>
            </w:r>
          </w:p>
        </w:tc>
        <w:tc>
          <w:tcPr>
            <w:tcW w:w="3110" w:type="dxa"/>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依据</w:t>
            </w:r>
          </w:p>
        </w:tc>
        <w:tc>
          <w:tcPr>
            <w:tcW w:w="6220" w:type="dxa"/>
            <w:gridSpan w:val="2"/>
            <w:vAlign w:val="center"/>
          </w:tcPr>
          <w:p>
            <w:r>
              <w:t>《城市居住区热环境设计标准》4.3.1条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81" w:hRule="atLeast"/>
        </w:trPr>
        <w:tc>
          <w:tcPr>
            <w:tcW w:w="3112" w:type="dxa"/>
            <w:shd w:val="clear" w:color="auto" w:fill="E6E6E6"/>
            <w:vAlign w:val="center"/>
          </w:tcPr>
          <w:p>
            <w:r>
              <w:t>标准要求</w:t>
            </w:r>
          </w:p>
        </w:tc>
        <w:tc>
          <w:tcPr>
            <w:tcW w:w="6220" w:type="dxa"/>
            <w:gridSpan w:val="2"/>
            <w:vAlign w:val="center"/>
          </w:tcPr>
          <w:p>
            <w:r>
              <w:t>渗透面积比率、透水系数及蒸发量不应低于标准规定限值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12" w:type="dxa"/>
            <w:shd w:val="clear" w:color="auto" w:fill="E6E6E6"/>
            <w:vAlign w:val="center"/>
          </w:tcPr>
          <w:p>
            <w:r>
              <w:t>结论</w:t>
            </w:r>
          </w:p>
        </w:tc>
        <w:tc>
          <w:tcPr>
            <w:tcW w:w="6220" w:type="dxa"/>
            <w:gridSpan w:val="2"/>
            <w:vAlign w:val="center"/>
          </w:tcPr>
          <w:p>
            <w:r>
              <w:rPr>
                <w:color w:val="000000" w:themeColor="text1"/>
                <w14:textFill>
                  <w14:solidFill>
                    <w14:schemeClr w14:val="tx1"/>
                  </w14:solidFill>
                </w14:textFill>
              </w:rPr>
              <w:t>满足</w:t>
            </w:r>
          </w:p>
        </w:tc>
      </w:tr>
    </w:tbl>
    <w:p>
      <w:pPr>
        <w:pStyle w:val="3"/>
        <w:ind w:firstLine="420"/>
        <w:rPr>
          <w:lang w:val="en-US"/>
        </w:rPr>
      </w:pPr>
    </w:p>
    <w:p>
      <w:pPr>
        <w:pStyle w:val="4"/>
      </w:pPr>
      <w:bookmarkStart w:id="47" w:name="_Toc16494782"/>
      <w:r>
        <w:rPr>
          <w:rFonts w:hint="eastAsia"/>
        </w:rPr>
        <w:t>屋面绿化率</w:t>
      </w:r>
      <w:bookmarkEnd w:id="47"/>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屋面轮廓面积(㎡)</w:t>
            </w:r>
          </w:p>
        </w:tc>
        <w:tc>
          <w:tcPr>
            <w:tcW w:w="1867" w:type="dxa"/>
            <w:shd w:val="clear" w:color="auto" w:fill="E6E6E6"/>
            <w:vAlign w:val="center"/>
          </w:tcPr>
          <w:p>
            <w:pPr>
              <w:jc w:val="center"/>
            </w:pPr>
            <w:r>
              <w:t>屋顶绿化面积(㎡)</w:t>
            </w:r>
          </w:p>
        </w:tc>
        <w:tc>
          <w:tcPr>
            <w:tcW w:w="1867" w:type="dxa"/>
            <w:shd w:val="clear" w:color="auto" w:fill="E6E6E6"/>
            <w:vAlign w:val="center"/>
          </w:tcPr>
          <w:p>
            <w:pPr>
              <w:jc w:val="center"/>
            </w:pPr>
            <w:r>
              <w:t>可绿化屋面</w:t>
            </w:r>
            <w:r>
              <w:br w:type="textWrapping"/>
            </w:r>
            <w:r>
              <w:t>面积(㎡)</w:t>
            </w:r>
          </w:p>
        </w:tc>
        <w:tc>
          <w:tcPr>
            <w:tcW w:w="1867" w:type="dxa"/>
            <w:shd w:val="clear" w:color="auto" w:fill="E6E6E6"/>
            <w:vAlign w:val="center"/>
          </w:tcPr>
          <w:p>
            <w:pPr>
              <w:jc w:val="center"/>
            </w:pPr>
            <w:r>
              <w:t>屋面绿化率(%)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rPr>
                <w:rFonts w:hint="default" w:eastAsia="宋体"/>
                <w:lang w:val="en-US" w:eastAsia="zh-CN"/>
              </w:rPr>
            </w:pPr>
            <w:r>
              <w:rPr>
                <w:rFonts w:hint="eastAsia"/>
                <w:lang w:val="en-US" w:eastAsia="zh-CN"/>
              </w:rPr>
              <w:t>zz</w:t>
            </w:r>
          </w:p>
        </w:tc>
        <w:tc>
          <w:tcPr>
            <w:tcW w:w="1866" w:type="dxa"/>
            <w:vAlign w:val="center"/>
          </w:tcPr>
          <w:p>
            <w:r>
              <w:t>13144.0</w:t>
            </w:r>
          </w:p>
        </w:tc>
        <w:tc>
          <w:tcPr>
            <w:tcW w:w="1867" w:type="dxa"/>
            <w:vAlign w:val="center"/>
          </w:tcPr>
          <w:p>
            <w:pPr>
              <w:rPr>
                <w:rFonts w:hint="default" w:eastAsia="宋体"/>
                <w:lang w:val="en-US" w:eastAsia="zh-CN"/>
              </w:rPr>
            </w:pPr>
            <w:r>
              <w:rPr>
                <w:rFonts w:hint="eastAsia"/>
                <w:lang w:val="en-US" w:eastAsia="zh-CN"/>
              </w:rPr>
              <w:t>8643.5</w:t>
            </w:r>
          </w:p>
        </w:tc>
        <w:tc>
          <w:tcPr>
            <w:tcW w:w="1867" w:type="dxa"/>
            <w:vAlign w:val="center"/>
          </w:tcPr>
          <w:p>
            <w:r>
              <w:t>13144.0</w:t>
            </w:r>
          </w:p>
        </w:tc>
        <w:tc>
          <w:tcPr>
            <w:tcW w:w="1867" w:type="dxa"/>
            <w:vAlign w:val="center"/>
          </w:tcPr>
          <w:p>
            <w:pPr>
              <w:rPr>
                <w:rFonts w:hint="default" w:eastAsia="宋体"/>
                <w:lang w:val="en-US" w:eastAsia="zh-CN"/>
              </w:rPr>
            </w:pPr>
            <w:r>
              <w:rPr>
                <w:rFonts w:hint="eastAsia"/>
                <w:color w:val="000000" w:themeColor="text1"/>
                <w:lang w:val="en-US" w:eastAsia="zh-CN"/>
                <w14:textFill>
                  <w14:solidFill>
                    <w14:schemeClr w14:val="tx1"/>
                  </w14:solidFill>
                </w14:textFill>
              </w:rPr>
              <w:t>65.8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a</w:t>
            </w:r>
          </w:p>
        </w:tc>
        <w:tc>
          <w:tcPr>
            <w:tcW w:w="1866" w:type="dxa"/>
            <w:vAlign w:val="center"/>
          </w:tcPr>
          <w:p>
            <w:r>
              <w:t>6705.5</w:t>
            </w:r>
          </w:p>
        </w:tc>
        <w:tc>
          <w:tcPr>
            <w:tcW w:w="1867" w:type="dxa"/>
            <w:vAlign w:val="center"/>
          </w:tcPr>
          <w:p>
            <w:pPr>
              <w:rPr>
                <w:rFonts w:hint="default" w:eastAsia="宋体"/>
                <w:lang w:val="en-US" w:eastAsia="zh-CN"/>
              </w:rPr>
            </w:pPr>
            <w:r>
              <w:rPr>
                <w:rFonts w:hint="eastAsia"/>
                <w:lang w:val="en-US" w:eastAsia="zh-CN"/>
              </w:rPr>
              <w:t>4436.3</w:t>
            </w:r>
          </w:p>
        </w:tc>
        <w:tc>
          <w:tcPr>
            <w:tcW w:w="1867" w:type="dxa"/>
            <w:vAlign w:val="center"/>
          </w:tcPr>
          <w:p>
            <w:r>
              <w:t>6705.5</w:t>
            </w:r>
          </w:p>
        </w:tc>
        <w:tc>
          <w:tcPr>
            <w:tcW w:w="1867" w:type="dxa"/>
            <w:vAlign w:val="center"/>
          </w:tcPr>
          <w:p>
            <w:pPr>
              <w:rPr>
                <w:rFonts w:hint="default" w:eastAsia="宋体"/>
                <w:lang w:val="en-US" w:eastAsia="zh-CN"/>
              </w:rPr>
            </w:pPr>
            <w:r>
              <w:rPr>
                <w:rFonts w:hint="eastAsia"/>
                <w:color w:val="000000" w:themeColor="text1"/>
                <w:lang w:val="en-US" w:eastAsia="zh-CN"/>
                <w14:textFill>
                  <w14:solidFill>
                    <w14:schemeClr w14:val="tx1"/>
                  </w14:solidFill>
                </w14:textFill>
              </w:rPr>
              <w:t>66.2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合计</w:t>
            </w:r>
          </w:p>
        </w:tc>
        <w:tc>
          <w:tcPr>
            <w:tcW w:w="1866" w:type="dxa"/>
            <w:vAlign w:val="center"/>
          </w:tcPr>
          <w:p>
            <w:pPr>
              <w:rPr>
                <w:rFonts w:hint="default" w:eastAsia="宋体"/>
                <w:lang w:val="en-US" w:eastAsia="zh-CN"/>
              </w:rPr>
            </w:pPr>
            <w:r>
              <w:rPr>
                <w:rFonts w:hint="eastAsia"/>
                <w:lang w:val="en-US" w:eastAsia="zh-CN"/>
              </w:rPr>
              <w:t>19849.5</w:t>
            </w:r>
          </w:p>
        </w:tc>
        <w:tc>
          <w:tcPr>
            <w:tcW w:w="1867" w:type="dxa"/>
            <w:vAlign w:val="center"/>
          </w:tcPr>
          <w:p>
            <w:pPr>
              <w:rPr>
                <w:rFonts w:hint="default" w:eastAsia="宋体"/>
                <w:lang w:val="en-US" w:eastAsia="zh-CN"/>
              </w:rPr>
            </w:pPr>
            <w:r>
              <w:rPr>
                <w:rFonts w:hint="eastAsia"/>
                <w:lang w:val="en-US" w:eastAsia="zh-CN"/>
              </w:rPr>
              <w:t>13079.8</w:t>
            </w:r>
          </w:p>
        </w:tc>
        <w:tc>
          <w:tcPr>
            <w:tcW w:w="1867" w:type="dxa"/>
            <w:vAlign w:val="center"/>
          </w:tcPr>
          <w:p>
            <w:r>
              <w:rPr>
                <w:rFonts w:hint="eastAsia"/>
                <w:lang w:val="en-US" w:eastAsia="zh-CN"/>
              </w:rPr>
              <w:t>19849.5</w:t>
            </w:r>
          </w:p>
        </w:tc>
        <w:tc>
          <w:tcPr>
            <w:tcW w:w="1867" w:type="dxa"/>
            <w:vAlign w:val="center"/>
          </w:tcPr>
          <w:p>
            <w:pPr>
              <w:rPr>
                <w:rFonts w:hint="default" w:eastAsia="宋体"/>
                <w:lang w:val="en-US" w:eastAsia="zh-CN"/>
              </w:rPr>
            </w:pPr>
            <w:r>
              <w:rPr>
                <w:rFonts w:hint="eastAsia"/>
                <w:color w:val="000000" w:themeColor="text1"/>
                <w:lang w:val="en-US" w:eastAsia="zh-CN"/>
                <w14:textFill>
                  <w14:solidFill>
                    <w14:schemeClr w14:val="tx1"/>
                  </w14:solidFill>
                </w14:textFill>
              </w:rPr>
              <w:t>65.9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7" w:type="dxa"/>
            <w:gridSpan w:val="4"/>
            <w:vAlign w:val="center"/>
          </w:tcPr>
          <w:p>
            <w:r>
              <w:t>《城市居住区热环境设计标准》4.4.2条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7" w:type="dxa"/>
            <w:gridSpan w:val="4"/>
            <w:vAlign w:val="center"/>
          </w:tcPr>
          <w:p>
            <w:r>
              <w:t>建筑屋面的绿化面积不应低于可绿化屋面面积的50%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7" w:type="dxa"/>
            <w:gridSpan w:val="4"/>
            <w:vAlign w:val="center"/>
          </w:tcPr>
          <w:p>
            <w:r>
              <w:rPr>
                <w:color w:val="000000" w:themeColor="text1"/>
                <w14:textFill>
                  <w14:solidFill>
                    <w14:schemeClr w14:val="tx1"/>
                  </w14:solidFill>
                </w14:textFill>
              </w:rPr>
              <w:t>满足</w:t>
            </w:r>
          </w:p>
        </w:tc>
      </w:tr>
    </w:tbl>
    <w:p>
      <w:pPr>
        <w:pStyle w:val="3"/>
        <w:ind w:firstLine="420"/>
        <w:rPr>
          <w:lang w:val="en-US"/>
        </w:rPr>
      </w:pPr>
      <w:bookmarkStart w:id="48" w:name="屋面绿化率"/>
      <w:bookmarkEnd w:id="48"/>
    </w:p>
    <w:p>
      <w:pPr>
        <w:pStyle w:val="2"/>
      </w:pPr>
      <w:bookmarkStart w:id="49" w:name="_Toc16494783"/>
      <w:r>
        <w:rPr>
          <w:rFonts w:hint="eastAsia"/>
        </w:rPr>
        <w:t>评价性设计</w:t>
      </w:r>
      <w:bookmarkEnd w:id="49"/>
    </w:p>
    <w:p>
      <w:pPr>
        <w:pStyle w:val="4"/>
      </w:pPr>
      <w:bookmarkStart w:id="50" w:name="_Toc16494784"/>
      <w:r>
        <w:rPr>
          <w:rFonts w:hint="eastAsia"/>
        </w:rPr>
        <w:t>平均热岛强度</w:t>
      </w:r>
      <w:bookmarkEnd w:id="5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8:00</w:t>
            </w:r>
          </w:p>
        </w:tc>
        <w:tc>
          <w:tcPr>
            <w:tcW w:w="1166" w:type="dxa"/>
            <w:vAlign w:val="center"/>
          </w:tcPr>
          <w:p>
            <w:r>
              <w:t>31.3</w:t>
            </w:r>
          </w:p>
        </w:tc>
        <w:tc>
          <w:tcPr>
            <w:tcW w:w="1166" w:type="dxa"/>
            <w:vAlign w:val="center"/>
          </w:tcPr>
          <w:p>
            <w:r>
              <w:t>3.7</w:t>
            </w:r>
          </w:p>
        </w:tc>
        <w:tc>
          <w:tcPr>
            <w:tcW w:w="1166" w:type="dxa"/>
            <w:vAlign w:val="center"/>
          </w:tcPr>
          <w:p>
            <w:r>
              <w:t>3.4</w:t>
            </w:r>
          </w:p>
        </w:tc>
        <w:tc>
          <w:tcPr>
            <w:tcW w:w="1166" w:type="dxa"/>
            <w:vAlign w:val="center"/>
          </w:tcPr>
          <w:p>
            <w:pPr>
              <w:rPr>
                <w:rFonts w:hint="default" w:eastAsia="宋体"/>
                <w:lang w:val="en-US" w:eastAsia="zh-CN"/>
              </w:rPr>
            </w:pPr>
            <w:r>
              <w:rPr>
                <w:rFonts w:hint="eastAsia"/>
                <w:lang w:val="en-US" w:eastAsia="zh-CN"/>
              </w:rPr>
              <w:t>1.1</w:t>
            </w:r>
          </w:p>
        </w:tc>
        <w:tc>
          <w:tcPr>
            <w:tcW w:w="1166" w:type="dxa"/>
            <w:vAlign w:val="center"/>
          </w:tcPr>
          <w:p>
            <w:pPr>
              <w:rPr>
                <w:rFonts w:hint="default" w:eastAsia="宋体"/>
                <w:lang w:val="en-US" w:eastAsia="zh-CN"/>
              </w:rPr>
            </w:pPr>
            <w:r>
              <w:rPr>
                <w:rFonts w:hint="eastAsia"/>
                <w:lang w:val="en-US" w:eastAsia="zh-CN"/>
              </w:rPr>
              <w:t>30.5</w:t>
            </w:r>
          </w:p>
        </w:tc>
        <w:tc>
          <w:tcPr>
            <w:tcW w:w="1166" w:type="dxa"/>
            <w:vAlign w:val="center"/>
          </w:tcPr>
          <w:p>
            <w:r>
              <w:t>29.8</w:t>
            </w:r>
          </w:p>
        </w:tc>
        <w:tc>
          <w:tcPr>
            <w:tcW w:w="1166" w:type="dxa"/>
            <w:vAlign w:val="center"/>
          </w:tcPr>
          <w:p>
            <w:pPr>
              <w:rPr>
                <w:rFonts w:hint="default" w:eastAsia="宋体"/>
                <w:lang w:val="en-US" w:eastAsia="zh-CN"/>
              </w:rPr>
            </w:pPr>
            <w:r>
              <w:rPr>
                <w:rFonts w:hint="eastAsia"/>
                <w:lang w:val="en-US" w:eastAsia="zh-CN"/>
              </w:rPr>
              <w:t>0.752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31.3</w:t>
            </w:r>
          </w:p>
        </w:tc>
        <w:tc>
          <w:tcPr>
            <w:tcW w:w="1166" w:type="dxa"/>
            <w:vAlign w:val="center"/>
          </w:tcPr>
          <w:p>
            <w:r>
              <w:t>5.9</w:t>
            </w:r>
          </w:p>
        </w:tc>
        <w:tc>
          <w:tcPr>
            <w:tcW w:w="1166" w:type="dxa"/>
            <w:vAlign w:val="center"/>
          </w:tcPr>
          <w:p>
            <w:r>
              <w:t>3.6</w:t>
            </w:r>
          </w:p>
        </w:tc>
        <w:tc>
          <w:tcPr>
            <w:tcW w:w="1166" w:type="dxa"/>
            <w:vAlign w:val="center"/>
          </w:tcPr>
          <w:p>
            <w:pPr>
              <w:rPr>
                <w:rFonts w:hint="default" w:eastAsia="宋体"/>
                <w:lang w:val="en-US" w:eastAsia="zh-CN"/>
              </w:rPr>
            </w:pPr>
            <w:r>
              <w:rPr>
                <w:rFonts w:hint="eastAsia"/>
                <w:lang w:val="en-US" w:eastAsia="zh-CN"/>
              </w:rPr>
              <w:t>1.1</w:t>
            </w:r>
          </w:p>
        </w:tc>
        <w:tc>
          <w:tcPr>
            <w:tcW w:w="1166" w:type="dxa"/>
            <w:vAlign w:val="center"/>
          </w:tcPr>
          <w:p>
            <w:pPr>
              <w:rPr>
                <w:rFonts w:hint="default" w:eastAsia="宋体"/>
                <w:lang w:val="en-US" w:eastAsia="zh-CN"/>
              </w:rPr>
            </w:pPr>
            <w:r>
              <w:rPr>
                <w:rFonts w:hint="eastAsia"/>
                <w:lang w:val="en-US" w:eastAsia="zh-CN"/>
              </w:rPr>
              <w:t>32.5</w:t>
            </w:r>
          </w:p>
        </w:tc>
        <w:tc>
          <w:tcPr>
            <w:tcW w:w="1166" w:type="dxa"/>
            <w:vAlign w:val="center"/>
          </w:tcPr>
          <w:p>
            <w:r>
              <w:t>31.9</w:t>
            </w:r>
          </w:p>
        </w:tc>
        <w:tc>
          <w:tcPr>
            <w:tcW w:w="1166" w:type="dxa"/>
            <w:vAlign w:val="center"/>
          </w:tcPr>
          <w:p>
            <w:pPr>
              <w:rPr>
                <w:rFonts w:hint="default" w:eastAsia="宋体"/>
                <w:lang w:val="en-US" w:eastAsia="zh-CN"/>
              </w:rPr>
            </w:pPr>
            <w:r>
              <w:rPr>
                <w:rFonts w:hint="eastAsia"/>
                <w:lang w:val="en-US" w:eastAsia="zh-CN"/>
              </w:rPr>
              <w:t>0.654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31.3</w:t>
            </w:r>
          </w:p>
        </w:tc>
        <w:tc>
          <w:tcPr>
            <w:tcW w:w="1166" w:type="dxa"/>
            <w:vAlign w:val="center"/>
          </w:tcPr>
          <w:p>
            <w:r>
              <w:t>8.3</w:t>
            </w:r>
          </w:p>
        </w:tc>
        <w:tc>
          <w:tcPr>
            <w:tcW w:w="1166" w:type="dxa"/>
            <w:vAlign w:val="center"/>
          </w:tcPr>
          <w:p>
            <w:r>
              <w:t>3.2</w:t>
            </w:r>
          </w:p>
        </w:tc>
        <w:tc>
          <w:tcPr>
            <w:tcW w:w="1166" w:type="dxa"/>
            <w:vAlign w:val="center"/>
          </w:tcPr>
          <w:p>
            <w:pPr>
              <w:rPr>
                <w:rFonts w:hint="default" w:eastAsia="宋体"/>
                <w:lang w:val="en-US" w:eastAsia="zh-CN"/>
              </w:rPr>
            </w:pPr>
            <w:r>
              <w:rPr>
                <w:rFonts w:hint="eastAsia"/>
                <w:lang w:val="en-US" w:eastAsia="zh-CN"/>
              </w:rPr>
              <w:t>2.2</w:t>
            </w:r>
          </w:p>
        </w:tc>
        <w:tc>
          <w:tcPr>
            <w:tcW w:w="1166" w:type="dxa"/>
            <w:vAlign w:val="center"/>
          </w:tcPr>
          <w:p>
            <w:pPr>
              <w:rPr>
                <w:rFonts w:hint="default" w:eastAsia="宋体"/>
                <w:lang w:val="en-US" w:eastAsia="zh-CN"/>
              </w:rPr>
            </w:pPr>
            <w:r>
              <w:rPr>
                <w:rFonts w:hint="eastAsia"/>
                <w:lang w:val="en-US" w:eastAsia="zh-CN"/>
              </w:rPr>
              <w:t>34.2</w:t>
            </w:r>
          </w:p>
        </w:tc>
        <w:tc>
          <w:tcPr>
            <w:tcW w:w="1166" w:type="dxa"/>
            <w:vAlign w:val="center"/>
          </w:tcPr>
          <w:p>
            <w:r>
              <w:t>33.1</w:t>
            </w:r>
          </w:p>
        </w:tc>
        <w:tc>
          <w:tcPr>
            <w:tcW w:w="1166" w:type="dxa"/>
            <w:vAlign w:val="center"/>
          </w:tcPr>
          <w:p>
            <w:pPr>
              <w:rPr>
                <w:rFonts w:hint="default" w:eastAsia="宋体"/>
                <w:lang w:val="en-US" w:eastAsia="zh-CN"/>
              </w:rPr>
            </w:pPr>
            <w:r>
              <w:rPr>
                <w:rFonts w:hint="eastAsia"/>
                <w:lang w:val="en-US" w:eastAsia="zh-CN"/>
              </w:rPr>
              <w:t>1.125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31.3</w:t>
            </w:r>
          </w:p>
        </w:tc>
        <w:tc>
          <w:tcPr>
            <w:tcW w:w="1166" w:type="dxa"/>
            <w:vAlign w:val="center"/>
          </w:tcPr>
          <w:p>
            <w:r>
              <w:t>10.7</w:t>
            </w:r>
          </w:p>
        </w:tc>
        <w:tc>
          <w:tcPr>
            <w:tcW w:w="1166" w:type="dxa"/>
            <w:vAlign w:val="center"/>
          </w:tcPr>
          <w:p>
            <w:r>
              <w:t>2.8</w:t>
            </w:r>
          </w:p>
        </w:tc>
        <w:tc>
          <w:tcPr>
            <w:tcW w:w="1166" w:type="dxa"/>
            <w:vAlign w:val="center"/>
          </w:tcPr>
          <w:p>
            <w:pPr>
              <w:rPr>
                <w:rFonts w:hint="default" w:eastAsia="宋体"/>
                <w:lang w:val="en-US" w:eastAsia="zh-CN"/>
              </w:rPr>
            </w:pPr>
            <w:r>
              <w:rPr>
                <w:rFonts w:hint="eastAsia"/>
                <w:lang w:val="en-US" w:eastAsia="zh-CN"/>
              </w:rPr>
              <w:t>3.3</w:t>
            </w:r>
          </w:p>
        </w:tc>
        <w:tc>
          <w:tcPr>
            <w:tcW w:w="1166" w:type="dxa"/>
            <w:vAlign w:val="center"/>
          </w:tcPr>
          <w:p>
            <w:pPr>
              <w:rPr>
                <w:rFonts w:hint="default" w:eastAsia="宋体"/>
                <w:lang w:val="en-US" w:eastAsia="zh-CN"/>
              </w:rPr>
            </w:pPr>
            <w:r>
              <w:rPr>
                <w:rFonts w:hint="eastAsia"/>
                <w:lang w:val="en-US" w:eastAsia="zh-CN"/>
              </w:rPr>
              <w:t>35.9</w:t>
            </w:r>
          </w:p>
        </w:tc>
        <w:tc>
          <w:tcPr>
            <w:tcW w:w="1166" w:type="dxa"/>
            <w:vAlign w:val="center"/>
          </w:tcPr>
          <w:p>
            <w:r>
              <w:t>34.9</w:t>
            </w:r>
          </w:p>
        </w:tc>
        <w:tc>
          <w:tcPr>
            <w:tcW w:w="1166" w:type="dxa"/>
            <w:vAlign w:val="center"/>
          </w:tcPr>
          <w:p>
            <w:pPr>
              <w:rPr>
                <w:rFonts w:hint="default" w:eastAsia="宋体"/>
                <w:lang w:val="en-US" w:eastAsia="zh-CN"/>
              </w:rPr>
            </w:pPr>
            <w:r>
              <w:rPr>
                <w:rFonts w:hint="eastAsia"/>
                <w:lang w:val="en-US" w:eastAsia="zh-CN"/>
              </w:rPr>
              <w:t>1.268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31.3</w:t>
            </w:r>
          </w:p>
        </w:tc>
        <w:tc>
          <w:tcPr>
            <w:tcW w:w="1166" w:type="dxa"/>
            <w:vAlign w:val="center"/>
          </w:tcPr>
          <w:p>
            <w:r>
              <w:t>12.9</w:t>
            </w:r>
          </w:p>
        </w:tc>
        <w:tc>
          <w:tcPr>
            <w:tcW w:w="1166" w:type="dxa"/>
            <w:vAlign w:val="center"/>
          </w:tcPr>
          <w:p>
            <w:r>
              <w:t>2.7</w:t>
            </w:r>
          </w:p>
        </w:tc>
        <w:tc>
          <w:tcPr>
            <w:tcW w:w="1166" w:type="dxa"/>
            <w:vAlign w:val="center"/>
          </w:tcPr>
          <w:p>
            <w:pPr>
              <w:rPr>
                <w:rFonts w:hint="default" w:eastAsia="宋体"/>
                <w:lang w:val="en-US" w:eastAsia="zh-CN"/>
              </w:rPr>
            </w:pPr>
            <w:r>
              <w:rPr>
                <w:rFonts w:hint="eastAsia"/>
                <w:lang w:val="en-US" w:eastAsia="zh-CN"/>
              </w:rPr>
              <w:t>4.8</w:t>
            </w:r>
          </w:p>
        </w:tc>
        <w:tc>
          <w:tcPr>
            <w:tcW w:w="1166" w:type="dxa"/>
            <w:vAlign w:val="center"/>
          </w:tcPr>
          <w:p>
            <w:pPr>
              <w:rPr>
                <w:rFonts w:hint="default" w:eastAsia="宋体"/>
                <w:lang w:val="en-US" w:eastAsia="zh-CN"/>
              </w:rPr>
            </w:pPr>
            <w:r>
              <w:rPr>
                <w:rFonts w:hint="eastAsia"/>
                <w:lang w:val="en-US" w:eastAsia="zh-CN"/>
              </w:rPr>
              <w:t>36.7</w:t>
            </w:r>
          </w:p>
        </w:tc>
        <w:tc>
          <w:tcPr>
            <w:tcW w:w="1166" w:type="dxa"/>
            <w:vAlign w:val="center"/>
          </w:tcPr>
          <w:p>
            <w:r>
              <w:t>35.9</w:t>
            </w:r>
          </w:p>
        </w:tc>
        <w:tc>
          <w:tcPr>
            <w:tcW w:w="1166" w:type="dxa"/>
            <w:vAlign w:val="center"/>
          </w:tcPr>
          <w:p>
            <w:pPr>
              <w:rPr>
                <w:rFonts w:hint="default" w:eastAsia="宋体"/>
                <w:lang w:val="en-US" w:eastAsia="zh-CN"/>
              </w:rPr>
            </w:pPr>
            <w:r>
              <w:rPr>
                <w:rFonts w:hint="eastAsia"/>
                <w:lang w:val="en-US" w:eastAsia="zh-CN"/>
              </w:rPr>
              <w:t>0.884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31.3</w:t>
            </w:r>
          </w:p>
        </w:tc>
        <w:tc>
          <w:tcPr>
            <w:tcW w:w="1166" w:type="dxa"/>
            <w:vAlign w:val="center"/>
          </w:tcPr>
          <w:p>
            <w:r>
              <w:t>14.6</w:t>
            </w:r>
          </w:p>
        </w:tc>
        <w:tc>
          <w:tcPr>
            <w:tcW w:w="1166" w:type="dxa"/>
            <w:vAlign w:val="center"/>
          </w:tcPr>
          <w:p>
            <w:r>
              <w:t>2.6</w:t>
            </w:r>
          </w:p>
        </w:tc>
        <w:tc>
          <w:tcPr>
            <w:tcW w:w="1166" w:type="dxa"/>
            <w:vAlign w:val="center"/>
          </w:tcPr>
          <w:p>
            <w:pPr>
              <w:rPr>
                <w:rFonts w:hint="default" w:eastAsia="宋体"/>
                <w:lang w:val="en-US" w:eastAsia="zh-CN"/>
              </w:rPr>
            </w:pPr>
            <w:r>
              <w:rPr>
                <w:rFonts w:hint="eastAsia"/>
                <w:lang w:val="en-US" w:eastAsia="zh-CN"/>
              </w:rPr>
              <w:t>5.1</w:t>
            </w:r>
          </w:p>
        </w:tc>
        <w:tc>
          <w:tcPr>
            <w:tcW w:w="1166" w:type="dxa"/>
            <w:vAlign w:val="center"/>
          </w:tcPr>
          <w:p>
            <w:pPr>
              <w:rPr>
                <w:rFonts w:hint="default" w:eastAsia="宋体"/>
                <w:lang w:val="en-US" w:eastAsia="zh-CN"/>
              </w:rPr>
            </w:pPr>
            <w:r>
              <w:rPr>
                <w:rFonts w:hint="eastAsia"/>
                <w:lang w:val="en-US" w:eastAsia="zh-CN"/>
              </w:rPr>
              <w:t>38.2</w:t>
            </w:r>
          </w:p>
        </w:tc>
        <w:tc>
          <w:tcPr>
            <w:tcW w:w="1166" w:type="dxa"/>
            <w:vAlign w:val="center"/>
          </w:tcPr>
          <w:p>
            <w:r>
              <w:t>36.5</w:t>
            </w:r>
          </w:p>
        </w:tc>
        <w:tc>
          <w:tcPr>
            <w:tcW w:w="1166" w:type="dxa"/>
            <w:vAlign w:val="center"/>
          </w:tcPr>
          <w:p>
            <w:pPr>
              <w:rPr>
                <w:rFonts w:hint="default" w:eastAsia="宋体"/>
                <w:lang w:val="en-US" w:eastAsia="zh-CN"/>
              </w:rPr>
            </w:pPr>
            <w:r>
              <w:rPr>
                <w:rFonts w:hint="eastAsia"/>
                <w:lang w:val="en-US" w:eastAsia="zh-CN"/>
              </w:rPr>
              <w:t>1.732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31.3</w:t>
            </w:r>
          </w:p>
        </w:tc>
        <w:tc>
          <w:tcPr>
            <w:tcW w:w="1166" w:type="dxa"/>
            <w:vAlign w:val="center"/>
          </w:tcPr>
          <w:p>
            <w:r>
              <w:t>15.6</w:t>
            </w:r>
          </w:p>
        </w:tc>
        <w:tc>
          <w:tcPr>
            <w:tcW w:w="1166" w:type="dxa"/>
            <w:vAlign w:val="center"/>
          </w:tcPr>
          <w:p>
            <w:r>
              <w:t>2.3</w:t>
            </w:r>
          </w:p>
        </w:tc>
        <w:tc>
          <w:tcPr>
            <w:tcW w:w="1166" w:type="dxa"/>
            <w:vAlign w:val="center"/>
          </w:tcPr>
          <w:p>
            <w:pPr>
              <w:rPr>
                <w:rFonts w:hint="default" w:eastAsia="宋体"/>
                <w:lang w:val="en-US" w:eastAsia="zh-CN"/>
              </w:rPr>
            </w:pPr>
            <w:r>
              <w:rPr>
                <w:rFonts w:hint="eastAsia"/>
                <w:lang w:val="en-US" w:eastAsia="zh-CN"/>
              </w:rPr>
              <w:t>6.4</w:t>
            </w:r>
          </w:p>
        </w:tc>
        <w:tc>
          <w:tcPr>
            <w:tcW w:w="1166" w:type="dxa"/>
            <w:vAlign w:val="center"/>
          </w:tcPr>
          <w:p>
            <w:pPr>
              <w:rPr>
                <w:rFonts w:hint="default" w:eastAsia="宋体"/>
                <w:lang w:val="en-US" w:eastAsia="zh-CN"/>
              </w:rPr>
            </w:pPr>
            <w:r>
              <w:rPr>
                <w:rFonts w:hint="eastAsia"/>
                <w:lang w:val="en-US" w:eastAsia="zh-CN"/>
              </w:rPr>
              <w:t>38.2</w:t>
            </w:r>
          </w:p>
        </w:tc>
        <w:tc>
          <w:tcPr>
            <w:tcW w:w="1166" w:type="dxa"/>
            <w:vAlign w:val="center"/>
          </w:tcPr>
          <w:p>
            <w:r>
              <w:t>36.7</w:t>
            </w:r>
          </w:p>
        </w:tc>
        <w:tc>
          <w:tcPr>
            <w:tcW w:w="1166" w:type="dxa"/>
            <w:vAlign w:val="center"/>
          </w:tcPr>
          <w:p>
            <w:pPr>
              <w:rPr>
                <w:rFonts w:hint="default" w:eastAsia="宋体"/>
                <w:lang w:val="en-US" w:eastAsia="zh-CN"/>
              </w:rPr>
            </w:pPr>
            <w:r>
              <w:rPr>
                <w:rFonts w:hint="eastAsia"/>
                <w:lang w:val="en-US" w:eastAsia="zh-CN"/>
              </w:rPr>
              <w:t>1.521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31.3</w:t>
            </w:r>
          </w:p>
        </w:tc>
        <w:tc>
          <w:tcPr>
            <w:tcW w:w="1166" w:type="dxa"/>
            <w:vAlign w:val="center"/>
          </w:tcPr>
          <w:p>
            <w:r>
              <w:t>15.9</w:t>
            </w:r>
          </w:p>
        </w:tc>
        <w:tc>
          <w:tcPr>
            <w:tcW w:w="1166" w:type="dxa"/>
            <w:vAlign w:val="center"/>
          </w:tcPr>
          <w:p>
            <w:r>
              <w:t>2.2</w:t>
            </w:r>
          </w:p>
        </w:tc>
        <w:tc>
          <w:tcPr>
            <w:tcW w:w="1166" w:type="dxa"/>
            <w:vAlign w:val="center"/>
          </w:tcPr>
          <w:p>
            <w:pPr>
              <w:rPr>
                <w:rFonts w:hint="default" w:eastAsia="宋体"/>
                <w:lang w:val="en-US" w:eastAsia="zh-CN"/>
              </w:rPr>
            </w:pPr>
            <w:r>
              <w:rPr>
                <w:rFonts w:hint="eastAsia"/>
                <w:lang w:val="en-US" w:eastAsia="zh-CN"/>
              </w:rPr>
              <w:t>8.5</w:t>
            </w:r>
          </w:p>
        </w:tc>
        <w:tc>
          <w:tcPr>
            <w:tcW w:w="1166" w:type="dxa"/>
            <w:vAlign w:val="center"/>
          </w:tcPr>
          <w:p>
            <w:pPr>
              <w:rPr>
                <w:rFonts w:hint="default" w:eastAsia="宋体"/>
                <w:lang w:val="en-US" w:eastAsia="zh-CN"/>
              </w:rPr>
            </w:pPr>
            <w:r>
              <w:rPr>
                <w:rFonts w:hint="eastAsia"/>
                <w:lang w:val="en-US" w:eastAsia="zh-CN"/>
              </w:rPr>
              <w:t>36.5</w:t>
            </w:r>
          </w:p>
        </w:tc>
        <w:tc>
          <w:tcPr>
            <w:tcW w:w="1166" w:type="dxa"/>
            <w:vAlign w:val="center"/>
          </w:tcPr>
          <w:p>
            <w:r>
              <w:t>35.8</w:t>
            </w:r>
          </w:p>
        </w:tc>
        <w:tc>
          <w:tcPr>
            <w:tcW w:w="1166" w:type="dxa"/>
            <w:vAlign w:val="center"/>
          </w:tcPr>
          <w:p>
            <w:pPr>
              <w:rPr>
                <w:rFonts w:hint="default" w:eastAsia="宋体"/>
                <w:lang w:val="en-US" w:eastAsia="zh-CN"/>
              </w:rPr>
            </w:pPr>
            <w:r>
              <w:rPr>
                <w:rFonts w:hint="eastAsia"/>
                <w:lang w:val="en-US" w:eastAsia="zh-CN"/>
              </w:rPr>
              <w:t>0.741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31.3</w:t>
            </w:r>
          </w:p>
        </w:tc>
        <w:tc>
          <w:tcPr>
            <w:tcW w:w="1166" w:type="dxa"/>
            <w:vAlign w:val="center"/>
          </w:tcPr>
          <w:p>
            <w:r>
              <w:t>15.6</w:t>
            </w:r>
          </w:p>
        </w:tc>
        <w:tc>
          <w:tcPr>
            <w:tcW w:w="1166" w:type="dxa"/>
            <w:vAlign w:val="center"/>
          </w:tcPr>
          <w:p>
            <w:r>
              <w:t>2.0</w:t>
            </w:r>
          </w:p>
        </w:tc>
        <w:tc>
          <w:tcPr>
            <w:tcW w:w="1166" w:type="dxa"/>
            <w:vAlign w:val="center"/>
          </w:tcPr>
          <w:p>
            <w:pPr>
              <w:rPr>
                <w:rFonts w:hint="default" w:eastAsia="宋体"/>
                <w:lang w:val="en-US" w:eastAsia="zh-CN"/>
              </w:rPr>
            </w:pPr>
            <w:r>
              <w:rPr>
                <w:rFonts w:hint="eastAsia"/>
                <w:lang w:val="en-US" w:eastAsia="zh-CN"/>
              </w:rPr>
              <w:t>7.7</w:t>
            </w:r>
          </w:p>
        </w:tc>
        <w:tc>
          <w:tcPr>
            <w:tcW w:w="1166" w:type="dxa"/>
            <w:vAlign w:val="center"/>
          </w:tcPr>
          <w:p>
            <w:pPr>
              <w:rPr>
                <w:rFonts w:hint="default" w:eastAsia="宋体"/>
                <w:lang w:val="en-US" w:eastAsia="zh-CN"/>
              </w:rPr>
            </w:pPr>
            <w:r>
              <w:rPr>
                <w:rFonts w:hint="eastAsia"/>
                <w:lang w:val="en-US" w:eastAsia="zh-CN"/>
              </w:rPr>
              <w:t>37.2</w:t>
            </w:r>
          </w:p>
        </w:tc>
        <w:tc>
          <w:tcPr>
            <w:tcW w:w="1166" w:type="dxa"/>
            <w:vAlign w:val="center"/>
          </w:tcPr>
          <w:p>
            <w:r>
              <w:t>35.6</w:t>
            </w:r>
          </w:p>
        </w:tc>
        <w:tc>
          <w:tcPr>
            <w:tcW w:w="1166" w:type="dxa"/>
            <w:vAlign w:val="center"/>
          </w:tcPr>
          <w:p>
            <w:pPr>
              <w:rPr>
                <w:rFonts w:hint="default" w:eastAsia="宋体"/>
                <w:lang w:val="en-US" w:eastAsia="zh-CN"/>
              </w:rPr>
            </w:pPr>
            <w:r>
              <w:rPr>
                <w:rFonts w:hint="eastAsia"/>
                <w:lang w:val="en-US" w:eastAsia="zh-CN"/>
              </w:rPr>
              <w:t>1.632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31.3</w:t>
            </w:r>
          </w:p>
        </w:tc>
        <w:tc>
          <w:tcPr>
            <w:tcW w:w="1166" w:type="dxa"/>
            <w:vAlign w:val="center"/>
          </w:tcPr>
          <w:p>
            <w:r>
              <w:t>14.8</w:t>
            </w:r>
          </w:p>
        </w:tc>
        <w:tc>
          <w:tcPr>
            <w:tcW w:w="1166" w:type="dxa"/>
            <w:vAlign w:val="center"/>
          </w:tcPr>
          <w:p>
            <w:r>
              <w:t>2.2</w:t>
            </w:r>
          </w:p>
        </w:tc>
        <w:tc>
          <w:tcPr>
            <w:tcW w:w="1166" w:type="dxa"/>
            <w:vAlign w:val="center"/>
          </w:tcPr>
          <w:p>
            <w:pPr>
              <w:rPr>
                <w:rFonts w:hint="default" w:eastAsia="宋体"/>
                <w:lang w:val="en-US" w:eastAsia="zh-CN"/>
              </w:rPr>
            </w:pPr>
            <w:r>
              <w:rPr>
                <w:rFonts w:hint="eastAsia"/>
                <w:lang w:val="en-US" w:eastAsia="zh-CN"/>
              </w:rPr>
              <w:t>8.7</w:t>
            </w:r>
          </w:p>
        </w:tc>
        <w:tc>
          <w:tcPr>
            <w:tcW w:w="1166" w:type="dxa"/>
            <w:vAlign w:val="center"/>
          </w:tcPr>
          <w:p>
            <w:pPr>
              <w:rPr>
                <w:rFonts w:hint="default" w:eastAsia="宋体"/>
                <w:lang w:val="en-US" w:eastAsia="zh-CN"/>
              </w:rPr>
            </w:pPr>
            <w:r>
              <w:rPr>
                <w:rFonts w:hint="eastAsia"/>
                <w:lang w:val="en-US" w:eastAsia="zh-CN"/>
              </w:rPr>
              <w:t>35.2</w:t>
            </w:r>
          </w:p>
        </w:tc>
        <w:tc>
          <w:tcPr>
            <w:tcW w:w="1166" w:type="dxa"/>
            <w:vAlign w:val="center"/>
          </w:tcPr>
          <w:p>
            <w:r>
              <w:t>34.9</w:t>
            </w:r>
          </w:p>
        </w:tc>
        <w:tc>
          <w:tcPr>
            <w:tcW w:w="1166" w:type="dxa"/>
            <w:vAlign w:val="center"/>
          </w:tcPr>
          <w:p>
            <w:pPr>
              <w:rPr>
                <w:rFonts w:hint="default" w:eastAsia="宋体"/>
                <w:lang w:val="en-US" w:eastAsia="zh-CN"/>
              </w:rPr>
            </w:pPr>
            <w:r>
              <w:rPr>
                <w:rFonts w:hint="eastAsia"/>
                <w:lang w:val="en-US" w:eastAsia="zh-CN"/>
              </w:rPr>
              <w:t>0.351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31.3</w:t>
            </w:r>
          </w:p>
        </w:tc>
        <w:tc>
          <w:tcPr>
            <w:tcW w:w="1166" w:type="dxa"/>
            <w:vAlign w:val="center"/>
          </w:tcPr>
          <w:p>
            <w:r>
              <w:t>13.5</w:t>
            </w:r>
          </w:p>
        </w:tc>
        <w:tc>
          <w:tcPr>
            <w:tcW w:w="1166" w:type="dxa"/>
            <w:vAlign w:val="center"/>
          </w:tcPr>
          <w:p>
            <w:r>
              <w:t>2.6</w:t>
            </w:r>
          </w:p>
        </w:tc>
        <w:tc>
          <w:tcPr>
            <w:tcW w:w="1166" w:type="dxa"/>
            <w:vAlign w:val="center"/>
          </w:tcPr>
          <w:p>
            <w:pPr>
              <w:rPr>
                <w:rFonts w:hint="default" w:eastAsia="宋体"/>
                <w:lang w:val="en-US" w:eastAsia="zh-CN"/>
              </w:rPr>
            </w:pPr>
            <w:r>
              <w:rPr>
                <w:rFonts w:hint="eastAsia"/>
                <w:lang w:val="en-US" w:eastAsia="zh-CN"/>
              </w:rPr>
              <w:t>8.0</w:t>
            </w:r>
          </w:p>
        </w:tc>
        <w:tc>
          <w:tcPr>
            <w:tcW w:w="1166" w:type="dxa"/>
            <w:vAlign w:val="center"/>
          </w:tcPr>
          <w:p>
            <w:pPr>
              <w:rPr>
                <w:rFonts w:hint="default" w:eastAsia="宋体"/>
                <w:lang w:val="en-US" w:eastAsia="zh-CN"/>
              </w:rPr>
            </w:pPr>
            <w:r>
              <w:rPr>
                <w:rFonts w:hint="eastAsia"/>
                <w:lang w:val="en-US" w:eastAsia="zh-CN"/>
              </w:rPr>
              <w:t>34.2</w:t>
            </w:r>
          </w:p>
        </w:tc>
        <w:tc>
          <w:tcPr>
            <w:tcW w:w="1166" w:type="dxa"/>
            <w:vAlign w:val="center"/>
          </w:tcPr>
          <w:p>
            <w:r>
              <w:t>32.3</w:t>
            </w:r>
          </w:p>
        </w:tc>
        <w:tc>
          <w:tcPr>
            <w:tcW w:w="1166" w:type="dxa"/>
            <w:vAlign w:val="center"/>
          </w:tcPr>
          <w:p>
            <w:pPr>
              <w:rPr>
                <w:rFonts w:hint="default" w:eastAsia="宋体"/>
                <w:lang w:val="en-US" w:eastAsia="zh-CN"/>
              </w:rPr>
            </w:pPr>
            <w:r>
              <w:rPr>
                <w:rFonts w:hint="eastAsia"/>
                <w:lang w:val="en-US" w:eastAsia="zh-CN"/>
              </w:rPr>
              <w:t>1.909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pPr>
              <w:rPr>
                <w:rFonts w:hint="default" w:eastAsia="宋体"/>
                <w:lang w:val="en-US" w:eastAsia="zh-CN"/>
              </w:rPr>
            </w:pPr>
            <w:r>
              <w:rPr>
                <w:rFonts w:hint="eastAsia"/>
                <w:color w:val="000000" w:themeColor="text1"/>
                <w:lang w:val="en-US" w:eastAsia="zh-CN"/>
                <w14:textFill>
                  <w14:solidFill>
                    <w14:schemeClr w14:val="tx1"/>
                  </w14:solidFill>
                </w14:textFill>
              </w:rPr>
              <w:t>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rPr>
                <w:color w:val="000000" w:themeColor="text1"/>
                <w14:textFill>
                  <w14:solidFill>
                    <w14:schemeClr w14:val="tx1"/>
                  </w14:solidFill>
                </w14:textFill>
              </w:rPr>
              <w:t>满足</w:t>
            </w:r>
          </w:p>
        </w:tc>
      </w:tr>
    </w:tbl>
    <w:p>
      <w:pPr>
        <w:pStyle w:val="3"/>
        <w:ind w:firstLine="420"/>
        <w:rPr>
          <w:lang w:val="en-US"/>
        </w:rPr>
      </w:pPr>
      <w:bookmarkStart w:id="51" w:name="平均热岛强度"/>
      <w:bookmarkEnd w:id="51"/>
    </w:p>
    <w:p>
      <w:pPr>
        <w:pStyle w:val="3"/>
        <w:ind w:firstLine="0" w:firstLineChars="0"/>
        <w:rPr>
          <w:lang w:val="en-US"/>
        </w:rPr>
      </w:pPr>
      <w:bookmarkStart w:id="52" w:name="平均热岛强度图片"/>
      <w:bookmarkEnd w:id="52"/>
      <w:r>
        <w:drawing>
          <wp:inline distT="0" distB="0" distL="0" distR="0">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2628900"/>
                    </a:xfrm>
                    <a:prstGeom prst="rect">
                      <a:avLst/>
                    </a:prstGeom>
                  </pic:spPr>
                </pic:pic>
              </a:graphicData>
            </a:graphic>
          </wp:inline>
        </w:drawing>
      </w:r>
    </w:p>
    <w:p>
      <w:pPr>
        <w:pStyle w:val="4"/>
      </w:pPr>
      <w:bookmarkStart w:id="53" w:name="_Toc16494785"/>
      <w:r>
        <w:rPr>
          <w:rFonts w:hint="eastAsia"/>
        </w:rPr>
        <w:t>湿球黑球温度</w:t>
      </w:r>
      <w:bookmarkEnd w:id="5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时刻</w:t>
            </w:r>
          </w:p>
        </w:tc>
        <w:tc>
          <w:tcPr>
            <w:tcW w:w="1556" w:type="dxa"/>
            <w:shd w:val="clear" w:color="auto" w:fill="E6E6E6"/>
            <w:vAlign w:val="center"/>
          </w:tcPr>
          <w:p>
            <w:pPr>
              <w:jc w:val="center"/>
            </w:pPr>
            <w:r>
              <w:t>居住区温度</w:t>
            </w:r>
            <w:r>
              <w:br w:type="textWrapping"/>
            </w:r>
            <w:r>
              <w:t>(℃)</w:t>
            </w:r>
          </w:p>
        </w:tc>
        <w:tc>
          <w:tcPr>
            <w:tcW w:w="1556" w:type="dxa"/>
            <w:shd w:val="clear" w:color="auto" w:fill="E6E6E6"/>
            <w:vAlign w:val="center"/>
          </w:tcPr>
          <w:p>
            <w:pPr>
              <w:jc w:val="center"/>
            </w:pPr>
            <w:r>
              <w:t>空气相对湿度</w:t>
            </w:r>
          </w:p>
        </w:tc>
        <w:tc>
          <w:tcPr>
            <w:tcW w:w="1556" w:type="dxa"/>
            <w:shd w:val="clear" w:color="auto" w:fill="E6E6E6"/>
            <w:vAlign w:val="center"/>
          </w:tcPr>
          <w:p>
            <w:pPr>
              <w:jc w:val="center"/>
            </w:pPr>
            <w:r>
              <w:t>太阳辐射照度</w:t>
            </w:r>
            <w:r>
              <w:br w:type="textWrapping"/>
            </w:r>
            <w:r>
              <w:t>(W/㎡)</w:t>
            </w:r>
          </w:p>
        </w:tc>
        <w:tc>
          <w:tcPr>
            <w:tcW w:w="1556" w:type="dxa"/>
            <w:shd w:val="clear" w:color="auto" w:fill="E6E6E6"/>
            <w:vAlign w:val="center"/>
          </w:tcPr>
          <w:p>
            <w:pPr>
              <w:jc w:val="center"/>
            </w:pPr>
            <w:r>
              <w:t>地表短波辐射</w:t>
            </w:r>
            <w:r>
              <w:br w:type="textWrapping"/>
            </w:r>
            <w:r>
              <w:t>(W/㎡)</w:t>
            </w:r>
          </w:p>
        </w:tc>
        <w:tc>
          <w:tcPr>
            <w:tcW w:w="1556" w:type="dxa"/>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8:00</w:t>
            </w:r>
          </w:p>
        </w:tc>
        <w:tc>
          <w:tcPr>
            <w:tcW w:w="1556" w:type="dxa"/>
            <w:vAlign w:val="center"/>
          </w:tcPr>
          <w:p>
            <w:r>
              <w:t>31.6</w:t>
            </w:r>
          </w:p>
        </w:tc>
        <w:tc>
          <w:tcPr>
            <w:tcW w:w="1556" w:type="dxa"/>
            <w:vAlign w:val="center"/>
          </w:tcPr>
          <w:p>
            <w:r>
              <w:t>0.7</w:t>
            </w:r>
          </w:p>
        </w:tc>
        <w:tc>
          <w:tcPr>
            <w:tcW w:w="1556" w:type="dxa"/>
            <w:vAlign w:val="center"/>
          </w:tcPr>
          <w:p>
            <w:r>
              <w:t>312.7</w:t>
            </w:r>
          </w:p>
        </w:tc>
        <w:tc>
          <w:tcPr>
            <w:tcW w:w="1556" w:type="dxa"/>
            <w:vAlign w:val="center"/>
          </w:tcPr>
          <w:p>
            <w:r>
              <w:t>81.3</w:t>
            </w:r>
          </w:p>
        </w:tc>
        <w:tc>
          <w:tcPr>
            <w:tcW w:w="1556" w:type="dxa"/>
            <w:vAlign w:val="center"/>
          </w:tcPr>
          <w:p>
            <w:r>
              <w:t>2</w:t>
            </w:r>
            <w:r>
              <w:rPr>
                <w:rFonts w:hint="eastAsia"/>
                <w:lang w:val="en-US" w:eastAsia="zh-CN"/>
              </w:rPr>
              <w:t>6</w:t>
            </w:r>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9:00</w:t>
            </w:r>
          </w:p>
        </w:tc>
        <w:tc>
          <w:tcPr>
            <w:tcW w:w="1556" w:type="dxa"/>
            <w:vAlign w:val="center"/>
          </w:tcPr>
          <w:p>
            <w:r>
              <w:t>33.5</w:t>
            </w:r>
          </w:p>
        </w:tc>
        <w:tc>
          <w:tcPr>
            <w:tcW w:w="1556" w:type="dxa"/>
            <w:vAlign w:val="center"/>
          </w:tcPr>
          <w:p>
            <w:r>
              <w:t>0.7</w:t>
            </w:r>
          </w:p>
        </w:tc>
        <w:tc>
          <w:tcPr>
            <w:tcW w:w="1556" w:type="dxa"/>
            <w:vAlign w:val="center"/>
          </w:tcPr>
          <w:p>
            <w:r>
              <w:t>422.4</w:t>
            </w:r>
          </w:p>
        </w:tc>
        <w:tc>
          <w:tcPr>
            <w:tcW w:w="1556" w:type="dxa"/>
            <w:vAlign w:val="center"/>
          </w:tcPr>
          <w:p>
            <w:r>
              <w:t>109.8</w:t>
            </w:r>
          </w:p>
        </w:tc>
        <w:tc>
          <w:tcPr>
            <w:tcW w:w="1556" w:type="dxa"/>
            <w:vAlign w:val="center"/>
          </w:tcPr>
          <w:p>
            <w:r>
              <w:rPr>
                <w:rFonts w:hint="eastAsia"/>
                <w:lang w:val="en-US" w:eastAsia="zh-CN"/>
              </w:rPr>
              <w:t>26</w:t>
            </w:r>
            <w:r>
              <w:t>.6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10:00</w:t>
            </w:r>
          </w:p>
        </w:tc>
        <w:tc>
          <w:tcPr>
            <w:tcW w:w="1556" w:type="dxa"/>
            <w:vAlign w:val="center"/>
          </w:tcPr>
          <w:p>
            <w:r>
              <w:t>36.3</w:t>
            </w:r>
          </w:p>
        </w:tc>
        <w:tc>
          <w:tcPr>
            <w:tcW w:w="1556" w:type="dxa"/>
            <w:vAlign w:val="center"/>
          </w:tcPr>
          <w:p>
            <w:r>
              <w:t>0.6</w:t>
            </w:r>
          </w:p>
        </w:tc>
        <w:tc>
          <w:tcPr>
            <w:tcW w:w="1556" w:type="dxa"/>
            <w:vAlign w:val="center"/>
          </w:tcPr>
          <w:p>
            <w:r>
              <w:t>505.2</w:t>
            </w:r>
          </w:p>
        </w:tc>
        <w:tc>
          <w:tcPr>
            <w:tcW w:w="1556" w:type="dxa"/>
            <w:vAlign w:val="center"/>
          </w:tcPr>
          <w:p>
            <w:r>
              <w:t>131.4</w:t>
            </w:r>
          </w:p>
        </w:tc>
        <w:tc>
          <w:tcPr>
            <w:tcW w:w="1556" w:type="dxa"/>
            <w:vAlign w:val="center"/>
          </w:tcPr>
          <w:p>
            <w:r>
              <w:rPr>
                <w:rFonts w:hint="eastAsia"/>
                <w:lang w:val="en-US" w:eastAsia="zh-CN"/>
              </w:rPr>
              <w:t>26</w:t>
            </w:r>
            <w:r>
              <w:t>.7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11:00</w:t>
            </w:r>
          </w:p>
        </w:tc>
        <w:tc>
          <w:tcPr>
            <w:tcW w:w="1556" w:type="dxa"/>
            <w:vAlign w:val="center"/>
          </w:tcPr>
          <w:p>
            <w:r>
              <w:t>39.1</w:t>
            </w:r>
          </w:p>
        </w:tc>
        <w:tc>
          <w:tcPr>
            <w:tcW w:w="1556" w:type="dxa"/>
            <w:vAlign w:val="center"/>
          </w:tcPr>
          <w:p>
            <w:r>
              <w:t>0.6</w:t>
            </w:r>
          </w:p>
        </w:tc>
        <w:tc>
          <w:tcPr>
            <w:tcW w:w="1556" w:type="dxa"/>
            <w:vAlign w:val="center"/>
          </w:tcPr>
          <w:p>
            <w:r>
              <w:t>555.7</w:t>
            </w:r>
          </w:p>
        </w:tc>
        <w:tc>
          <w:tcPr>
            <w:tcW w:w="1556" w:type="dxa"/>
            <w:vAlign w:val="center"/>
          </w:tcPr>
          <w:p>
            <w:r>
              <w:t>144.5</w:t>
            </w:r>
          </w:p>
        </w:tc>
        <w:tc>
          <w:tcPr>
            <w:tcW w:w="1556" w:type="dxa"/>
            <w:vAlign w:val="center"/>
          </w:tcPr>
          <w:p>
            <w:r>
              <w:rPr>
                <w:rFonts w:hint="eastAsia"/>
                <w:lang w:val="en-US" w:eastAsia="zh-CN"/>
              </w:rPr>
              <w:t>27</w:t>
            </w:r>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12:00</w:t>
            </w:r>
          </w:p>
        </w:tc>
        <w:tc>
          <w:tcPr>
            <w:tcW w:w="1556" w:type="dxa"/>
            <w:vAlign w:val="center"/>
          </w:tcPr>
          <w:p>
            <w:r>
              <w:t>41.4</w:t>
            </w:r>
          </w:p>
        </w:tc>
        <w:tc>
          <w:tcPr>
            <w:tcW w:w="1556" w:type="dxa"/>
            <w:vAlign w:val="center"/>
          </w:tcPr>
          <w:p>
            <w:r>
              <w:t>0.5</w:t>
            </w:r>
          </w:p>
        </w:tc>
        <w:tc>
          <w:tcPr>
            <w:tcW w:w="1556" w:type="dxa"/>
            <w:vAlign w:val="center"/>
          </w:tcPr>
          <w:p>
            <w:r>
              <w:t>561.4</w:t>
            </w:r>
          </w:p>
        </w:tc>
        <w:tc>
          <w:tcPr>
            <w:tcW w:w="1556" w:type="dxa"/>
            <w:vAlign w:val="center"/>
          </w:tcPr>
          <w:p>
            <w:r>
              <w:t>146.0</w:t>
            </w:r>
          </w:p>
        </w:tc>
        <w:tc>
          <w:tcPr>
            <w:tcW w:w="1556" w:type="dxa"/>
            <w:vAlign w:val="center"/>
          </w:tcPr>
          <w:p>
            <w:r>
              <w:rPr>
                <w:rFonts w:hint="eastAsia"/>
                <w:lang w:val="en-US" w:eastAsia="zh-CN"/>
              </w:rPr>
              <w:t>28</w:t>
            </w:r>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13:00</w:t>
            </w:r>
          </w:p>
        </w:tc>
        <w:tc>
          <w:tcPr>
            <w:tcW w:w="1556" w:type="dxa"/>
            <w:vAlign w:val="center"/>
          </w:tcPr>
          <w:p>
            <w:r>
              <w:t>43.2</w:t>
            </w:r>
          </w:p>
        </w:tc>
        <w:tc>
          <w:tcPr>
            <w:tcW w:w="1556" w:type="dxa"/>
            <w:vAlign w:val="center"/>
          </w:tcPr>
          <w:p>
            <w:r>
              <w:t>0.5</w:t>
            </w:r>
          </w:p>
        </w:tc>
        <w:tc>
          <w:tcPr>
            <w:tcW w:w="1556" w:type="dxa"/>
            <w:vAlign w:val="center"/>
          </w:tcPr>
          <w:p>
            <w:r>
              <w:t>518.5</w:t>
            </w:r>
          </w:p>
        </w:tc>
        <w:tc>
          <w:tcPr>
            <w:tcW w:w="1556" w:type="dxa"/>
            <w:vAlign w:val="center"/>
          </w:tcPr>
          <w:p>
            <w:r>
              <w:t>134.8</w:t>
            </w:r>
          </w:p>
        </w:tc>
        <w:tc>
          <w:tcPr>
            <w:tcW w:w="1556" w:type="dxa"/>
            <w:vAlign w:val="center"/>
          </w:tcPr>
          <w:p>
            <w:r>
              <w:rPr>
                <w:rFonts w:hint="eastAsia"/>
                <w:lang w:val="en-US" w:eastAsia="zh-CN"/>
              </w:rPr>
              <w:t>28</w:t>
            </w:r>
            <w:r>
              <w:t>.6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14:00</w:t>
            </w:r>
          </w:p>
        </w:tc>
        <w:tc>
          <w:tcPr>
            <w:tcW w:w="1556" w:type="dxa"/>
            <w:vAlign w:val="center"/>
          </w:tcPr>
          <w:p>
            <w:r>
              <w:t>44.5</w:t>
            </w:r>
          </w:p>
        </w:tc>
        <w:tc>
          <w:tcPr>
            <w:tcW w:w="1556" w:type="dxa"/>
            <w:vAlign w:val="center"/>
          </w:tcPr>
          <w:p>
            <w:r>
              <w:t>0.5</w:t>
            </w:r>
          </w:p>
        </w:tc>
        <w:tc>
          <w:tcPr>
            <w:tcW w:w="1556" w:type="dxa"/>
            <w:vAlign w:val="center"/>
          </w:tcPr>
          <w:p>
            <w:r>
              <w:t>440.5</w:t>
            </w:r>
          </w:p>
        </w:tc>
        <w:tc>
          <w:tcPr>
            <w:tcW w:w="1556" w:type="dxa"/>
            <w:vAlign w:val="center"/>
          </w:tcPr>
          <w:p>
            <w:r>
              <w:t>114.5</w:t>
            </w:r>
          </w:p>
        </w:tc>
        <w:tc>
          <w:tcPr>
            <w:tcW w:w="1556" w:type="dxa"/>
            <w:vAlign w:val="center"/>
          </w:tcPr>
          <w:p>
            <w:r>
              <w:rPr>
                <w:rFonts w:hint="eastAsia"/>
                <w:lang w:val="en-US" w:eastAsia="zh-CN"/>
              </w:rPr>
              <w:t>29</w:t>
            </w:r>
            <w:r>
              <w:t>.6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15:00</w:t>
            </w:r>
          </w:p>
        </w:tc>
        <w:tc>
          <w:tcPr>
            <w:tcW w:w="1556" w:type="dxa"/>
            <w:vAlign w:val="center"/>
          </w:tcPr>
          <w:p>
            <w:r>
              <w:t>45.0</w:t>
            </w:r>
          </w:p>
        </w:tc>
        <w:tc>
          <w:tcPr>
            <w:tcW w:w="1556" w:type="dxa"/>
            <w:vAlign w:val="center"/>
          </w:tcPr>
          <w:p>
            <w:r>
              <w:t>0.5</w:t>
            </w:r>
          </w:p>
        </w:tc>
        <w:tc>
          <w:tcPr>
            <w:tcW w:w="1556" w:type="dxa"/>
            <w:vAlign w:val="center"/>
          </w:tcPr>
          <w:p>
            <w:r>
              <w:t>338.4</w:t>
            </w:r>
          </w:p>
        </w:tc>
        <w:tc>
          <w:tcPr>
            <w:tcW w:w="1556" w:type="dxa"/>
            <w:vAlign w:val="center"/>
          </w:tcPr>
          <w:p>
            <w:r>
              <w:t>88.0</w:t>
            </w:r>
          </w:p>
        </w:tc>
        <w:tc>
          <w:tcPr>
            <w:tcW w:w="1556" w:type="dxa"/>
            <w:vAlign w:val="center"/>
          </w:tcPr>
          <w:p>
            <w:r>
              <w:rPr>
                <w:rFonts w:hint="eastAsia"/>
                <w:lang w:val="en-US" w:eastAsia="zh-CN"/>
              </w:rPr>
              <w:t>30</w:t>
            </w:r>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16:00</w:t>
            </w:r>
          </w:p>
        </w:tc>
        <w:tc>
          <w:tcPr>
            <w:tcW w:w="1556" w:type="dxa"/>
            <w:vAlign w:val="center"/>
          </w:tcPr>
          <w:p>
            <w:r>
              <w:t>44.9</w:t>
            </w:r>
          </w:p>
        </w:tc>
        <w:tc>
          <w:tcPr>
            <w:tcW w:w="1556" w:type="dxa"/>
            <w:vAlign w:val="center"/>
          </w:tcPr>
          <w:p>
            <w:r>
              <w:t>0.5</w:t>
            </w:r>
          </w:p>
        </w:tc>
        <w:tc>
          <w:tcPr>
            <w:tcW w:w="1556" w:type="dxa"/>
            <w:vAlign w:val="center"/>
          </w:tcPr>
          <w:p>
            <w:r>
              <w:t>227.1</w:t>
            </w:r>
          </w:p>
        </w:tc>
        <w:tc>
          <w:tcPr>
            <w:tcW w:w="1556" w:type="dxa"/>
            <w:vAlign w:val="center"/>
          </w:tcPr>
          <w:p>
            <w:r>
              <w:t>59.0</w:t>
            </w:r>
          </w:p>
        </w:tc>
        <w:tc>
          <w:tcPr>
            <w:tcW w:w="1556" w:type="dxa"/>
            <w:vAlign w:val="center"/>
          </w:tcPr>
          <w:p>
            <w:r>
              <w:t>3</w:t>
            </w:r>
            <w:r>
              <w:rPr>
                <w:rFonts w:hint="eastAsia"/>
                <w:lang w:val="en-US" w:eastAsia="zh-CN"/>
              </w:rPr>
              <w:t>0</w:t>
            </w:r>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17:00</w:t>
            </w:r>
          </w:p>
        </w:tc>
        <w:tc>
          <w:tcPr>
            <w:tcW w:w="1556" w:type="dxa"/>
            <w:vAlign w:val="center"/>
          </w:tcPr>
          <w:p>
            <w:r>
              <w:t>43.8</w:t>
            </w:r>
          </w:p>
        </w:tc>
        <w:tc>
          <w:tcPr>
            <w:tcW w:w="1556" w:type="dxa"/>
            <w:vAlign w:val="center"/>
          </w:tcPr>
          <w:p>
            <w:r>
              <w:t>0.5</w:t>
            </w:r>
          </w:p>
        </w:tc>
        <w:tc>
          <w:tcPr>
            <w:tcW w:w="1556" w:type="dxa"/>
            <w:vAlign w:val="center"/>
          </w:tcPr>
          <w:p>
            <w:r>
              <w:t>118.6</w:t>
            </w:r>
          </w:p>
        </w:tc>
        <w:tc>
          <w:tcPr>
            <w:tcW w:w="1556" w:type="dxa"/>
            <w:vAlign w:val="center"/>
          </w:tcPr>
          <w:p>
            <w:r>
              <w:t>30.8</w:t>
            </w:r>
          </w:p>
        </w:tc>
        <w:tc>
          <w:tcPr>
            <w:tcW w:w="1556" w:type="dxa"/>
            <w:vAlign w:val="center"/>
          </w:tcPr>
          <w:p>
            <w:r>
              <w:rPr>
                <w:rFonts w:hint="eastAsia"/>
                <w:lang w:val="en-US" w:eastAsia="zh-CN"/>
              </w:rPr>
              <w:t>28</w:t>
            </w:r>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18:00</w:t>
            </w:r>
          </w:p>
        </w:tc>
        <w:tc>
          <w:tcPr>
            <w:tcW w:w="1556" w:type="dxa"/>
            <w:vAlign w:val="center"/>
          </w:tcPr>
          <w:p>
            <w:r>
              <w:t>42.2</w:t>
            </w:r>
          </w:p>
        </w:tc>
        <w:tc>
          <w:tcPr>
            <w:tcW w:w="1556" w:type="dxa"/>
            <w:vAlign w:val="center"/>
          </w:tcPr>
          <w:p>
            <w:r>
              <w:t>0.5</w:t>
            </w:r>
          </w:p>
        </w:tc>
        <w:tc>
          <w:tcPr>
            <w:tcW w:w="1556" w:type="dxa"/>
            <w:vAlign w:val="center"/>
          </w:tcPr>
          <w:p>
            <w:r>
              <w:t>27.4</w:t>
            </w:r>
          </w:p>
        </w:tc>
        <w:tc>
          <w:tcPr>
            <w:tcW w:w="1556" w:type="dxa"/>
            <w:vAlign w:val="center"/>
          </w:tcPr>
          <w:p>
            <w:r>
              <w:t>7.1</w:t>
            </w:r>
          </w:p>
        </w:tc>
        <w:tc>
          <w:tcPr>
            <w:tcW w:w="1556" w:type="dxa"/>
            <w:vAlign w:val="center"/>
          </w:tcPr>
          <w:p>
            <w:r>
              <w:rPr>
                <w:rFonts w:hint="eastAsia"/>
                <w:lang w:val="en-US" w:eastAsia="zh-CN"/>
              </w:rPr>
              <w:t>26</w:t>
            </w: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最大湿球</w:t>
            </w:r>
            <w:r>
              <w:br w:type="textWrapping"/>
            </w:r>
            <w:r>
              <w:t>黑球强度(℃)</w:t>
            </w:r>
          </w:p>
        </w:tc>
        <w:tc>
          <w:tcPr>
            <w:tcW w:w="7780" w:type="dxa"/>
            <w:gridSpan w:val="5"/>
            <w:vAlign w:val="center"/>
          </w:tcPr>
          <w:p>
            <w:pPr>
              <w:rPr>
                <w:rFonts w:hint="default" w:eastAsia="宋体"/>
                <w:lang w:val="en-US" w:eastAsia="zh-CN"/>
              </w:rPr>
            </w:pPr>
            <w:bookmarkStart w:id="58" w:name="_GoBack"/>
            <w:r>
              <w:rPr>
                <w:rFonts w:hint="eastAsia"/>
                <w:color w:val="000000" w:themeColor="text1"/>
                <w:lang w:val="en-US" w:eastAsia="zh-CN"/>
                <w14:textFill>
                  <w14:solidFill>
                    <w14:schemeClr w14:val="tx1"/>
                  </w14:solidFill>
                </w14:textFill>
              </w:rPr>
              <w:t>28.03</w:t>
            </w:r>
            <w:bookmarkEnd w:id="58"/>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依据</w:t>
            </w:r>
          </w:p>
        </w:tc>
        <w:tc>
          <w:tcPr>
            <w:tcW w:w="7780" w:type="dxa"/>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标准要求</w:t>
            </w:r>
          </w:p>
        </w:tc>
        <w:tc>
          <w:tcPr>
            <w:tcW w:w="7780" w:type="dxa"/>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结论</w:t>
            </w:r>
          </w:p>
        </w:tc>
        <w:tc>
          <w:tcPr>
            <w:tcW w:w="7780" w:type="dxa"/>
            <w:gridSpan w:val="5"/>
            <w:vAlign w:val="center"/>
          </w:tcPr>
          <w:p>
            <w:r>
              <w:rPr>
                <w:color w:val="000000" w:themeColor="text1"/>
                <w14:textFill>
                  <w14:solidFill>
                    <w14:schemeClr w14:val="tx1"/>
                  </w14:solidFill>
                </w14:textFill>
              </w:rPr>
              <w:t>满足</w:t>
            </w:r>
          </w:p>
        </w:tc>
      </w:tr>
    </w:tbl>
    <w:p>
      <w:pPr>
        <w:pStyle w:val="3"/>
        <w:ind w:firstLine="420"/>
        <w:rPr>
          <w:lang w:val="en-US"/>
        </w:rPr>
      </w:pPr>
      <w:bookmarkStart w:id="54" w:name="湿球黑球温度"/>
      <w:bookmarkEnd w:id="54"/>
    </w:p>
    <w:p>
      <w:pPr>
        <w:pStyle w:val="3"/>
        <w:ind w:firstLine="0" w:firstLineChars="0"/>
        <w:rPr>
          <w:lang w:val="en-US"/>
        </w:rPr>
      </w:pPr>
      <w:bookmarkStart w:id="55" w:name="湿球黑球温度图片"/>
      <w:bookmarkEnd w:id="55"/>
      <w:r>
        <w:drawing>
          <wp:inline distT="0" distB="0" distL="0" distR="0">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2714625"/>
                    </a:xfrm>
                    <a:prstGeom prst="rect">
                      <a:avLst/>
                    </a:prstGeom>
                  </pic:spPr>
                </pic:pic>
              </a:graphicData>
            </a:graphic>
          </wp:inline>
        </w:drawing>
      </w:r>
    </w:p>
    <w:p>
      <w:pPr>
        <w:pStyle w:val="2"/>
      </w:pPr>
      <w:bookmarkStart w:id="56" w:name="_Toc16494786"/>
      <w:r>
        <w:rPr>
          <w:rFonts w:hint="eastAsia"/>
        </w:rPr>
        <w:t>结论</w:t>
      </w:r>
      <w:bookmarkEnd w:id="5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vMerge w:val="restart"/>
            <w:shd w:val="clear" w:color="auto" w:fill="E6E6E6"/>
            <w:vAlign w:val="center"/>
          </w:tcPr>
          <w:p>
            <w:r>
              <w:rPr>
                <w:b/>
              </w:rPr>
              <w:t>强条</w:t>
            </w:r>
          </w:p>
        </w:tc>
        <w:tc>
          <w:tcPr>
            <w:tcW w:w="2800" w:type="dxa"/>
            <w:vAlign w:val="center"/>
          </w:tcPr>
          <w:p>
            <w:r>
              <w:rPr>
                <w:b/>
              </w:rPr>
              <w:t>平均迎风面积比</w:t>
            </w:r>
          </w:p>
        </w:tc>
        <w:tc>
          <w:tcPr>
            <w:tcW w:w="1866" w:type="dxa"/>
            <w:vAlign w:val="center"/>
          </w:tcPr>
          <w:p>
            <w:r>
              <w:rPr>
                <w:b/>
                <w:color w:val="000000" w:themeColor="text1"/>
                <w14:textFill>
                  <w14:solidFill>
                    <w14:schemeClr w14:val="tx1"/>
                  </w14:solidFill>
                </w14:textFill>
              </w:rPr>
              <w:t>满足</w:t>
            </w:r>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vMerge w:val="continue"/>
            <w:shd w:val="clear" w:color="auto" w:fill="E6E6E6"/>
            <w:vAlign w:val="center"/>
          </w:tcPr>
          <w:p/>
        </w:tc>
        <w:tc>
          <w:tcPr>
            <w:tcW w:w="2800" w:type="dxa"/>
            <w:vAlign w:val="center"/>
          </w:tcPr>
          <w:p>
            <w:r>
              <w:rPr>
                <w:b/>
              </w:rPr>
              <w:t>活动场地遮阳覆盖率</w:t>
            </w:r>
          </w:p>
        </w:tc>
        <w:tc>
          <w:tcPr>
            <w:tcW w:w="1866" w:type="dxa"/>
            <w:vAlign w:val="center"/>
          </w:tcPr>
          <w:p>
            <w:r>
              <w:rPr>
                <w:b/>
                <w:color w:val="000000" w:themeColor="text1"/>
                <w14:textFill>
                  <w14:solidFill>
                    <w14:schemeClr w14:val="tx1"/>
                  </w14:solidFill>
                </w14:textFill>
              </w:rPr>
              <w:t>满足</w:t>
            </w:r>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vMerge w:val="restart"/>
            <w:shd w:val="clear" w:color="auto" w:fill="E6E6E6"/>
            <w:vAlign w:val="center"/>
          </w:tcPr>
          <w:p>
            <w:r>
              <w:t>规定性设计</w:t>
            </w:r>
          </w:p>
        </w:tc>
        <w:tc>
          <w:tcPr>
            <w:tcW w:w="2800" w:type="dxa"/>
            <w:vAlign w:val="center"/>
          </w:tcPr>
          <w:p>
            <w:r>
              <w:t>底层通风架空率</w:t>
            </w:r>
          </w:p>
        </w:tc>
        <w:tc>
          <w:tcPr>
            <w:tcW w:w="1866" w:type="dxa"/>
            <w:vAlign w:val="center"/>
          </w:tcPr>
          <w:p>
            <w:r>
              <w:rPr>
                <w:color w:val="000000" w:themeColor="text1"/>
                <w14:textFill>
                  <w14:solidFill>
                    <w14:schemeClr w14:val="tx1"/>
                  </w14:solidFill>
                </w14:textFill>
              </w:rPr>
              <w:t>满足</w:t>
            </w:r>
          </w:p>
        </w:tc>
        <w:tc>
          <w:tcPr>
            <w:tcW w:w="2800" w:type="dxa"/>
            <w:vMerge w:val="restart"/>
            <w:vAlign w:val="center"/>
          </w:tcPr>
          <w:p>
            <w:r>
              <w:t>不满足任意一条时，进行评价性设计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vMerge w:val="continue"/>
            <w:shd w:val="clear" w:color="auto" w:fill="E6E6E6"/>
            <w:vAlign w:val="center"/>
          </w:tcPr>
          <w:p/>
        </w:tc>
        <w:tc>
          <w:tcPr>
            <w:tcW w:w="2800" w:type="dxa"/>
            <w:vAlign w:val="center"/>
          </w:tcPr>
          <w:p>
            <w:r>
              <w:t>绿化遮阳体叶面积指数</w:t>
            </w:r>
          </w:p>
        </w:tc>
        <w:tc>
          <w:tcPr>
            <w:tcW w:w="1866" w:type="dxa"/>
            <w:vAlign w:val="center"/>
          </w:tcPr>
          <w:p>
            <w:r>
              <w:rPr>
                <w:color w:val="000000" w:themeColor="text1"/>
                <w14:textFill>
                  <w14:solidFill>
                    <w14:schemeClr w14:val="tx1"/>
                  </w14:solidFill>
                </w14:textFill>
              </w:rPr>
              <w:t>满足</w:t>
            </w:r>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vMerge w:val="continue"/>
            <w:shd w:val="clear" w:color="auto" w:fill="E6E6E6"/>
            <w:vAlign w:val="center"/>
          </w:tcPr>
          <w:p/>
        </w:tc>
        <w:tc>
          <w:tcPr>
            <w:tcW w:w="2800" w:type="dxa"/>
            <w:vAlign w:val="center"/>
          </w:tcPr>
          <w:p>
            <w:r>
              <w:t>渗透蒸发指标</w:t>
            </w:r>
          </w:p>
        </w:tc>
        <w:tc>
          <w:tcPr>
            <w:tcW w:w="1866" w:type="dxa"/>
            <w:vAlign w:val="center"/>
          </w:tcPr>
          <w:p>
            <w:r>
              <w:rPr>
                <w:color w:val="000000" w:themeColor="text1"/>
                <w14:textFill>
                  <w14:solidFill>
                    <w14:schemeClr w14:val="tx1"/>
                  </w14:solidFill>
                </w14:textFill>
              </w:rPr>
              <w:t>满足</w:t>
            </w:r>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vMerge w:val="continue"/>
            <w:shd w:val="clear" w:color="auto" w:fill="E6E6E6"/>
            <w:vAlign w:val="center"/>
          </w:tcPr>
          <w:p/>
        </w:tc>
        <w:tc>
          <w:tcPr>
            <w:tcW w:w="2800" w:type="dxa"/>
            <w:vAlign w:val="center"/>
          </w:tcPr>
          <w:p>
            <w:r>
              <w:t>屋面绿化率</w:t>
            </w:r>
          </w:p>
        </w:tc>
        <w:tc>
          <w:tcPr>
            <w:tcW w:w="1866" w:type="dxa"/>
            <w:vAlign w:val="center"/>
          </w:tcPr>
          <w:p>
            <w:r>
              <w:rPr>
                <w:color w:val="000000" w:themeColor="text1"/>
                <w14:textFill>
                  <w14:solidFill>
                    <w14:schemeClr w14:val="tx1"/>
                  </w14:solidFill>
                </w14:textFill>
              </w:rPr>
              <w:t>满足</w:t>
            </w:r>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vMerge w:val="restart"/>
            <w:shd w:val="clear" w:color="auto" w:fill="E6E6E6"/>
            <w:vAlign w:val="center"/>
          </w:tcPr>
          <w:p>
            <w:r>
              <w:t>评价性设计</w:t>
            </w:r>
          </w:p>
        </w:tc>
        <w:tc>
          <w:tcPr>
            <w:tcW w:w="2800" w:type="dxa"/>
            <w:vAlign w:val="center"/>
          </w:tcPr>
          <w:p>
            <w:r>
              <w:t>平均热岛强度</w:t>
            </w:r>
          </w:p>
        </w:tc>
        <w:tc>
          <w:tcPr>
            <w:tcW w:w="1866" w:type="dxa"/>
            <w:vAlign w:val="center"/>
          </w:tcPr>
          <w:p>
            <w:r>
              <w:rPr>
                <w:color w:val="000000" w:themeColor="text1"/>
                <w14:textFill>
                  <w14:solidFill>
                    <w14:schemeClr w14:val="tx1"/>
                  </w14:solidFill>
                </w14:textFill>
              </w:rPr>
              <w:t>满足</w:t>
            </w:r>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vMerge w:val="continue"/>
            <w:shd w:val="clear" w:color="auto" w:fill="E6E6E6"/>
            <w:vAlign w:val="center"/>
          </w:tcPr>
          <w:p/>
        </w:tc>
        <w:tc>
          <w:tcPr>
            <w:tcW w:w="2800" w:type="dxa"/>
            <w:vAlign w:val="center"/>
          </w:tcPr>
          <w:p>
            <w:r>
              <w:t>湿球黑球温度</w:t>
            </w:r>
          </w:p>
        </w:tc>
        <w:tc>
          <w:tcPr>
            <w:tcW w:w="1866" w:type="dxa"/>
            <w:vAlign w:val="center"/>
          </w:tcPr>
          <w:p>
            <w:r>
              <w:rPr>
                <w:color w:val="000000" w:themeColor="text1"/>
                <w14:textFill>
                  <w14:solidFill>
                    <w14:schemeClr w14:val="tx1"/>
                  </w14:solidFill>
                </w14:textFill>
              </w:rPr>
              <w:t>满足</w:t>
            </w:r>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gridSpan w:val="2"/>
            <w:shd w:val="clear" w:color="auto" w:fill="E6E6E6"/>
            <w:vAlign w:val="center"/>
          </w:tcPr>
          <w:p>
            <w:r>
              <w:t>结论</w:t>
            </w:r>
          </w:p>
        </w:tc>
        <w:tc>
          <w:tcPr>
            <w:tcW w:w="4666" w:type="dxa"/>
            <w:gridSpan w:val="2"/>
            <w:vAlign w:val="center"/>
          </w:tcPr>
          <w:p>
            <w:r>
              <w:rPr>
                <w:b/>
                <w:color w:val="000000" w:themeColor="text1"/>
                <w14:textFill>
                  <w14:solidFill>
                    <w14:schemeClr w14:val="tx1"/>
                  </w14:solidFill>
                </w14:textFill>
              </w:rPr>
              <w:t>满足</w:t>
            </w:r>
          </w:p>
        </w:tc>
      </w:tr>
    </w:tbl>
    <w:p>
      <w:pPr>
        <w:pStyle w:val="3"/>
        <w:ind w:firstLine="420"/>
        <w:rPr>
          <w:lang w:val="en-US"/>
        </w:rPr>
      </w:pPr>
      <w:bookmarkStart w:id="57" w:name="结论"/>
      <w:bookmarkEnd w:id="57"/>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2</w:t>
    </w:r>
    <w:r>
      <w:rPr>
        <w:rStyle w:val="23"/>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A8"/>
    <w:rsid w:val="0000545C"/>
    <w:rsid w:val="0001409C"/>
    <w:rsid w:val="00026B3F"/>
    <w:rsid w:val="00037A4C"/>
    <w:rsid w:val="00051EA5"/>
    <w:rsid w:val="000A30EF"/>
    <w:rsid w:val="000B10AF"/>
    <w:rsid w:val="000B2169"/>
    <w:rsid w:val="000B2FE8"/>
    <w:rsid w:val="000D23A3"/>
    <w:rsid w:val="000F23AD"/>
    <w:rsid w:val="000F7EF2"/>
    <w:rsid w:val="001137ED"/>
    <w:rsid w:val="00116794"/>
    <w:rsid w:val="00117637"/>
    <w:rsid w:val="00122AE1"/>
    <w:rsid w:val="00135FAF"/>
    <w:rsid w:val="0014776A"/>
    <w:rsid w:val="001541C5"/>
    <w:rsid w:val="001745BF"/>
    <w:rsid w:val="001828F2"/>
    <w:rsid w:val="001B3169"/>
    <w:rsid w:val="001B7C87"/>
    <w:rsid w:val="001D4B47"/>
    <w:rsid w:val="001D6C1E"/>
    <w:rsid w:val="00203A7D"/>
    <w:rsid w:val="002109B0"/>
    <w:rsid w:val="002209B4"/>
    <w:rsid w:val="00232840"/>
    <w:rsid w:val="00234F4A"/>
    <w:rsid w:val="0023730B"/>
    <w:rsid w:val="00243608"/>
    <w:rsid w:val="002555B8"/>
    <w:rsid w:val="00272BDC"/>
    <w:rsid w:val="00285189"/>
    <w:rsid w:val="002A55EA"/>
    <w:rsid w:val="002B2BB0"/>
    <w:rsid w:val="002B4464"/>
    <w:rsid w:val="002F0C69"/>
    <w:rsid w:val="002F1F5C"/>
    <w:rsid w:val="0030437C"/>
    <w:rsid w:val="00310258"/>
    <w:rsid w:val="003121F7"/>
    <w:rsid w:val="00314D29"/>
    <w:rsid w:val="00327713"/>
    <w:rsid w:val="003320D8"/>
    <w:rsid w:val="00346AFD"/>
    <w:rsid w:val="00353FD3"/>
    <w:rsid w:val="003746AC"/>
    <w:rsid w:val="00384F21"/>
    <w:rsid w:val="003B0012"/>
    <w:rsid w:val="003C6997"/>
    <w:rsid w:val="003E4437"/>
    <w:rsid w:val="00417088"/>
    <w:rsid w:val="00463861"/>
    <w:rsid w:val="004654ED"/>
    <w:rsid w:val="00480100"/>
    <w:rsid w:val="00480784"/>
    <w:rsid w:val="00486A3D"/>
    <w:rsid w:val="00490A6C"/>
    <w:rsid w:val="00495F4C"/>
    <w:rsid w:val="004A29D4"/>
    <w:rsid w:val="004C4D23"/>
    <w:rsid w:val="004C69C1"/>
    <w:rsid w:val="004C79DA"/>
    <w:rsid w:val="004D230F"/>
    <w:rsid w:val="004D449D"/>
    <w:rsid w:val="004D5876"/>
    <w:rsid w:val="004E2129"/>
    <w:rsid w:val="004E291D"/>
    <w:rsid w:val="004F534A"/>
    <w:rsid w:val="004F694D"/>
    <w:rsid w:val="0050003A"/>
    <w:rsid w:val="00503750"/>
    <w:rsid w:val="005207E3"/>
    <w:rsid w:val="005215FB"/>
    <w:rsid w:val="00545FB7"/>
    <w:rsid w:val="00561C8F"/>
    <w:rsid w:val="005755BA"/>
    <w:rsid w:val="0057692D"/>
    <w:rsid w:val="005812C2"/>
    <w:rsid w:val="005C7162"/>
    <w:rsid w:val="00613298"/>
    <w:rsid w:val="00651069"/>
    <w:rsid w:val="00657ADD"/>
    <w:rsid w:val="0067336D"/>
    <w:rsid w:val="00685427"/>
    <w:rsid w:val="00685C60"/>
    <w:rsid w:val="00694FCA"/>
    <w:rsid w:val="006A159C"/>
    <w:rsid w:val="006A38D1"/>
    <w:rsid w:val="006B5695"/>
    <w:rsid w:val="006B57E0"/>
    <w:rsid w:val="006C3941"/>
    <w:rsid w:val="0072017E"/>
    <w:rsid w:val="0072214C"/>
    <w:rsid w:val="007514FE"/>
    <w:rsid w:val="00774599"/>
    <w:rsid w:val="007D1A35"/>
    <w:rsid w:val="007E78A4"/>
    <w:rsid w:val="008329E7"/>
    <w:rsid w:val="00872A29"/>
    <w:rsid w:val="00883D6C"/>
    <w:rsid w:val="00886207"/>
    <w:rsid w:val="00897FCE"/>
    <w:rsid w:val="008B02AA"/>
    <w:rsid w:val="008B6B76"/>
    <w:rsid w:val="008E3905"/>
    <w:rsid w:val="008E7DE0"/>
    <w:rsid w:val="008F4A97"/>
    <w:rsid w:val="009115AF"/>
    <w:rsid w:val="00917B5B"/>
    <w:rsid w:val="0092562F"/>
    <w:rsid w:val="00935D40"/>
    <w:rsid w:val="00940A35"/>
    <w:rsid w:val="009410A0"/>
    <w:rsid w:val="00963036"/>
    <w:rsid w:val="009744B2"/>
    <w:rsid w:val="009B5732"/>
    <w:rsid w:val="009C3CAA"/>
    <w:rsid w:val="009C61AC"/>
    <w:rsid w:val="009D580B"/>
    <w:rsid w:val="009D7B62"/>
    <w:rsid w:val="009E4629"/>
    <w:rsid w:val="009E5E29"/>
    <w:rsid w:val="009F3F68"/>
    <w:rsid w:val="00A0719E"/>
    <w:rsid w:val="00A305A7"/>
    <w:rsid w:val="00A32590"/>
    <w:rsid w:val="00A355BD"/>
    <w:rsid w:val="00A402EA"/>
    <w:rsid w:val="00A53163"/>
    <w:rsid w:val="00A72106"/>
    <w:rsid w:val="00A83D4E"/>
    <w:rsid w:val="00AA47FE"/>
    <w:rsid w:val="00AA7C65"/>
    <w:rsid w:val="00AB536D"/>
    <w:rsid w:val="00AC7EEF"/>
    <w:rsid w:val="00AE176E"/>
    <w:rsid w:val="00B047B3"/>
    <w:rsid w:val="00B107D2"/>
    <w:rsid w:val="00B10A58"/>
    <w:rsid w:val="00B16C0D"/>
    <w:rsid w:val="00B26E83"/>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62A9A"/>
    <w:rsid w:val="00D914A8"/>
    <w:rsid w:val="00D96AE9"/>
    <w:rsid w:val="00DC73AD"/>
    <w:rsid w:val="00DD16C4"/>
    <w:rsid w:val="00DD42A2"/>
    <w:rsid w:val="00DD50F9"/>
    <w:rsid w:val="00DE224D"/>
    <w:rsid w:val="00DF470C"/>
    <w:rsid w:val="00E16221"/>
    <w:rsid w:val="00E423BB"/>
    <w:rsid w:val="00E4518A"/>
    <w:rsid w:val="00E72EFD"/>
    <w:rsid w:val="00E75AC2"/>
    <w:rsid w:val="00E81ACD"/>
    <w:rsid w:val="00EA0210"/>
    <w:rsid w:val="00EA0B95"/>
    <w:rsid w:val="00EA3CE7"/>
    <w:rsid w:val="00EA741A"/>
    <w:rsid w:val="00EC27FD"/>
    <w:rsid w:val="00EC70F3"/>
    <w:rsid w:val="00ED3418"/>
    <w:rsid w:val="00EE005A"/>
    <w:rsid w:val="00EF0674"/>
    <w:rsid w:val="00EF5872"/>
    <w:rsid w:val="00EF5DD5"/>
    <w:rsid w:val="00F03100"/>
    <w:rsid w:val="00F16AE6"/>
    <w:rsid w:val="00F312DB"/>
    <w:rsid w:val="00F4565A"/>
    <w:rsid w:val="00F75DD1"/>
    <w:rsid w:val="00F90890"/>
    <w:rsid w:val="00FA4B87"/>
    <w:rsid w:val="00FA733F"/>
    <w:rsid w:val="00FC0388"/>
    <w:rsid w:val="00FF2243"/>
    <w:rsid w:val="07FC421B"/>
    <w:rsid w:val="155D6BE1"/>
    <w:rsid w:val="1A601FAA"/>
    <w:rsid w:val="514F0C6D"/>
    <w:rsid w:val="558620EC"/>
    <w:rsid w:val="772A7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MB\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Template>
  <Company>ths</Company>
  <Pages>1</Pages>
  <Words>1162</Words>
  <Characters>6630</Characters>
  <Lines>55</Lines>
  <Paragraphs>15</Paragraphs>
  <TotalTime>3</TotalTime>
  <ScaleCrop>false</ScaleCrop>
  <LinksUpToDate>false</LinksUpToDate>
  <CharactersWithSpaces>7777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2020-12-29T12:33:00Z</dcterms:created>
  <dc:creator>NUMB</dc:creator>
  <cp:lastModifiedBy>NUMB</cp:lastModifiedBy>
  <cp:lastPrinted>2411-12-31T16:00:00Z</cp:lastPrinted>
  <dcterms:modified xsi:type="dcterms:W3CDTF">2020-12-29T14:19:32Z</dcterms:modified>
  <dc:title>住区热环境设计报告书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