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具有良好的室内热湿环境。（8分）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7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3211"/>
        <w:gridCol w:w="1077"/>
        <w:gridCol w:w="1576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659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7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490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991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自然通风、复合通风：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主要功能房间室内热环境参数在适应性热舒适区域的时间比例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005000710"/>
            <w:placeholder>
              <w:docPart w:val="416ECF8F39514051976851404AD8E9E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2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90%及以上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490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991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人工冷热源：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主要功能房间达到现行国家标准《民用建筑室内热湿环境评价标准》规定的室内人工冷热源热湿环境整体评价II级面积比例</w:t>
            </w: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49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9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90%</w:t>
            </w:r>
          </w:p>
        </w:tc>
        <w:tc>
          <w:tcPr>
            <w:tcW w:w="9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请对室内热湿环境及热舒适保持时间进行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）暖通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及设计说明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hint="eastAsia" w:ascii="Times New Roman" w:hAnsi="Times New Roman" w:eastAsia="宋体" w:cs="Times New Roman"/>
          <w:szCs w:val="21"/>
        </w:rPr>
        <w:t>室内温度模拟分析报告和舒适温度预计达标比例分析报告；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2）预计达标比例计算报告或室内热湿环境实测值及PMV和PPD达标比例计算报告；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室内温度模拟分析报告；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）舒适温度预计达标比例分析报告。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69"/>
    <w:rsid w:val="00074A38"/>
    <w:rsid w:val="002D352E"/>
    <w:rsid w:val="006B4DEB"/>
    <w:rsid w:val="006C3B50"/>
    <w:rsid w:val="00916669"/>
    <w:rsid w:val="00E33D0B"/>
    <w:rsid w:val="0CB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16ECF8F39514051976851404AD8E9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26BEC5-8450-4A6B-A7DD-0721268C3AC6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21"/>
    <w:rsid w:val="006B0DD9"/>
    <w:rsid w:val="00751386"/>
    <w:rsid w:val="00901E7A"/>
    <w:rsid w:val="00AF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16ECF8F39514051976851404AD8E9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6FA6BF60D5E4C0C8F37E31379BC942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7BBD57EAF714CB19FE1F8380E710A0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377</Characters>
  <Lines>3</Lines>
  <Paragraphs>1</Paragraphs>
  <TotalTime>1</TotalTime>
  <ScaleCrop>false</ScaleCrop>
  <LinksUpToDate>false</LinksUpToDate>
  <CharactersWithSpaces>441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2019-07-12T07:54:00Z</dcterms:created>
  <dc:creator>dongYP</dc:creator>
  <cp:lastModifiedBy>NUMB</cp:lastModifiedBy>
  <dcterms:modified xsi:type="dcterms:W3CDTF">2021-03-09T12:02:31Z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