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5pt;margin-top:130.234375pt;width:416pt;height:25pt;mso-position-horizontal-relative:page;mso-position-vertical-relative:page;z-index:-1873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建筑生命周期碳排放量计算分析方法浅析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pt;margin-top:233.234375pt;width:25pt;height:25pt;mso-position-horizontal-relative:page;mso-position-vertical-relative:page;z-index:-1871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pt;margin-top:233.234375pt;width:485pt;height:25pt;mso-position-horizontal-relative:page;mso-position-vertical-relative:page;z-index:-1868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要：本文通过梳理分析相关重要文献，统计碳排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80.234375pt;width:623pt;height:25pt;mso-position-horizontal-relative:page;mso-position-vertical-relative:page;z-index:-1866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放生命周期系统边界并绘出完整周期的系统图，从计算方法、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1.234375pt;width:600pt;height:25pt;mso-position-horizontal-relative:page;mso-position-vertical-relative:page;z-index:-1864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数据来源、数据特点、计算工作量方面比较生命周期清单分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81.234375pt;width:600pt;height:25pt;mso-position-horizontal-relative:page;mso-position-vertical-relative:page;z-index:-1861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析法（基于过程法、投入产出法、混合分析法）和碳排放系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32.234375pt;width:71pt;height:25pt;mso-position-horizontal-relative:page;mso-position-vertical-relative:page;z-index:-1859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数法共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pt;margin-top:432.234375pt;width:528pt;height:26.15pt;mso-position-horizontal-relative:page;mso-position-vertical-relative:page;z-index:-18568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4</w:t>
                  </w:r>
                  <w:r>
                    <w:rPr>
                      <w:rFonts w:ascii="Arial" w:hAnsi="Arial" w:cs="Arial" w:eastAsia="Arial" w:hint="default"/>
                      <w:spacing w:val="15"/>
                    </w:rPr>
                    <w:t> </w:t>
                  </w:r>
                  <w:r>
                    <w:rPr/>
                    <w:t>种碳排放计算方法。研究表明生命周期清单分析法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81.234375pt;width:600pt;height:25pt;mso-position-horizontal-relative:page;mso-position-vertical-relative:page;z-index:-1854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主要用于宏观国民经济核算，其中常用基于过程法但准确性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31.234375pt;width:600pt;height:25pt;mso-position-horizontal-relative:page;mso-position-vertical-relative:page;z-index:-1852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较低、工作量较大，碳排放系数法在具体建筑物碳排放计算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82.234375pt;width:554pt;height:25pt;mso-position-horizontal-relative:page;mso-position-vertical-relative:page;z-index:-1849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上应用较广泛，工作量小但受地域影响大、准确性低。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683.234375pt;width:554pt;height:25pt;mso-position-horizontal-relative:page;mso-position-vertical-relative:page;z-index:-1847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关键词：建筑碳排放；生命周期分析；碳排放量计算方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33.234375pt;width:25pt;height:25pt;mso-position-horizontal-relative:page;mso-position-vertical-relative:page;z-index:-1844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782.234375pt;width:94pt;height:25pt;mso-position-horizontal-relative:page;mso-position-vertical-relative:page;z-index:-1842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一、背景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833.234375pt;width:554pt;height:25pt;mso-position-horizontal-relative:page;mso-position-vertical-relative:page;z-index:-1840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目前，全球变暖已经成为各国关注的环境问题。过去的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83.234375pt;width:380pt;height:25pt;mso-position-horizontal-relative:page;mso-position-vertical-relative:page;z-index:-1837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一百年间，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地球的平均温度上升了约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pt;margin-top:883.234375pt;width:232pt;height:26.15pt;mso-position-horizontal-relative:page;mso-position-vertical-relative:page;z-index:-1835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0.74</w:t>
                  </w:r>
                  <w:r>
                    <w:rPr/>
                    <w:t>℃。全球变暖不仅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34.234375pt;width:600pt;height:25pt;mso-position-horizontal-relative:page;mso-position-vertical-relative:page;z-index:-1832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影响自然环境的变化，还威胁着人类的居住环境。我国温室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84.234375pt;width:347pt;height:25pt;mso-position-horizontal-relative:page;mso-position-vertical-relative:page;z-index:-1830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气体排放总量已位居世界第二位，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984.234375pt;width:282pt;height:25pt;mso-position-horizontal-relative:page;mso-position-vertical-relative:page;z-index:-1828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在能源、</w:t>
                  </w:r>
                  <w:r>
                    <w:rPr>
                      <w:spacing w:val="-150"/>
                    </w:rPr>
                    <w:t> </w:t>
                  </w:r>
                  <w:r>
                    <w:rPr/>
                    <w:t>资源多重约束下，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33.234375pt;width:600pt;height:25pt;mso-position-horizontal-relative:page;mso-position-vertical-relative:page;z-index:-1825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中国迫切地需要进行产业转型、发展低碳经济，实现中国经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84.234375pt;width:232pt;height:25pt;mso-position-horizontal-relative:page;mso-position-vertical-relative:page;z-index:-1823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济的可持续性的发展。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1134.234375pt;width:554pt;height:25pt;mso-position-horizontal-relative:page;mso-position-vertical-relative:page;z-index:-1820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建筑领域具有高能耗、高碳排的特点，建筑能耗占全球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185.234375pt;width:117pt;height:25pt;mso-position-horizontal-relative:page;mso-position-vertical-relative:page;z-index:-1818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能源消费的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pt;margin-top:1185.234375pt;width:345pt;height:26.15pt;mso-position-horizontal-relative:page;mso-position-vertical-relative:page;z-index:-18160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3"/>
                    </w:rPr>
                    <w:t>32%</w:t>
                  </w:r>
                  <w:r>
                    <w:rPr>
                      <w:spacing w:val="-3"/>
                    </w:rPr>
                    <w:t>，建筑碳排放占全球碳排放的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7pt;margin-top:1185.234375pt;width:138pt;height:26.15pt;mso-position-horizontal-relative:page;mso-position-vertical-relative:page;z-index:-18136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6"/>
                    </w:rPr>
                    <w:t>19%</w:t>
                  </w:r>
                  <w:r>
                    <w:rPr>
                      <w:spacing w:val="-6"/>
                    </w:rPr>
                    <w:t>，因此建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9120" w:h="27060"/>
          <w:pgMar w:top="2520" w:bottom="280" w:left="27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3pt;margin-top:130.234375pt;width:393pt;height:25pt;mso-position-horizontal-relative:page;mso-position-vertical-relative:page;z-index:-1811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筑领域应是当前低碳研究的重点领域。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pt;margin-top:130.234375pt;width:163pt;height:25pt;mso-position-horizontal-relative:page;mso-position-vertical-relative:page;z-index:-1808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我国建筑产业的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8pt;margin-top:131.362762pt;width:49.25pt;height:25pt;mso-position-horizontal-relative:page;mso-position-vertical-relative:page;z-index:-18064" type="#_x0000_t202" filled="false" stroked="false">
            <v:textbox inset="0,0,0,0">
              <w:txbxContent>
                <w:p>
                  <w:pPr>
                    <w:pStyle w:val="BodyText"/>
                    <w:spacing w:line="49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CO2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81.234375pt;width:301pt;height:25pt;mso-position-horizontal-relative:page;mso-position-vertical-relative:page;z-index:-1804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排放量占总排放量的比例约为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pt;margin-top:181.234375pt;width:137pt;height:26.15pt;mso-position-horizontal-relative:page;mso-position-vertical-relative:page;z-index:-18016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9"/>
                    </w:rPr>
                    <w:t>30%</w:t>
                  </w:r>
                  <w:r>
                    <w:rPr>
                      <w:spacing w:val="-9"/>
                    </w:rPr>
                    <w:t>，因此高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3pt;margin-top:181.234375pt;width:167pt;height:26.15pt;mso-position-horizontal-relative:page;mso-position-vertical-relative:page;z-index:-1799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CO2</w:t>
                  </w:r>
                  <w:r>
                    <w:rPr>
                      <w:rFonts w:ascii="Arial" w:hAnsi="Arial" w:cs="Arial" w:eastAsia="Arial" w:hint="default"/>
                      <w:spacing w:val="-75"/>
                    </w:rPr>
                    <w:t> </w:t>
                  </w:r>
                  <w:r>
                    <w:rPr/>
                    <w:t>排放量的建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30.234375pt;width:508pt;height:25pt;mso-position-horizontal-relative:page;mso-position-vertical-relative:page;z-index:-1796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筑业在我国环境保护进程中具有举足轻重的作用。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280.234375pt;width:552pt;height:25pt;mso-position-horizontal-relative:page;mso-position-vertical-relative:page;z-index:-1794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>
                      <w:spacing w:val="-2"/>
                    </w:rPr>
                    <w:t>近年来，“绿色、低碳”等概念逐渐深入人心，国家和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1.234375pt;width:577pt;height:25pt;mso-position-horizontal-relative:page;mso-position-vertical-relative:page;z-index:-1792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地方也相继出台诸多关于绿色建筑和低碳地毯建筑的政策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81.234375pt;width:393pt;height:25pt;mso-position-horizontal-relative:page;mso-position-vertical-relative:page;z-index:-1789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与标准，特别是《绿色建筑评价标准》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pt;margin-top:381.234375pt;width:209pt;height:26.15pt;mso-position-horizontal-relative:page;mso-position-vertical-relative:page;z-index:-1787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GB/T50738-2006</w:t>
                  </w:r>
                  <w:r>
                    <w:rPr>
                      <w:rFonts w:ascii="Arial" w:hAnsi="Arial" w:cs="Arial" w:eastAsia="Arial" w:hint="default"/>
                      <w:spacing w:val="22"/>
                    </w:rPr>
                    <w:t> </w:t>
                  </w:r>
                  <w:r>
                    <w:rPr/>
                    <w:t>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32.234375pt;width:232pt;height:25pt;mso-position-horizontal-relative:page;mso-position-vertical-relative:page;z-index:-1784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《绿色建筑评价标准》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pt;margin-top:432.234375pt;width:370pt;height:26.15pt;mso-position-horizontal-relative:page;mso-position-vertical-relative:page;z-index:-17824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GB/T50378-2014</w:t>
                  </w:r>
                  <w:r>
                    <w:rPr>
                      <w:rFonts w:ascii="Arial" w:hAnsi="Arial" w:cs="Arial" w:eastAsia="Arial" w:hint="default"/>
                      <w:spacing w:val="22"/>
                    </w:rPr>
                    <w:t> </w:t>
                  </w:r>
                  <w:r>
                    <w:rPr/>
                    <w:t>标准的颁布，极大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81.234375pt;width:623pt;height:25pt;mso-position-horizontal-relative:page;mso-position-vertical-relative:page;z-index:-1780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地推动了绿色低碳建筑的发展，而如何测定建筑的碳排放量，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31.234375pt;width:577pt;height:25pt;mso-position-horizontal-relative:page;mso-position-vertical-relative:page;z-index:-1777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甚至是基于可持续发展角度核算全生命周期碳排放都具有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82.234375pt;width:163pt;height:25pt;mso-position-horizontal-relative:page;mso-position-vertical-relative:page;z-index:-1775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很强的现实性。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632.234375pt;width:393pt;height:25pt;mso-position-horizontal-relative:page;mso-position-vertical-relative:page;z-index:-1772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二、建筑生命周期碳排放计算分析方法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683.234375pt;width:324pt;height:25pt;mso-position-horizontal-relative:page;mso-position-vertical-relative:page;z-index:-1770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（一）建筑碳排放分析计算方法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733.234375pt;width:269pt;height:26.15pt;mso-position-horizontal-relative:page;mso-position-vertical-relative:page;z-index:-17680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</w:t>
                  </w:r>
                  <w:r>
                    <w:rPr/>
                    <w:t>、建筑生命周期范围界定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782.234375pt;width:186pt;height:25pt;mso-position-horizontal-relative:page;mso-position-vertical-relative:page;z-index:-1765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本文对代表文献中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pt;margin-top:782.234375pt;width:357pt;height:26.15pt;mso-position-horizontal-relative:page;mso-position-vertical-relative:page;z-index:-1763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12</w:t>
                  </w:r>
                  <w:r>
                    <w:rPr>
                      <w:rFonts w:ascii="Arial" w:hAnsi="Arial" w:cs="Arial" w:eastAsia="Arial" w:hint="default"/>
                      <w:spacing w:val="19"/>
                    </w:rPr>
                    <w:t> </w:t>
                  </w:r>
                  <w:r>
                    <w:rPr/>
                    <w:t>篇有关建筑碳排放生命期的界定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33.234375pt;width:577pt;height:25pt;mso-position-horizontal-relative:page;mso-position-vertical-relative:page;z-index:-1760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范围以及环境评价指标进行统计分析，详细统计结果见表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2pt;margin-top:834.362732pt;width:14.75pt;height:25pt;mso-position-horizontal-relative:page;mso-position-vertical-relative:page;z-index:-17584" type="#_x0000_t202" filled="false" stroked="false">
            <v:textbox inset="0,0,0,0">
              <w:txbxContent>
                <w:p>
                  <w:pPr>
                    <w:pStyle w:val="BodyText"/>
                    <w:spacing w:line="49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  <w:w w:val="99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83.234375pt;width:71pt;height:25pt;mso-position-horizontal-relative:page;mso-position-vertical-relative:page;z-index:-1756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所示：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934.234375pt;width:554pt;height:25pt;mso-position-horizontal-relative:page;mso-position-vertical-relative:page;z-index:-1753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目前已有研究中对于建筑生命周期碳排放的研究中，对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84.234375pt;width:600pt;height:25pt;mso-position-horizontal-relative:page;mso-position-vertical-relative:page;z-index:-1751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于生命周期范围的界定不是完整的“从摇篮到坟墓”过程，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33.234375pt;width:600pt;height:25pt;mso-position-horizontal-relative:page;mso-position-vertical-relative:page;z-index:-1748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而主要涉及设计与施工前准备（包括建材生产和建材运输）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8pt;margin-top:1033.234375pt;width:25pt;height:25pt;mso-position-horizontal-relative:page;mso-position-vertical-relative:page;z-index:-1746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84.234375pt;width:600pt;height:25pt;mso-position-horizontal-relative:page;mso-position-vertical-relative:page;z-index:-1744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施工阶段、建筑使用、建筑拆除与废弃物处置阶段，对于建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134.234375pt;width:600pt;height:25pt;mso-position-horizontal-relative:page;mso-position-vertical-relative:page;z-index:-1741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筑的维护和回收阶段相对较少。对于建筑的维护和回收阶段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185.234375pt;width:577pt;height:25pt;mso-position-horizontal-relative:page;mso-position-vertical-relative:page;z-index:-1739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的碳排放考虑较少的原因有些学者认为相比于设计阶段与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520" w:bottom="280" w:left="2760" w:right="25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3pt;margin-top:130.234375pt;width:600pt;height:25pt;mso-position-horizontal-relative:page;mso-position-vertical-relative:page;z-index:-1736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施工阶段而言，建筑维护和回收阶段碳排放量所占比例相对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81.234375pt;width:600pt;height:25pt;mso-position-horizontal-relative:page;mso-position-vertical-relative:page;z-index:-1734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较低，并且对于建筑碳排放的计算多在建筑设计决策阶段，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30.234375pt;width:600pt;height:25pt;mso-position-horizontal-relative:page;mso-position-vertical-relative:page;z-index:-1732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这个阶段会比较难以确定建筑维护和回收阶段，所以预测数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80.234375pt;width:600pt;height:25pt;mso-position-horizontal-relative:page;mso-position-vertical-relative:page;z-index:-1729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值准确定、可靠性较低。对于建筑的碳排放环境评价中，基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1.234375pt;width:232pt;height:25pt;mso-position-horizontal-relative:page;mso-position-vertical-relative:page;z-index:-1727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于定性分析的文献较少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331.234375pt;width:384pt;height:26.15pt;mso-position-horizontal-relative:page;mso-position-vertical-relative:page;z-index:-17248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9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90</w:t>
                  </w:r>
                  <w:r>
                    <w:rPr>
                      <w:rFonts w:ascii="Arial" w:hAnsi="Arial" w:cs="Arial" w:eastAsia="Arial" w:hint="default"/>
                      <w:spacing w:val="-21"/>
                      <w:w w:val="99"/>
                    </w:rPr>
                    <w:t>%</w:t>
                  </w:r>
                  <w:r>
                    <w:rPr>
                      <w:spacing w:val="-200"/>
                    </w:rPr>
                    <w:t>）</w:t>
                  </w:r>
                  <w:r>
                    <w:rPr/>
                    <w:t>，另外部分文献还结合碳排放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81.234375pt;width:439pt;height:25pt;mso-position-horizontal-relative:page;mso-position-vertical-relative:page;z-index:-1722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与能源消耗对于建筑的环境进行定量评价。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432.234375pt;width:407pt;height:26.15pt;mso-position-horizontal-relative:page;mso-position-vertical-relative:page;z-index:-17200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2</w:t>
                  </w:r>
                  <w:r>
                    <w:rPr/>
                    <w:t>、建筑生命周期碳排放计算与分析方法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481.234375pt;width:554pt;height:25pt;mso-position-horizontal-relative:page;mso-position-vertical-relative:page;z-index:-1717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基于建筑生命周期碳排放量的计算方法主要有四种，分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31.234375pt;width:623pt;height:25pt;mso-position-horizontal-relative:page;mso-position-vertical-relative:page;z-index:-1715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别为基于过程的生命周期碳排放量计算分析法，投入产出法、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82.234375pt;width:600pt;height:25pt;mso-position-horizontal-relative:page;mso-position-vertical-relative:page;z-index:-1712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混合分析法和碳排放系数法。前三种方法属于生命周期清单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32.234375pt;width:439pt;height:25pt;mso-position-horizontal-relative:page;mso-position-vertical-relative:page;z-index:-1710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分析法，是宏观角度的碳排放量计算方法。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683.234375pt;width:271pt;height:26.15pt;mso-position-horizontal-relative:page;mso-position-vertical-relative:page;z-index:-17080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67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1</w:t>
                  </w:r>
                  <w:r>
                    <w:rPr/>
                    <w:t>）生命周期清单分析法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733.234375pt;width:531pt;height:25pt;mso-position-horizontal-relative:page;mso-position-vertical-relative:page;z-index:-1705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①基于过程的生命周期碳排放量计算分析法是基于设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82.234375pt;width:577pt;height:25pt;mso-position-horizontal-relative:page;mso-position-vertical-relative:page;z-index:-1703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定的生命周期按照建筑物产品的工艺流程图分阶段分别计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33.234375pt;width:600pt;height:25pt;mso-position-horizontal-relative:page;mso-position-vertical-relative:page;z-index:-1700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算建筑材料和能源消耗导致的碳排放。这种方法阶段划分越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83.234375pt;width:600pt;height:25pt;mso-position-horizontal-relative:page;mso-position-vertical-relative:page;z-index:-1698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细致，各阶段估算结果的准确度越高，但是各个阶段过程很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34.234375pt;width:600pt;height:25pt;mso-position-horizontal-relative:page;mso-position-vertical-relative:page;z-index:-1696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多数据收集较为困难，通常基于过程的碳排放分析中对于建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84.234375pt;width:600pt;height:25pt;mso-position-horizontal-relative:page;mso-position-vertical-relative:page;z-index:-1693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筑生命周期的界定范围不完整，一般只能涉及易于分析测得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33.234375pt;width:600pt;height:25pt;mso-position-horizontal-relative:page;mso-position-vertical-relative:page;z-index:-1691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数据的过程，且生命周期不完整所引起的碳排放量计算误差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84.234375pt;width:600pt;height:25pt;mso-position-horizontal-relative:page;mso-position-vertical-relative:page;z-index:-1688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影响大于各阶段计算准确的影响，最终计算数据的准确性较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134.234375pt;width:48pt;height:25pt;mso-position-horizontal-relative:page;mso-position-vertical-relative:page;z-index:-1686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低。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1185.234375pt;width:554pt;height:25pt;mso-position-horizontal-relative:page;mso-position-vertical-relative:page;z-index:-1684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②投入产出法既考虑到直接碳排放，又考虑到与建筑物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520" w:bottom="280" w:left="27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3pt;margin-top:130.234375pt;width:600pt;height:25pt;mso-position-horizontal-relative:page;mso-position-vertical-relative:page;z-index:-1681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相关的间接碳排放，这种方法是从宏观的国民经济角度的核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81.234375pt;width:600pt;height:25pt;mso-position-horizontal-relative:page;mso-position-vertical-relative:page;z-index:-1679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算建筑碳排放量，主要是通过对于输入经济上的投入量，再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30.234375pt;width:600pt;height:25pt;mso-position-horizontal-relative:page;mso-position-vertical-relative:page;z-index:-1676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根据单位产值的完全碳排放强度计算，输出最终建筑的碳排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80.234375pt;width:600pt;height:25pt;mso-position-horizontal-relative:page;mso-position-vertical-relative:page;z-index:-1674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放量。这种方法受到单位产值的完全碳排放强度影响大，而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1.234375pt;width:577pt;height:25pt;mso-position-horizontal-relative:page;mso-position-vertical-relative:page;z-index:-1672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单位产值的完全碳排放强度的数值主要来源于建筑各个部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81.234375pt;width:600pt;height:25pt;mso-position-horizontal-relative:page;mso-position-vertical-relative:page;z-index:-1669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门的统计表，导致各国家、各地区的单位产值的完全碳排放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32.234375pt;width:462pt;height:25pt;mso-position-horizontal-relative:page;mso-position-vertical-relative:page;z-index:-1667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强度不统一，数据的通用性和可比较性较差。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481.234375pt;width:554pt;height:25pt;mso-position-horizontal-relative:page;mso-position-vertical-relative:page;z-index:-1664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③混合分析法，是将以上两种方法进行结合，既对过程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31.234375pt;width:600pt;height:25pt;mso-position-horizontal-relative:page;mso-position-vertical-relative:page;z-index:-1662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进行更细致的划分，又结合建筑部门等公开的统计数据，减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82.234375pt;width:600pt;height:25pt;mso-position-horizontal-relative:page;mso-position-vertical-relative:page;z-index:-1660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少基于过程法的工作强度，节约估算成本。此法生命周期范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32.234375pt;width:531pt;height:25pt;mso-position-horizontal-relative:page;mso-position-vertical-relative:page;z-index:-1657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围较完整，数据较准确，但计算复杂、核算周期长。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683.234375pt;width:202pt;height:26.15pt;mso-position-horizontal-relative:page;mso-position-vertical-relative:page;z-index:-1655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67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2</w:t>
                  </w:r>
                  <w:r>
                    <w:rPr/>
                    <w:t>）碳排放系数法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733.234375pt;width:531pt;height:25pt;mso-position-horizontal-relative:page;mso-position-vertical-relative:page;z-index:-1652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碳排放系数法是用活动数据乘以各类碳排放因子计算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82.234375pt;width:600pt;height:25pt;mso-position-horizontal-relative:page;mso-position-vertical-relative:page;z-index:-1650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碳排放量。其中活动数据是指在特定时间特定区域内，经济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33.234375pt;width:324pt;height:25pt;mso-position-horizontal-relative:page;mso-position-vertical-relative:page;z-index:-1648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活动所产生的碳排放量的数据，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pt;margin-top:833.234375pt;width:313pt;height:25pt;mso-position-horizontal-relative:page;mso-position-vertical-relative:page;z-index:-1645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如能源消耗量，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材料生产量，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83.234375pt;width:600pt;height:25pt;mso-position-horizontal-relative:page;mso-position-vertical-relative:page;z-index:-1643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材料消耗量等数据。与活动数据相关的碳排放因子有能源的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34.234375pt;width:600pt;height:25pt;mso-position-horizontal-relative:page;mso-position-vertical-relative:page;z-index:-1640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碳排放因子、建筑材料碳排放因子、单位距离运输的碳排放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84.234375pt;width:600pt;height:25pt;mso-position-horizontal-relative:page;mso-position-vertical-relative:page;z-index:-1638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因子、单位材料再利用的碳排放因子、单位材料再循环的碳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33.234375pt;width:600pt;height:25pt;mso-position-horizontal-relative:page;mso-position-vertical-relative:page;z-index:-1636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排放因子等。这种方法对于具体的建筑物碳排放计算因为计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84.234375pt;width:600pt;height:25pt;mso-position-horizontal-relative:page;mso-position-vertical-relative:page;z-index:-1633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算方法简便应用广泛，但是各地区碳排放因子计算边界和方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134.234375pt;width:324pt;height:25pt;mso-position-horizontal-relative:page;mso-position-vertical-relative:page;z-index:-1631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法没有标准统一化，误差较大。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1185.234375pt;width:476pt;height:26.15pt;mso-position-horizontal-relative:page;mso-position-vertical-relative:page;z-index:-16288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3</w:t>
                  </w:r>
                  <w:r>
                    <w:rPr/>
                    <w:t>、建筑生命周期碳排放计算与分析方法的比较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520" w:bottom="280" w:left="27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4pt;margin-top:130.234375pt;width:156pt;height:26.15pt;mso-position-horizontal-relative:page;mso-position-vertical-relative:page;z-index:-16264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49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-3"/>
                    </w:rPr>
                    <w:t>1</w:t>
                  </w:r>
                  <w:r>
                    <w:rPr>
                      <w:spacing w:val="-3"/>
                    </w:rPr>
                    <w:t>）分析比较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181.234375pt;width:554pt;height:25pt;mso-position-horizontal-relative:page;mso-position-vertical-relative:page;z-index:-1624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针对于上述基于过程法、投入产出法、混合分析法和碳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30.234375pt;width:600pt;height:25pt;mso-position-horizontal-relative:page;mso-position-vertical-relative:page;z-index:-1621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排放系数法从计算方法规定的生命周期系统边界、计算数据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80.234375pt;width:600pt;height:25pt;mso-position-horizontal-relative:page;mso-position-vertical-relative:page;z-index:-1619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来源渠道收集方式、数据准确性可获得性的特点以及计算工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1.234375pt;width:347pt;height:25pt;mso-position-horizontal-relative:page;mso-position-vertical-relative:page;z-index:-1616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程量计算难易程度进行对比分析。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pt;margin-top:331.234375pt;width:186pt;height:25pt;mso-position-horizontal-relative:page;mso-position-vertical-relative:page;z-index:-1614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（详细对比见表）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381.234375pt;width:531pt;height:25pt;mso-position-horizontal-relative:page;mso-position-vertical-relative:page;z-index:-1612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基于过程法和投入产出法由于生命周期不完整性给计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32.234375pt;width:600pt;height:25pt;mso-position-horizontal-relative:page;mso-position-vertical-relative:page;z-index:-1609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算结果带来的误差影响大；投入产出法和碳排放系数法因计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81.234375pt;width:600pt;height:25pt;mso-position-horizontal-relative:page;mso-position-vertical-relative:page;z-index:-1607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算主要依据标准的统计数据计算过程工作量较少，并且由于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31.234375pt;width:600pt;height:25pt;mso-position-horizontal-relative:page;mso-position-vertical-relative:page;z-index:-1604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碳排放系数是与活动数据相对应的，所以更易于应用到实际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82.234375pt;width:600pt;height:25pt;mso-position-horizontal-relative:page;mso-position-vertical-relative:page;z-index:-1602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具体的建筑物中，投入产出法主要针对宏观上的国民经济核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32.234375pt;width:600pt;height:25pt;mso-position-horizontal-relative:page;mso-position-vertical-relative:page;z-index:-1600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算。尽管混合分析法是结合基于过程法和投入产出法的复合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83.234375pt;width:600pt;height:25pt;mso-position-horizontal-relative:page;mso-position-vertical-relative:page;z-index:-1597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方法准确度更高，但是计算过程复杂、工作量大、核算工作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33.234375pt;width:600pt;height:25pt;mso-position-horizontal-relative:page;mso-position-vertical-relative:page;z-index:-1595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耗时长，所以应用范围不如只涉及到不完整生命周期阶段的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82.234375pt;width:186pt;height:25pt;mso-position-horizontal-relative:page;mso-position-vertical-relative:page;z-index:-1592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基于过程法广泛。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pt;margin-top:782.234375pt;width:340pt;height:26.15pt;mso-position-horizontal-relative:page;mso-position-vertical-relative:page;z-index:-15904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67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2</w:t>
                  </w:r>
                  <w:r>
                    <w:rPr/>
                    <w:t>）建筑生命期不同阶段能耗与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33.234375pt;width:163pt;height:25pt;mso-position-horizontal-relative:page;mso-position-vertical-relative:page;z-index:-1588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碳排放数据来源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883.234375pt;width:531pt;height:25pt;mso-position-horizontal-relative:page;mso-position-vertical-relative:page;z-index:-1585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鉴于以上所提到的基于生命周期的四种碳排放计算方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34.234375pt;width:503pt;height:25pt;mso-position-horizontal-relative:page;mso-position-vertical-relative:page;z-index:-1583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>
                      <w:spacing w:val="-5"/>
                    </w:rPr>
                    <w:t>法，对于生命周期不同阶段的数据来源进行汇总。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5pt;margin-top:934.234375pt;width:97pt;height:25pt;mso-position-horizontal-relative:page;mso-position-vertical-relative:page;z-index:-1580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70"/>
                    </w:rPr>
                    <w:t> </w:t>
                  </w:r>
                  <w:r>
                    <w:rPr/>
                    <w:t>详见表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5pt;margin-top:934.234375pt;width:39pt;height:26.15pt;mso-position-horizontal-relative:page;mso-position-vertical-relative:page;z-index:-15784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12"/>
                    </w:rPr>
                    <w:t>3</w:t>
                  </w:r>
                  <w:r>
                    <w:rPr>
                      <w:spacing w:val="12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984.234375pt;width:554pt;height:25pt;mso-position-horizontal-relative:page;mso-position-vertical-relative:page;z-index:-1576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使用和维护阶段建筑使用；建筑维护；建材的更换实际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33.234375pt;width:529pt;height:25pt;mso-position-horizontal-relative:page;mso-position-vertical-relative:page;z-index:-1573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的运行数据， 能耗账单的统计；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运行能耗模拟软件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4pt;margin-top:1033.234375pt;width:111.85pt;height:26.15pt;mso-position-horizontal-relative:page;mso-position-vertical-relative:page;z-index:-1571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  <w:w w:val="100"/>
                    </w:rPr>
                    <w:t>ECOTE</w:t>
                  </w:r>
                  <w:r>
                    <w:rPr>
                      <w:rFonts w:ascii="Arial" w:hAnsi="Arial" w:cs="Arial" w:eastAsia="Arial" w:hint="default"/>
                      <w:spacing w:val="-17"/>
                      <w:w w:val="99"/>
                    </w:rPr>
                    <w:t>C</w:t>
                  </w:r>
                  <w:r>
                    <w:rPr>
                      <w:spacing w:val="-444"/>
                    </w:rPr>
                    <w:t>，</w:t>
                  </w:r>
                  <w:r>
                    <w:rPr>
                      <w:rFonts w:ascii="Arial" w:hAnsi="Arial" w:cs="Arial" w:eastAsia="Arial" w:hint="default"/>
                      <w:w w:val="100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87.234375pt;width:605pt;height:72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Design</w:t>
                  </w:r>
                  <w:r>
                    <w:rPr>
                      <w:rFonts w:ascii="Arial" w:hAnsi="Arial" w:cs="Arial" w:eastAsia="Arial" w:hint="default"/>
                      <w:spacing w:val="2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3"/>
                    </w:rPr>
                    <w:t>Builder</w:t>
                  </w:r>
                  <w:r>
                    <w:rPr>
                      <w:spacing w:val="3"/>
                    </w:rPr>
                    <w:t>，</w:t>
                  </w:r>
                  <w:r>
                    <w:rPr>
                      <w:spacing w:val="-190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EnerygyPlus</w:t>
                  </w:r>
                  <w:r>
                    <w:rPr>
                      <w:rFonts w:ascii="Arial" w:hAnsi="Arial" w:cs="Arial" w:eastAsia="Arial" w:hint="default"/>
                      <w:spacing w:val="-69"/>
                    </w:rPr>
                    <w:t> </w:t>
                  </w:r>
                  <w:r>
                    <w:rPr/>
                    <w:t>等</w:t>
                  </w:r>
                </w:p>
                <w:p>
                  <w:pPr>
                    <w:pStyle w:val="BodyText"/>
                    <w:spacing w:line="240" w:lineRule="auto" w:before="305"/>
                    <w:ind w:left="1040" w:right="0"/>
                    <w:jc w:val="left"/>
                  </w:pPr>
                  <w:r>
                    <w:rPr/>
                    <w:t>拆除处置阶段建筑物拆除；废弃物处置、回收、再利用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185.234375pt;width:600pt;height:25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现场记录数据；相关文献估计数据；调研调研得到回收、再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520" w:bottom="280" w:left="2760" w:right="25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3pt;margin-top:130.234375pt;width:94pt;height:25pt;mso-position-horizontal-relative:page;mso-position-vertical-relative:page;z-index:-1564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利用系数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181.234375pt;width:94pt;height:25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三、小结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230.234375pt;width:324pt;height:25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（一）没有界定统一的核算范围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280.234375pt;width:531pt;height:25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不同的建筑生命周期碳排放计算分析方法涉及的生命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1.234375pt;width:554pt;height:25pt;mso-position-horizontal-relative:page;mso-position-vertical-relative:page;z-index:-1554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周期界定范围不一致且没有明确的范围，不同计算方法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3pt;margin-top:331.234375pt;width:25pt;height:25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81.234375pt;width:531pt;height:25pt;mso-position-horizontal-relative:page;mso-position-vertical-relative:page;z-index:-1549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计算口径不一致，使得计算方法之间不能相互参考。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432.234375pt;width:393pt;height:25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（二）基础数据库不完整，且未标准化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481.234375pt;width:94pt;height:25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建筑物的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pt;margin-top:481.234375pt;width:462pt;height:26.15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LCA</w:t>
                  </w:r>
                  <w:r>
                    <w:rPr/>
                    <w:t>分析方法都是基于基础数据库而来的，比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31.234375pt;width:117pt;height:25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如有：材料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pt;margin-top:531.234375pt;width:197pt;height:26.15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/</w:t>
                  </w:r>
                  <w:r>
                    <w:rPr>
                      <w:rFonts w:ascii="Arial" w:hAnsi="Arial" w:cs="Arial" w:eastAsia="Arial" w:hint="default"/>
                      <w:spacing w:val="-36"/>
                    </w:rPr>
                    <w:t> </w:t>
                  </w:r>
                  <w:r>
                    <w:rPr/>
                    <w:t>产品数据库、资源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pt;margin-top:531.234375pt;width:287pt;height:26.15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/</w:t>
                  </w:r>
                  <w:r>
                    <w:rPr>
                      <w:rFonts w:ascii="Arial" w:hAnsi="Arial" w:cs="Arial" w:eastAsia="Arial" w:hint="default"/>
                      <w:spacing w:val="-76"/>
                    </w:rPr>
                    <w:t> </w:t>
                  </w:r>
                  <w:r>
                    <w:rPr/>
                    <w:t>能耗数据库等，但是基础数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82.234375pt;width:370pt;height:25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据库资料并不完善且未标准化，这给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pt;margin-top:582.234375pt;width:232pt;height:26.15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2"/>
                    </w:rPr>
                    <w:t>LCA</w:t>
                  </w:r>
                  <w:r>
                    <w:rPr>
                      <w:spacing w:val="2"/>
                    </w:rPr>
                    <w:t>的应用推广造成了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32.234375pt;width:71pt;height:25pt;mso-position-horizontal-relative:page;mso-position-vertical-relative:page;z-index:-1528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困难。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683.234375pt;width:554pt;height:25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（三）以上的几种方法都是确定型的方法，未考虑不确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33.234375pt;width:94pt;height:25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定性影响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782.234375pt;width:554pt;height:25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对数据的不确定性分析，一方面需要在数据选择阶段对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33.234375pt;width:600pt;height:25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数据质量进行控制，另一方面需要在核算碳排放量结果时是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883.234375pt;width:301pt;height:25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一个区间，更加合理和准确。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pt;margin-top:883.234375pt;width:232pt;height:25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（作者单位：重庆大学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9pt;margin-top:883.234375pt;width:67pt;height:26.15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B</w:t>
                  </w:r>
                  <w:r>
                    <w:rPr>
                      <w:rFonts w:ascii="Arial" w:hAnsi="Arial" w:cs="Arial" w:eastAsia="Arial" w:hint="default"/>
                      <w:spacing w:val="-55"/>
                    </w:rPr>
                    <w:t> </w:t>
                  </w:r>
                  <w:r>
                    <w:rPr/>
                    <w:t>区建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34.234375pt;width:232pt;height:25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设管理与房地产学院）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984.234375pt;width:117pt;height:25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参考文献：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1033.234375pt;width:556pt;height:26.15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9" w:val="left" w:leader="none"/>
                    </w:tabs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[1]</w:t>
                    <w:tab/>
                  </w:r>
                  <w:r>
                    <w:rPr>
                      <w:spacing w:val="-10"/>
                    </w:rPr>
                    <w:t>常俪，</w:t>
                  </w:r>
                  <w:r>
                    <w:rPr>
                      <w:rFonts w:ascii="Arial" w:hAnsi="Arial" w:cs="Arial" w:eastAsia="Arial" w:hint="default"/>
                      <w:spacing w:val="-10"/>
                    </w:rPr>
                    <w:t>Garry</w:t>
                  </w:r>
                  <w:r>
                    <w:rPr>
                      <w:spacing w:val="-10"/>
                    </w:rPr>
                    <w:t>，</w:t>
                  </w:r>
                  <w:r>
                    <w:rPr>
                      <w:rFonts w:ascii="Arial" w:hAnsi="Arial" w:cs="Arial" w:eastAsia="Arial" w:hint="default"/>
                      <w:spacing w:val="-10"/>
                    </w:rPr>
                    <w:t>Lambert.</w:t>
                  </w:r>
                  <w:r>
                    <w:rPr>
                      <w:rFonts w:ascii="Arial" w:hAnsi="Arial" w:cs="Arial" w:eastAsia="Arial" w:hint="default"/>
                      <w:spacing w:val="-43"/>
                    </w:rPr>
                    <w:t> </w:t>
                  </w:r>
                  <w:r>
                    <w:rPr/>
                    <w:t>全球合作引领气候变化标准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1pt;margin-top:1034.362793pt;width:32.65pt;height:25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pStyle w:val="BodyText"/>
                    <w:spacing w:line="49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[J].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84.234375pt;width:163pt;height:25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中国标准导报，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084.234375pt;width:123.35pt;height:26.15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</w:rPr>
                    <w:t>2016</w:t>
                  </w:r>
                  <w:r>
                    <w:rPr/>
                    <w:t>（</w:t>
                  </w:r>
                  <w:r>
                    <w:rPr>
                      <w:spacing w:val="-173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14"/>
                    </w:rPr>
                    <w:t>1</w:t>
                  </w:r>
                  <w:r>
                    <w:rPr>
                      <w:spacing w:val="14"/>
                    </w:rPr>
                    <w:t>）</w:t>
                  </w:r>
                  <w:r>
                    <w:rPr>
                      <w:rFonts w:ascii="Arial" w:hAnsi="Arial" w:cs="Arial" w:eastAsia="Arial" w:hint="default"/>
                      <w:spacing w:val="1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1134.234375pt;width:320pt;height:26.15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9" w:val="left" w:leader="none"/>
                    </w:tabs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[2]</w:t>
                    <w:tab/>
                  </w:r>
                  <w:r>
                    <w:rPr/>
                    <w:t>徐世晓，赵新全，孙平，等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pt;margin-top:1134.234375pt;width:238pt;height:26.15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.</w:t>
                  </w:r>
                  <w:r>
                    <w:rPr/>
                    <w:t>温室效应与全球气候变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185.234375pt;width:403pt;height:26.15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spacing w:val="2"/>
                    </w:rPr>
                    <w:t>暖</w:t>
                  </w:r>
                  <w:r>
                    <w:rPr>
                      <w:rFonts w:ascii="Arial" w:hAnsi="Arial" w:cs="Arial" w:eastAsia="Arial" w:hint="default"/>
                      <w:spacing w:val="2"/>
                    </w:rPr>
                    <w:t>[J].</w:t>
                  </w:r>
                  <w:r>
                    <w:rPr>
                      <w:spacing w:val="2"/>
                    </w:rPr>
                    <w:t>青海师范大学学报：自然科学版，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pt;margin-top:1185.234375pt;width:197.2pt;height:26.15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  <w:w w:val="99"/>
                    </w:rPr>
                    <w:t>200</w:t>
                  </w:r>
                  <w:r>
                    <w:rPr>
                      <w:rFonts w:ascii="Arial" w:hAnsi="Arial" w:cs="Arial" w:eastAsia="Arial" w:hint="default"/>
                      <w:spacing w:val="36"/>
                      <w:w w:val="99"/>
                    </w:rPr>
                    <w:t>1</w:t>
                  </w:r>
                  <w:r>
                    <w:rPr/>
                    <w:t>（</w:t>
                  </w:r>
                  <w:r>
                    <w:rPr>
                      <w:spacing w:val="-17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4"/>
                      <w:w w:val="99"/>
                    </w:rPr>
                    <w:t>4</w:t>
                  </w:r>
                  <w:r>
                    <w:rPr>
                      <w:spacing w:val="-220"/>
                    </w:rPr>
                    <w:t>）</w:t>
                  </w:r>
                  <w:r>
                    <w:rPr/>
                    <w:t>：</w:t>
                  </w:r>
                  <w:r>
                    <w:rPr>
                      <w:spacing w:val="-17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43-47.</w:t>
                  </w:r>
                  <w:r>
                    <w:rPr>
                      <w:rFonts w:ascii="Arial" w:hAnsi="Arial" w:cs="Arial" w:eastAsia="Arial" w:hint="default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520" w:bottom="280" w:left="2760" w:right="27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4pt;margin-top:130.234375pt;width:251pt;height:26.15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9" w:val="left" w:leader="none"/>
                    </w:tabs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[3]</w:t>
                    <w:tab/>
                  </w:r>
                  <w:r>
                    <w:rPr/>
                    <w:t>付允，汪云林，李丁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130.234375pt;width:262pt;height:26.15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.</w:t>
                  </w:r>
                  <w:r>
                    <w:rPr/>
                    <w:t>低碳城市的发展路径研究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pt;margin-top:130.234375pt;width:55pt;height:26.15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3"/>
                    </w:rPr>
                    <w:t>[J].</w:t>
                  </w:r>
                  <w:r>
                    <w:rPr>
                      <w:spacing w:val="-3"/>
                    </w:rPr>
                    <w:t>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81.234375pt;width:186pt;height:25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学对社会的影响，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181.234375pt;width:184.4pt;height:26.15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  <w:w w:val="99"/>
                    </w:rPr>
                    <w:t>200</w:t>
                  </w:r>
                  <w:r>
                    <w:rPr>
                      <w:rFonts w:ascii="Arial" w:hAnsi="Arial" w:cs="Arial" w:eastAsia="Arial" w:hint="default"/>
                      <w:spacing w:val="36"/>
                      <w:w w:val="99"/>
                    </w:rPr>
                    <w:t>8</w:t>
                  </w:r>
                  <w:r>
                    <w:rPr/>
                    <w:t>（</w:t>
                  </w:r>
                  <w:r>
                    <w:rPr>
                      <w:spacing w:val="-17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-16"/>
                      <w:w w:val="99"/>
                    </w:rPr>
                    <w:t>2</w:t>
                  </w:r>
                  <w:r>
                    <w:rPr>
                      <w:spacing w:val="-200"/>
                    </w:rPr>
                    <w:t>）</w:t>
                  </w:r>
                  <w:r>
                    <w:rPr/>
                    <w:t>：</w:t>
                  </w:r>
                  <w:r>
                    <w:rPr>
                      <w:spacing w:val="-17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w w:val="99"/>
                    </w:rPr>
                    <w:t>5-10.</w:t>
                  </w:r>
                  <w:r>
                    <w:rPr>
                      <w:rFonts w:ascii="Arial" w:hAnsi="Arial" w:cs="Arial" w:eastAsia="Arial" w:hint="defaul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230.234375pt;width:579.050pt;height:26.15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</w:rPr>
                    <w:t>[4]</w:t>
                  </w:r>
                  <w:r>
                    <w:rPr>
                      <w:rFonts w:ascii="Arial" w:hAnsi="Arial" w:cs="Arial" w:eastAsia="Arial" w:hint="default"/>
                      <w:spacing w:val="-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Edenhofer</w:t>
                  </w:r>
                  <w:r>
                    <w:rPr>
                      <w:rFonts w:ascii="Arial" w:hAnsi="Arial" w:cs="Arial" w:eastAsia="Arial" w:hint="default"/>
                      <w:spacing w:val="-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O</w:t>
                  </w:r>
                  <w:r>
                    <w:rPr>
                      <w:rFonts w:ascii="Arial" w:hAnsi="Arial" w:cs="Arial" w:eastAsia="Arial" w:hint="default"/>
                      <w:spacing w:val="-57"/>
                    </w:rPr>
                    <w:t> </w:t>
                  </w:r>
                  <w:r>
                    <w:rPr/>
                    <w:t>，</w:t>
                  </w:r>
                  <w:r>
                    <w:rPr>
                      <w:spacing w:val="-17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Pichs-Madruga</w:t>
                  </w:r>
                  <w:r>
                    <w:rPr>
                      <w:rFonts w:ascii="Arial" w:hAnsi="Arial" w:cs="Arial" w:eastAsia="Arial" w:hint="default"/>
                      <w:spacing w:val="-1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-17"/>
                    </w:rPr>
                    <w:t>R</w:t>
                  </w:r>
                  <w:r>
                    <w:rPr>
                      <w:spacing w:val="-17"/>
                    </w:rPr>
                    <w:t>，</w:t>
                  </w:r>
                  <w:r>
                    <w:rPr>
                      <w:spacing w:val="-19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Sokona</w:t>
                  </w:r>
                  <w:r>
                    <w:rPr>
                      <w:rFonts w:ascii="Arial" w:hAnsi="Arial" w:cs="Arial" w:eastAsia="Arial" w:hint="default"/>
                      <w:spacing w:val="-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Y.Climate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84.362762pt;width:587.4pt;height:25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pStyle w:val="BodyText"/>
                    <w:spacing w:line="49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Change 2014 Mitigation of Climate Change -Summary</w:t>
                  </w:r>
                  <w:r>
                    <w:rPr>
                      <w:rFonts w:ascii="Arial"/>
                      <w:spacing w:val="-2"/>
                    </w:rPr>
                    <w:t> </w:t>
                  </w:r>
                  <w:r>
                    <w:rPr>
                      <w:rFonts w:ascii="Arial"/>
                    </w:rPr>
                    <w:t>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34.234375pt;width:580.5pt;height:26.15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 w:hAnsi="Arial" w:cs="Arial" w:eastAsia="Arial" w:hint="default"/>
                    </w:rPr>
                    <w:t>Policymakers[J].Environmental Policy Collection </w:t>
                  </w:r>
                  <w:r>
                    <w:rPr/>
                    <w:t>，</w:t>
                  </w:r>
                  <w:r>
                    <w:rPr>
                      <w:spacing w:val="-190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2014.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pt;margin-top:381.234375pt;width:274pt;height:26.15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9" w:val="left" w:leader="none"/>
                    </w:tabs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[5]</w:t>
                    <w:tab/>
                  </w:r>
                  <w:r>
                    <w:rPr/>
                    <w:t>赵平，龚先政，林波荣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pt;margin-top:381.234375pt;width:284pt;height:26.15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.</w:t>
                  </w:r>
                  <w:r>
                    <w:rPr/>
                    <w:t>绿色建筑用建材产品评价及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32.234375pt;width:140pt;height:25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pStyle w:val="BodyText"/>
                    <w:spacing w:line="480" w:lineRule="exact"/>
                    <w:ind w:right="0"/>
                    <w:jc w:val="left"/>
                  </w:pPr>
                  <w:r>
                    <w:rPr/>
                    <w:t>选材技术体系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432.234375pt;width:185pt;height:26.15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pStyle w:val="BodyText"/>
                    <w:spacing w:line="513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[M].</w:t>
                  </w:r>
                  <w:r>
                    <w:rPr>
                      <w:rFonts w:ascii="Arial" w:hAnsi="Arial" w:cs="Arial" w:eastAsia="Arial" w:hint="default"/>
                      <w:spacing w:val="5"/>
                    </w:rPr>
                    <w:t> </w:t>
                  </w:r>
                  <w:r>
                    <w:rPr/>
                    <w:t>中国中医药，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pt;margin-top:433.362762pt;width:59.5pt;height:25pt;mso-position-horizontal-relative:page;mso-position-vertical-relative:page;z-index:-14560" type="#_x0000_t202" filled="false" stroked="false">
            <v:textbox inset="0,0,0,0">
              <w:txbxContent>
                <w:p>
                  <w:pPr>
                    <w:pStyle w:val="BodyText"/>
                    <w:spacing w:line="490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2014.</w:t>
                  </w:r>
                </w:p>
              </w:txbxContent>
            </v:textbox>
            <w10:wrap type="none"/>
          </v:shape>
        </w:pict>
      </w:r>
    </w:p>
    <w:sectPr>
      <w:pgSz w:w="19120" w:h="27060"/>
      <w:pgMar w:top="2520" w:bottom="280" w:left="2760" w:right="2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宋体" w:hAnsi="宋体" w:eastAsia="宋体"/>
      <w:sz w:val="46"/>
      <w:szCs w:val="4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bingdian001.com</dc:creator>
  <cp:keywords>bingdian001.com</cp:keywords>
  <dc:subject>bingdian001.com</dc:subject>
  <dc:title>bingdian001.com</dc:title>
  <dcterms:created xsi:type="dcterms:W3CDTF">2021-03-13T00:25:07Z</dcterms:created>
  <dcterms:modified xsi:type="dcterms:W3CDTF">2021-03-13T00:25:07Z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2021-03-13T00:00:00Z</vt:filetime>
  </property>
</Properties>
</file>