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bookmarkStart w:id="120" w:name="_GoBack" w:colFirst="1" w:colLast="1"/>
            <w:r>
              <w:rPr>
                <w:rFonts w:hint="eastAsia" w:ascii="宋体" w:hAnsi="宋体"/>
                <w:szCs w:val="21"/>
              </w:rPr>
              <w:t>项目名称</w:t>
            </w:r>
          </w:p>
        </w:tc>
        <w:tc>
          <w:tcPr>
            <w:tcW w:w="3780" w:type="dxa"/>
            <w:vAlign w:val="top"/>
          </w:tcPr>
          <w:p>
            <w:pPr>
              <w:pStyle w:val="17"/>
              <w:tabs>
                <w:tab w:val="clear" w:pos="4153"/>
                <w:tab w:val="clear" w:pos="8306"/>
              </w:tabs>
              <w:snapToGrid/>
              <w:jc w:val="both"/>
              <w:rPr>
                <w:rFonts w:ascii="宋体" w:hAnsi="宋体"/>
                <w:szCs w:val="21"/>
              </w:rPr>
            </w:pPr>
            <w:bookmarkStart w:id="1" w:name="项目名称"/>
            <w:bookmarkEnd w:id="1"/>
            <w:r>
              <w:rPr>
                <w:rFonts w:hint="eastAsia" w:ascii="宋体" w:hAnsi="宋体"/>
                <w:szCs w:val="21"/>
              </w:rPr>
              <w:t>西南科技大学城市学院宿舍楼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both"/>
              <w:rPr>
                <w:rFonts w:hint="default" w:ascii="宋体" w:hAnsi="宋体" w:eastAsia="宋体"/>
                <w:szCs w:val="21"/>
                <w:lang w:val="en-US" w:eastAsia="zh-CN"/>
              </w:rPr>
            </w:pPr>
            <w:r>
              <w:rPr>
                <w:rFonts w:hint="eastAsia"/>
                <w:lang w:val="en-US" w:eastAsia="zh-CN"/>
              </w:rPr>
              <w:t>四川</w:t>
            </w:r>
            <w:r>
              <w:t>-</w:t>
            </w:r>
            <w:r>
              <w:rPr>
                <w:rFonts w:hint="eastAsia"/>
                <w:lang w:val="en-US" w:eastAsia="zh-CN"/>
              </w:rPr>
              <w:t>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both"/>
              <w:rPr>
                <w:rFonts w:ascii="宋体" w:hAnsi="宋体"/>
                <w:szCs w:val="21"/>
              </w:rPr>
            </w:pPr>
            <w:bookmarkStart w:id="2" w:name="设计编号"/>
            <w:bookmarkEnd w:id="2"/>
            <w:r>
              <w:rPr>
                <w:rFonts w:hint="eastAsia" w:ascii="宋体" w:hAnsi="宋体"/>
                <w:szCs w:val="21"/>
              </w:rPr>
              <w:t>HCSJ 14-21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rPr>
                <w:rFonts w:hint="default" w:ascii="宋体" w:hAnsi="宋体" w:eastAsia="宋体"/>
                <w:szCs w:val="21"/>
                <w:lang w:val="en-US" w:eastAsia="zh-CN"/>
              </w:rPr>
            </w:pPr>
            <w:bookmarkStart w:id="3" w:name="建设单位"/>
            <w:bookmarkEnd w:id="3"/>
            <w:r>
              <w:rPr>
                <w:rFonts w:hint="eastAsia" w:ascii="宋体" w:hAnsi="宋体"/>
                <w:szCs w:val="21"/>
                <w:lang w:val="en-US" w:eastAsia="zh-CN"/>
              </w:rPr>
              <w:t>西南科技大学城市学院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rPr>
                <w:rFonts w:ascii="宋体" w:hAnsi="宋体"/>
                <w:szCs w:val="21"/>
              </w:rPr>
            </w:pPr>
            <w:bookmarkStart w:id="4" w:name="设计单位"/>
            <w:bookmarkEnd w:id="4"/>
            <w:r>
              <w:rPr>
                <w:rFonts w:hint="eastAsia" w:ascii="宋体" w:hAnsi="宋体"/>
                <w:szCs w:val="21"/>
              </w:rPr>
              <w:t>四川华成辉宇建筑设计有限公司</w:t>
            </w:r>
          </w:p>
        </w:tc>
      </w:tr>
      <w:bookmarkEnd w:id="12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2020年12月31日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"_Toc60317227"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_Toc60317227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"_Toc60317228" </w:instrText>
      </w:r>
      <w:r>
        <w:fldChar w:fldCharType="separate"/>
      </w:r>
      <w:r>
        <w:rPr>
          <w:rStyle w:val="26"/>
          <w:lang w:val="en-GB"/>
        </w:rPr>
        <w:t>1.1</w:t>
      </w:r>
      <w:r>
        <w:rPr>
          <w:rFonts w:asciiTheme="minorHAnsi" w:hAnsiTheme="minorHAnsi" w:eastAsiaTheme="minorEastAsia" w:cstheme="minorBidi"/>
          <w:szCs w:val="22"/>
        </w:rPr>
        <w:tab/>
      </w:r>
      <w:r>
        <w:rPr>
          <w:rStyle w:val="26"/>
        </w:rPr>
        <w:t>总平面图</w:t>
      </w:r>
      <w:r>
        <w:tab/>
      </w:r>
      <w:r>
        <w:fldChar w:fldCharType="begin"/>
      </w:r>
      <w:r>
        <w:instrText xml:space="preserve"> PAGEREF _Toc60317228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"_Toc60317229"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_Toc60317229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"_Toc60317230"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_Toc60317230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"_Toc60317231"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_Toc60317231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"_Toc60317232" </w:instrText>
      </w:r>
      <w:r>
        <w:fldChar w:fldCharType="separate"/>
      </w:r>
      <w:r>
        <w:rPr>
          <w:rStyle w:val="26"/>
        </w:rPr>
        <w:t>4</w:t>
      </w:r>
      <w:r>
        <w:rPr>
          <w:rFonts w:asciiTheme="minorHAnsi" w:hAnsiTheme="minorHAnsi" w:eastAsiaTheme="minorEastAsia" w:cstheme="minorBidi"/>
          <w:b w:val="0"/>
          <w:bCs w:val="0"/>
          <w:szCs w:val="22"/>
        </w:rPr>
        <w:tab/>
      </w:r>
      <w:r>
        <w:rPr>
          <w:rStyle w:val="26"/>
        </w:rPr>
        <w:t>计算原理</w:t>
      </w:r>
      <w:r>
        <w:tab/>
      </w:r>
      <w:r>
        <w:fldChar w:fldCharType="begin"/>
      </w:r>
      <w:r>
        <w:instrText xml:space="preserve"> PAGEREF _Toc60317232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"_Toc60317233" </w:instrText>
      </w:r>
      <w:r>
        <w:fldChar w:fldCharType="separate"/>
      </w:r>
      <w:r>
        <w:rPr>
          <w:rStyle w:val="26"/>
          <w:lang w:val="en-GB"/>
        </w:rPr>
        <w:t>4.1</w:t>
      </w:r>
      <w:r>
        <w:rPr>
          <w:rFonts w:asciiTheme="minorHAnsi" w:hAnsiTheme="minorHAnsi" w:eastAsiaTheme="minorEastAsia" w:cstheme="minorBidi"/>
          <w:szCs w:val="22"/>
        </w:rPr>
        <w:tab/>
      </w:r>
      <w:r>
        <w:rPr>
          <w:rStyle w:val="26"/>
        </w:rPr>
        <w:t>风场计算域</w:t>
      </w:r>
      <w:r>
        <w:tab/>
      </w:r>
      <w:r>
        <w:fldChar w:fldCharType="begin"/>
      </w:r>
      <w:r>
        <w:instrText xml:space="preserve"> PAGEREF _Toc60317233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"_Toc60317234" </w:instrText>
      </w:r>
      <w:r>
        <w:fldChar w:fldCharType="separate"/>
      </w:r>
      <w:r>
        <w:rPr>
          <w:rStyle w:val="26"/>
          <w:lang w:val="en-GB"/>
        </w:rPr>
        <w:t>4.1.1</w:t>
      </w:r>
      <w:r>
        <w:rPr>
          <w:rFonts w:asciiTheme="minorHAnsi" w:hAnsiTheme="minorHAnsi" w:eastAsiaTheme="minorEastAsia" w:cstheme="minorBidi"/>
          <w:szCs w:val="22"/>
        </w:rPr>
        <w:tab/>
      </w:r>
      <w:r>
        <w:rPr>
          <w:rStyle w:val="26"/>
        </w:rPr>
        <w:t>冬季工况风场计算域</w:t>
      </w:r>
      <w:r>
        <w:tab/>
      </w:r>
      <w:r>
        <w:fldChar w:fldCharType="begin"/>
      </w:r>
      <w:r>
        <w:instrText xml:space="preserve"> PAGEREF _Toc60317234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"_Toc60317235" </w:instrText>
      </w:r>
      <w:r>
        <w:fldChar w:fldCharType="separate"/>
      </w:r>
      <w:r>
        <w:rPr>
          <w:rStyle w:val="26"/>
          <w:lang w:val="en-GB"/>
        </w:rPr>
        <w:t>4.2</w:t>
      </w:r>
      <w:r>
        <w:rPr>
          <w:rFonts w:asciiTheme="minorHAnsi" w:hAnsiTheme="minorHAnsi" w:eastAsiaTheme="minorEastAsia" w:cstheme="minorBidi"/>
          <w:szCs w:val="22"/>
        </w:rPr>
        <w:tab/>
      </w:r>
      <w:r>
        <w:rPr>
          <w:rStyle w:val="26"/>
        </w:rPr>
        <w:t>网格划分</w:t>
      </w:r>
      <w:r>
        <w:tab/>
      </w:r>
      <w:r>
        <w:fldChar w:fldCharType="begin"/>
      </w:r>
      <w:r>
        <w:instrText xml:space="preserve"> PAGEREF _Toc60317235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"_Toc60317236" </w:instrText>
      </w:r>
      <w:r>
        <w:fldChar w:fldCharType="separate"/>
      </w:r>
      <w:r>
        <w:rPr>
          <w:rStyle w:val="26"/>
          <w:lang w:val="en-GB"/>
        </w:rPr>
        <w:t>4.3</w:t>
      </w:r>
      <w:r>
        <w:rPr>
          <w:rFonts w:asciiTheme="minorHAnsi" w:hAnsiTheme="minorHAnsi" w:eastAsiaTheme="minorEastAsia" w:cstheme="minorBidi"/>
          <w:szCs w:val="22"/>
        </w:rPr>
        <w:tab/>
      </w:r>
      <w:r>
        <w:rPr>
          <w:rStyle w:val="26"/>
        </w:rPr>
        <w:t>边界条件</w:t>
      </w:r>
      <w:r>
        <w:tab/>
      </w:r>
      <w:r>
        <w:fldChar w:fldCharType="begin"/>
      </w:r>
      <w:r>
        <w:instrText xml:space="preserve"> PAGEREF _Toc60317236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"_Toc60317237" </w:instrText>
      </w:r>
      <w:r>
        <w:fldChar w:fldCharType="separate"/>
      </w:r>
      <w:r>
        <w:rPr>
          <w:rStyle w:val="26"/>
          <w:lang w:val="en-GB"/>
        </w:rPr>
        <w:t>4.3.1</w:t>
      </w:r>
      <w:r>
        <w:rPr>
          <w:rFonts w:asciiTheme="minorHAnsi" w:hAnsiTheme="minorHAnsi" w:eastAsiaTheme="minorEastAsia" w:cstheme="minorBidi"/>
          <w:szCs w:val="22"/>
        </w:rPr>
        <w:tab/>
      </w:r>
      <w:r>
        <w:rPr>
          <w:rStyle w:val="26"/>
        </w:rPr>
        <w:t>入口与出口边界条件</w:t>
      </w:r>
      <w:r>
        <w:tab/>
      </w:r>
      <w:r>
        <w:fldChar w:fldCharType="begin"/>
      </w:r>
      <w:r>
        <w:instrText xml:space="preserve"> PAGEREF _Toc60317237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"_Toc60317238" </w:instrText>
      </w:r>
      <w:r>
        <w:fldChar w:fldCharType="separate"/>
      </w:r>
      <w:r>
        <w:rPr>
          <w:rStyle w:val="26"/>
          <w:lang w:val="en-GB"/>
        </w:rPr>
        <w:t>4.3.2</w:t>
      </w:r>
      <w:r>
        <w:rPr>
          <w:rFonts w:asciiTheme="minorHAnsi" w:hAnsiTheme="minorHAnsi" w:eastAsiaTheme="minorEastAsia" w:cstheme="minorBidi"/>
          <w:szCs w:val="22"/>
        </w:rPr>
        <w:tab/>
      </w:r>
      <w:r>
        <w:rPr>
          <w:rStyle w:val="26"/>
        </w:rPr>
        <w:t>壁面边界条件</w:t>
      </w:r>
      <w:r>
        <w:tab/>
      </w:r>
      <w:r>
        <w:fldChar w:fldCharType="begin"/>
      </w:r>
      <w:r>
        <w:instrText xml:space="preserve"> PAGEREF _Toc60317238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"_Toc60317239" </w:instrText>
      </w:r>
      <w:r>
        <w:fldChar w:fldCharType="separate"/>
      </w:r>
      <w:r>
        <w:rPr>
          <w:rStyle w:val="26"/>
          <w:lang w:val="en-GB"/>
        </w:rPr>
        <w:t>4.4</w:t>
      </w:r>
      <w:r>
        <w:rPr>
          <w:rFonts w:asciiTheme="minorHAnsi" w:hAnsiTheme="minorHAnsi" w:eastAsiaTheme="minorEastAsia" w:cstheme="minorBidi"/>
          <w:szCs w:val="22"/>
        </w:rPr>
        <w:tab/>
      </w:r>
      <w:r>
        <w:rPr>
          <w:rStyle w:val="26"/>
        </w:rPr>
        <w:t>湍流模型</w:t>
      </w:r>
      <w:r>
        <w:tab/>
      </w:r>
      <w:r>
        <w:fldChar w:fldCharType="begin"/>
      </w:r>
      <w:r>
        <w:instrText xml:space="preserve"> PAGEREF _Toc60317239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"_Toc60317240" </w:instrText>
      </w:r>
      <w:r>
        <w:fldChar w:fldCharType="separate"/>
      </w:r>
      <w:r>
        <w:rPr>
          <w:rStyle w:val="26"/>
          <w:lang w:val="en-GB"/>
        </w:rPr>
        <w:t>4.5</w:t>
      </w:r>
      <w:r>
        <w:rPr>
          <w:rFonts w:asciiTheme="minorHAnsi" w:hAnsiTheme="minorHAnsi" w:eastAsiaTheme="minorEastAsia" w:cstheme="minorBidi"/>
          <w:szCs w:val="22"/>
        </w:rPr>
        <w:tab/>
      </w:r>
      <w:r>
        <w:rPr>
          <w:rStyle w:val="26"/>
        </w:rPr>
        <w:t>求解计算</w:t>
      </w:r>
      <w:r>
        <w:tab/>
      </w:r>
      <w:r>
        <w:fldChar w:fldCharType="begin"/>
      </w:r>
      <w:r>
        <w:instrText xml:space="preserve"> PAGEREF _Toc60317240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"_Toc60317241" </w:instrText>
      </w:r>
      <w:r>
        <w:fldChar w:fldCharType="separate"/>
      </w:r>
      <w:r>
        <w:rPr>
          <w:rStyle w:val="26"/>
          <w:lang w:val="en-GB"/>
        </w:rPr>
        <w:t>4.6</w:t>
      </w:r>
      <w:r>
        <w:rPr>
          <w:rFonts w:asciiTheme="minorHAnsi" w:hAnsiTheme="minorHAnsi" w:eastAsiaTheme="minorEastAsia" w:cstheme="minorBidi"/>
          <w:szCs w:val="22"/>
        </w:rPr>
        <w:tab/>
      </w:r>
      <w:r>
        <w:rPr>
          <w:rStyle w:val="26"/>
        </w:rPr>
        <w:t>风速放大系数计算</w:t>
      </w:r>
      <w:r>
        <w:tab/>
      </w:r>
      <w:r>
        <w:fldChar w:fldCharType="begin"/>
      </w:r>
      <w:r>
        <w:instrText xml:space="preserve"> PAGEREF _Toc60317241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"_Toc60317242"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_Toc60317242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"_Toc60317243" </w:instrText>
      </w:r>
      <w:r>
        <w:fldChar w:fldCharType="separate"/>
      </w:r>
      <w:r>
        <w:rPr>
          <w:rStyle w:val="26"/>
          <w:lang w:val="en-GB"/>
        </w:rPr>
        <w:t>5.1</w:t>
      </w:r>
      <w:r>
        <w:rPr>
          <w:rFonts w:asciiTheme="minorHAnsi" w:hAnsiTheme="minorHAnsi" w:eastAsiaTheme="minorEastAsia" w:cstheme="minorBidi"/>
          <w:szCs w:val="22"/>
        </w:rPr>
        <w:tab/>
      </w:r>
      <w:r>
        <w:rPr>
          <w:rStyle w:val="26"/>
        </w:rPr>
        <w:t>工况表</w:t>
      </w:r>
      <w:r>
        <w:tab/>
      </w:r>
      <w:r>
        <w:fldChar w:fldCharType="begin"/>
      </w:r>
      <w:r>
        <w:instrText xml:space="preserve"> PAGEREF _Toc60317243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"_Toc60317244" </w:instrText>
      </w:r>
      <w:r>
        <w:fldChar w:fldCharType="separate"/>
      </w:r>
      <w:r>
        <w:rPr>
          <w:rStyle w:val="26"/>
          <w:lang w:val="en-GB"/>
        </w:rPr>
        <w:t>5.2</w:t>
      </w:r>
      <w:r>
        <w:rPr>
          <w:rFonts w:asciiTheme="minorHAnsi" w:hAnsiTheme="minorHAnsi" w:eastAsiaTheme="minorEastAsia" w:cstheme="minorBidi"/>
          <w:szCs w:val="22"/>
        </w:rPr>
        <w:tab/>
      </w:r>
      <w:r>
        <w:rPr>
          <w:rStyle w:val="26"/>
        </w:rPr>
        <w:t>冬季工况</w:t>
      </w:r>
      <w:r>
        <w:tab/>
      </w:r>
      <w:r>
        <w:fldChar w:fldCharType="begin"/>
      </w:r>
      <w:r>
        <w:instrText xml:space="preserve"> PAGEREF _Toc60317244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"_Toc60317245" </w:instrText>
      </w:r>
      <w:r>
        <w:fldChar w:fldCharType="separate"/>
      </w:r>
      <w:r>
        <w:rPr>
          <w:rStyle w:val="26"/>
          <w:lang w:val="en-GB"/>
        </w:rPr>
        <w:t>5.2.1</w:t>
      </w:r>
      <w:r>
        <w:rPr>
          <w:rFonts w:asciiTheme="minorHAnsi" w:hAnsiTheme="minorHAnsi" w:eastAsiaTheme="minorEastAsia" w:cstheme="minorBidi"/>
          <w:szCs w:val="22"/>
        </w:rPr>
        <w:tab/>
      </w:r>
      <w:r>
        <w:rPr>
          <w:rStyle w:val="26"/>
        </w:rPr>
        <w:t>风速达标分析</w:t>
      </w:r>
      <w:r>
        <w:tab/>
      </w:r>
      <w:r>
        <w:fldChar w:fldCharType="begin"/>
      </w:r>
      <w:r>
        <w:instrText xml:space="preserve"> PAGEREF _Toc60317245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"_Toc60317246" </w:instrText>
      </w:r>
      <w:r>
        <w:fldChar w:fldCharType="separate"/>
      </w:r>
      <w:r>
        <w:rPr>
          <w:rStyle w:val="26"/>
          <w:lang w:val="en-GB"/>
        </w:rPr>
        <w:t>5.2.2</w:t>
      </w:r>
      <w:r>
        <w:rPr>
          <w:rFonts w:asciiTheme="minorHAnsi" w:hAnsiTheme="minorHAnsi" w:eastAsiaTheme="minorEastAsia" w:cstheme="minorBidi"/>
          <w:szCs w:val="22"/>
        </w:rPr>
        <w:tab/>
      </w:r>
      <w:r>
        <w:rPr>
          <w:rStyle w:val="26"/>
        </w:rPr>
        <w:t>风速放大系数达标分析</w:t>
      </w:r>
      <w:r>
        <w:tab/>
      </w:r>
      <w:r>
        <w:fldChar w:fldCharType="begin"/>
      </w:r>
      <w:r>
        <w:instrText xml:space="preserve"> PAGEREF _Toc60317246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"_Toc60317247" </w:instrText>
      </w:r>
      <w:r>
        <w:fldChar w:fldCharType="separate"/>
      </w:r>
      <w:r>
        <w:rPr>
          <w:rStyle w:val="26"/>
          <w:lang w:val="en-GB"/>
        </w:rPr>
        <w:t>5.2.3</w:t>
      </w:r>
      <w:r>
        <w:rPr>
          <w:rFonts w:asciiTheme="minorHAnsi" w:hAnsiTheme="minorHAnsi" w:eastAsiaTheme="minorEastAsia" w:cstheme="minorBidi"/>
          <w:szCs w:val="22"/>
        </w:rPr>
        <w:tab/>
      </w:r>
      <w:r>
        <w:rPr>
          <w:rStyle w:val="26"/>
          <w:rFonts w:cs="宋体"/>
          <w:lang w:val="en-GB"/>
        </w:rPr>
        <w:t>人行区域</w:t>
      </w:r>
      <w:r>
        <w:rPr>
          <w:rStyle w:val="26"/>
        </w:rPr>
        <w:t>冬季工况风速/风速放大系数达标判定</w:t>
      </w:r>
      <w:r>
        <w:tab/>
      </w:r>
      <w:r>
        <w:fldChar w:fldCharType="begin"/>
      </w:r>
      <w:r>
        <w:instrText xml:space="preserve"> PAGEREF _Toc60317247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"_Toc60317248" </w:instrText>
      </w:r>
      <w:r>
        <w:fldChar w:fldCharType="separate"/>
      </w:r>
      <w:r>
        <w:rPr>
          <w:rStyle w:val="26"/>
          <w:lang w:val="en-GB"/>
        </w:rPr>
        <w:t>5.2.4</w:t>
      </w:r>
      <w:r>
        <w:rPr>
          <w:rFonts w:asciiTheme="minorHAnsi" w:hAnsiTheme="minorHAnsi" w:eastAsiaTheme="minorEastAsia" w:cstheme="minorBidi"/>
          <w:szCs w:val="22"/>
        </w:rPr>
        <w:tab/>
      </w:r>
      <w:r>
        <w:rPr>
          <w:rStyle w:val="26"/>
        </w:rPr>
        <w:t>建筑迎风面和背风面风压分析</w:t>
      </w:r>
      <w:r>
        <w:tab/>
      </w:r>
      <w:r>
        <w:fldChar w:fldCharType="begin"/>
      </w:r>
      <w:r>
        <w:instrText xml:space="preserve"> PAGEREF _Toc60317248 \h </w:instrText>
      </w:r>
      <w:r>
        <w:fldChar w:fldCharType="separate"/>
      </w:r>
      <w:r>
        <w:t>14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"_Toc60317249" </w:instrText>
      </w:r>
      <w:r>
        <w:fldChar w:fldCharType="separate"/>
      </w:r>
      <w:r>
        <w:rPr>
          <w:rStyle w:val="26"/>
          <w:lang w:val="en-GB"/>
        </w:rPr>
        <w:t>5.3</w:t>
      </w:r>
      <w:r>
        <w:rPr>
          <w:rFonts w:asciiTheme="minorHAnsi" w:hAnsiTheme="minorHAnsi" w:eastAsiaTheme="minorEastAsia" w:cstheme="minorBidi"/>
          <w:szCs w:val="22"/>
        </w:rPr>
        <w:tab/>
      </w:r>
      <w:r>
        <w:rPr>
          <w:rStyle w:val="26"/>
        </w:rPr>
        <w:t>结论</w:t>
      </w:r>
      <w:r>
        <w:tab/>
      </w:r>
      <w:r>
        <w:fldChar w:fldCharType="begin"/>
      </w:r>
      <w:r>
        <w:instrText xml:space="preserve"> PAGEREF _Toc60317249 \h </w:instrText>
      </w:r>
      <w:r>
        <w:fldChar w:fldCharType="separate"/>
      </w:r>
      <w:r>
        <w:t>17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"_Toc60317250" </w:instrText>
      </w:r>
      <w:r>
        <w:fldChar w:fldCharType="separate"/>
      </w:r>
      <w:r>
        <w:rPr>
          <w:rStyle w:val="26"/>
          <w:lang w:val="en-GB"/>
        </w:rPr>
        <w:t>5.3.1</w:t>
      </w:r>
      <w:r>
        <w:rPr>
          <w:rFonts w:asciiTheme="minorHAnsi" w:hAnsiTheme="minorHAnsi" w:eastAsiaTheme="minorEastAsia" w:cstheme="minorBidi"/>
          <w:szCs w:val="22"/>
        </w:rPr>
        <w:tab/>
      </w:r>
      <w:r>
        <w:rPr>
          <w:rStyle w:val="26"/>
        </w:rPr>
        <w:t>冬季工况达标判断</w:t>
      </w:r>
      <w:r>
        <w:tab/>
      </w:r>
      <w:r>
        <w:fldChar w:fldCharType="begin"/>
      </w:r>
      <w:r>
        <w:instrText xml:space="preserve"> PAGEREF _Toc60317250 \h </w:instrText>
      </w:r>
      <w:r>
        <w:fldChar w:fldCharType="separate"/>
      </w:r>
      <w:r>
        <w:t>17</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7" w:name="_Toc452108759"/>
      <w:bookmarkStart w:id="8" w:name="_Toc60317227"/>
      <w:r>
        <w:rPr>
          <w:rFonts w:hint="eastAsia"/>
        </w:rPr>
        <w:t>项目概况</w:t>
      </w:r>
      <w:bookmarkEnd w:id="7"/>
      <w:bookmarkEnd w:id="8"/>
    </w:p>
    <w:p>
      <w:pPr>
        <w:pStyle w:val="3"/>
        <w:ind w:firstLine="420"/>
        <w:rPr>
          <w:lang w:val="en-US"/>
        </w:rPr>
      </w:pPr>
      <w:bookmarkStart w:id="9" w:name="项目概况"/>
      <w:bookmarkEnd w:id="9"/>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0" w:name="_Toc452108760"/>
      <w:bookmarkStart w:id="11" w:name="_Toc60317228"/>
      <w:r>
        <w:rPr>
          <w:rFonts w:hint="eastAsia"/>
        </w:rPr>
        <w:t>总</w:t>
      </w:r>
      <w:r>
        <w:t>平面图</w:t>
      </w:r>
      <w:bookmarkEnd w:id="10"/>
      <w:bookmarkEnd w:id="11"/>
    </w:p>
    <w:p>
      <w:pPr>
        <w:pStyle w:val="3"/>
        <w:ind w:firstLine="0" w:firstLineChars="0"/>
        <w:jc w:val="center"/>
        <w:rPr>
          <w:lang w:val="en-US"/>
        </w:rPr>
      </w:pPr>
      <w:r>
        <w:rPr>
          <w:rFonts w:hint="eastAsia"/>
          <w:lang w:val="en-US"/>
        </w:rPr>
        <w:t xml:space="preserve"> </w:t>
      </w:r>
      <w:bookmarkStart w:id="12" w:name="总平面图"/>
      <w:bookmarkEnd w:id="12"/>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3" w:name="_Toc452108761"/>
      <w:bookmarkStart w:id="14" w:name="_Toc60317229"/>
      <w:r>
        <w:rPr>
          <w:rFonts w:hint="eastAsia"/>
        </w:rPr>
        <w:t>三</w:t>
      </w:r>
      <w:r>
        <w:t>维视图</w:t>
      </w:r>
      <w:bookmarkEnd w:id="13"/>
      <w:bookmarkEnd w:id="14"/>
    </w:p>
    <w:p>
      <w:pPr>
        <w:pStyle w:val="3"/>
        <w:ind w:firstLine="0" w:firstLineChars="0"/>
        <w:jc w:val="center"/>
        <w:rPr>
          <w:lang w:val="en-US"/>
        </w:rPr>
      </w:pPr>
      <w:r>
        <w:rPr>
          <w:rFonts w:hint="eastAsia"/>
          <w:lang w:val="en-US"/>
        </w:rPr>
        <w:t xml:space="preserve"> </w:t>
      </w:r>
      <w:bookmarkStart w:id="15" w:name="三维视图"/>
      <w:bookmarkEnd w:id="15"/>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6" w:name="_Toc452108762"/>
      <w:bookmarkStart w:id="17" w:name="_Toc60317230"/>
      <w:bookmarkStart w:id="18" w:name="TitleFormat"/>
      <w:r>
        <w:rPr>
          <w:rFonts w:hint="eastAsia"/>
        </w:rPr>
        <w:t>计算</w:t>
      </w:r>
      <w:r>
        <w:t>依据</w:t>
      </w:r>
      <w:bookmarkEnd w:id="16"/>
      <w:bookmarkEnd w:id="17"/>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19" w:name="_Toc60317231"/>
      <w:bookmarkStart w:id="20" w:name="_Toc452108763"/>
      <w:r>
        <w:rPr>
          <w:rFonts w:hint="eastAsia"/>
        </w:rPr>
        <w:t>参考</w:t>
      </w:r>
      <w:r>
        <w:t>标准</w:t>
      </w:r>
      <w:bookmarkEnd w:id="19"/>
      <w:bookmarkEnd w:id="20"/>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1" w:name="_Toc452108764"/>
      <w:bookmarkStart w:id="22" w:name="_Toc451698935"/>
      <w:bookmarkStart w:id="23"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4" w:name="_Toc60317232"/>
      <w:r>
        <w:rPr>
          <w:rFonts w:hint="eastAsia"/>
        </w:rPr>
        <w:t>计算原理</w:t>
      </w:r>
      <w:bookmarkEnd w:id="21"/>
      <w:bookmarkEnd w:id="22"/>
      <w:bookmarkEnd w:id="24"/>
    </w:p>
    <w:p>
      <w:pPr>
        <w:pStyle w:val="4"/>
        <w:numPr>
          <w:ilvl w:val="1"/>
          <w:numId w:val="3"/>
        </w:numPr>
      </w:pPr>
      <w:bookmarkStart w:id="25" w:name="_Toc60317233"/>
      <w:bookmarkStart w:id="26" w:name="_Toc509844740"/>
      <w:bookmarkStart w:id="27" w:name="_Toc451698937"/>
      <w:bookmarkStart w:id="28" w:name="_Toc452108765"/>
      <w:r>
        <w:rPr>
          <w:rFonts w:hint="eastAsia"/>
        </w:rPr>
        <w:t>风场计算域</w:t>
      </w:r>
      <w:bookmarkEnd w:id="25"/>
      <w:bookmarkEnd w:id="2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29" w:name="_Toc60317234"/>
      <w:r>
        <w:rPr>
          <w:rFonts w:hint="eastAsia"/>
        </w:rPr>
        <w:t>冬季工况风场计算域</w:t>
      </w:r>
      <w:bookmarkEnd w:id="2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0" w:name="季节2"/>
      <w:r>
        <w:rPr>
          <w:rFonts w:hint="eastAsia" w:ascii="黑体" w:hAnsi="黑体" w:eastAsia="黑体"/>
          <w:sz w:val="20"/>
          <w:szCs w:val="20"/>
        </w:rPr>
        <w:t>冬季</w:t>
      </w:r>
      <w:bookmarkEnd w:id="30"/>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1" w:name="冬季风场X尺寸"/>
            <w:r>
              <w:t>768</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Y尺寸"/>
            <w:r>
              <w:t>519</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3" w:name="冬季风场Z尺寸"/>
            <w:r>
              <w:t>145</w:t>
            </w:r>
            <w:bookmarkEnd w:id="33"/>
          </w:p>
        </w:tc>
      </w:tr>
    </w:tbl>
    <w:p>
      <w:pPr>
        <w:pStyle w:val="3"/>
        <w:ind w:firstLine="0" w:firstLineChars="0"/>
        <w:jc w:val="center"/>
        <w:rPr>
          <w:lang w:val="en-US"/>
        </w:rPr>
      </w:pPr>
      <w:bookmarkStart w:id="34" w:name="冬季工况风场计算域图示"/>
      <w:bookmarkEnd w:id="34"/>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5" w:name="季节3"/>
      <w:r>
        <w:rPr>
          <w:rFonts w:hint="eastAsia" w:ascii="黑体" w:hAnsi="黑体"/>
        </w:rPr>
        <w:t>冬季</w:t>
      </w:r>
      <w:bookmarkEnd w:id="35"/>
      <w:r>
        <w:rPr>
          <w:rFonts w:hint="eastAsia"/>
        </w:rPr>
        <w:t>工况风场计算域图示</w:t>
      </w:r>
      <w:r>
        <w:rPr>
          <w:rFonts w:hint="eastAsia"/>
          <w:szCs w:val="21"/>
          <w:lang w:val="en-US"/>
        </w:rPr>
        <w:t xml:space="preserve"> </w:t>
      </w:r>
    </w:p>
    <w:p>
      <w:pPr>
        <w:pStyle w:val="3"/>
        <w:ind w:firstLine="315" w:firstLineChars="150"/>
        <w:rPr>
          <w:lang w:val="en-US"/>
        </w:rPr>
      </w:pPr>
      <w:bookmarkStart w:id="36" w:name="计算域"/>
      <w:bookmarkEnd w:id="36"/>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7" w:name="_Toc60317235"/>
      <w:bookmarkStart w:id="38" w:name="_Toc509844741"/>
      <w:r>
        <w:rPr>
          <w:rFonts w:hint="eastAsia"/>
        </w:rPr>
        <w:t>网格划分</w:t>
      </w:r>
      <w:bookmarkEnd w:id="37"/>
      <w:bookmarkEnd w:id="38"/>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9" w:name="OLE_LINK277"/>
      <w:bookmarkStart w:id="40" w:name="OLE_LINK276"/>
      <w:r>
        <w:rPr>
          <w:rFonts w:hint="eastAsia"/>
        </w:rPr>
        <w:t>1）普通网格：指除靠近地面和建筑以外的网格，通常不需要特别加密处理</w:t>
      </w:r>
    </w:p>
    <w:p>
      <w:pPr>
        <w:pStyle w:val="12"/>
        <w:numPr>
          <w:ilvl w:val="0"/>
          <w:numId w:val="4"/>
        </w:numPr>
        <w:spacing w:before="156"/>
      </w:pPr>
      <w:bookmarkStart w:id="41" w:name="OLE_LINK15"/>
      <w:r>
        <w:rPr>
          <w:rFonts w:hint="eastAsia"/>
        </w:rPr>
        <w:t>分弧精度：对于有圆弧特征的建筑局部，把圆弧分解为线段时，弦到弧的最大距离；</w:t>
      </w:r>
    </w:p>
    <w:bookmarkEnd w:id="41"/>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39"/>
      <w:bookmarkEnd w:id="40"/>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bookmarkStart w:id="42" w:name="季节1"/>
      <w:r>
        <w:rPr>
          <w:rFonts w:hint="eastAsia" w:ascii="黑体" w:hAnsi="黑体"/>
        </w:rPr>
        <w:t>冬季</w:t>
      </w:r>
      <w:bookmarkEnd w:id="42"/>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3" w:name="冬季网格总数"/>
            <w:r>
              <w:t>1070998</w:t>
            </w:r>
            <w:bookmarkEnd w:id="43"/>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4" w:name="冬季分弧精度"/>
            <w:r>
              <w:t>0.24</w:t>
            </w:r>
            <w:bookmarkEnd w:id="4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初始网格"/>
            <w:r>
              <w:t>8.0</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最小细分级数"/>
            <w:r>
              <w:t>1</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最大细分级数"/>
            <w:r>
              <w:t>2</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远场细分级数"/>
            <w:r>
              <w:t>1</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近场细分级数"/>
            <w:r>
              <w:t>2</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地面附面层数"/>
            <w:r>
              <w:t>2</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建筑附面层数"/>
            <w:r>
              <w:t>0</w:t>
            </w:r>
            <w:bookmarkEnd w:id="51"/>
          </w:p>
        </w:tc>
      </w:tr>
    </w:tbl>
    <w:p>
      <w:pPr>
        <w:rPr>
          <w:szCs w:val="21"/>
          <w:lang w:val="en-US"/>
        </w:rPr>
      </w:pPr>
    </w:p>
    <w:p>
      <w:pPr>
        <w:pStyle w:val="3"/>
        <w:ind w:firstLine="630" w:firstLineChars="300"/>
        <w:rPr>
          <w:rFonts w:ascii="黑体" w:hAnsi="黑体" w:eastAsia="黑体"/>
          <w:szCs w:val="20"/>
        </w:rPr>
      </w:pPr>
      <w:bookmarkStart w:id="52" w:name="网格划分信息"/>
      <w:bookmarkEnd w:id="52"/>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3" w:name="_Toc60317236"/>
      <w:bookmarkStart w:id="54" w:name="_Toc509844742"/>
      <w:r>
        <w:rPr>
          <w:rFonts w:hint="eastAsia"/>
        </w:rPr>
        <w:t>边界条件</w:t>
      </w:r>
      <w:bookmarkEnd w:id="53"/>
      <w:bookmarkEnd w:id="54"/>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5" w:name="_Toc509844743"/>
      <w:bookmarkStart w:id="56" w:name="_Toc60317237"/>
      <w:r>
        <w:rPr>
          <w:rFonts w:hint="eastAsia"/>
        </w:rPr>
        <w:t>入口与出口边界条件</w:t>
      </w:r>
      <w:bookmarkEnd w:id="55"/>
      <w:bookmarkEnd w:id="56"/>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4pt;width:71.4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6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6pt;width:14.4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7" w:name="地面粗糙度指数2"/>
      <w:r>
        <w:rPr>
          <w:rFonts w:hint="eastAsia"/>
          <w:lang w:val="en-US"/>
        </w:rPr>
        <w:t>0.28</w:t>
      </w:r>
      <w:bookmarkEnd w:id="57"/>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8" w:name="_Toc60317238"/>
      <w:bookmarkStart w:id="59" w:name="_Toc509844744"/>
      <w:r>
        <w:rPr>
          <w:rFonts w:hint="eastAsia"/>
        </w:rPr>
        <w:t>壁面边界条件</w:t>
      </w:r>
      <w:bookmarkEnd w:id="58"/>
      <w:bookmarkEnd w:id="59"/>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0" w:name="_Toc60317239"/>
      <w:r>
        <w:rPr>
          <w:rFonts w:hint="eastAsia"/>
        </w:rPr>
        <w:t>湍流模型</w:t>
      </w:r>
      <w:bookmarkEnd w:id="27"/>
      <w:bookmarkEnd w:id="28"/>
      <w:bookmarkEnd w:id="60"/>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1" w:name="_Toc452108767"/>
      <w:bookmarkStart w:id="62" w:name="_Toc60317240"/>
      <w:bookmarkStart w:id="63" w:name="_Toc451698939"/>
      <w:r>
        <w:rPr>
          <w:rFonts w:hint="eastAsia"/>
        </w:rPr>
        <w:t>求解计算</w:t>
      </w:r>
      <w:bookmarkEnd w:id="61"/>
      <w:bookmarkEnd w:id="62"/>
      <w:bookmarkEnd w:id="63"/>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4"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4"/>
      <w:r>
        <w:rPr>
          <w:rFonts w:hint="eastAsia" w:ascii="黑体" w:hAnsi="黑体" w:eastAsia="黑体"/>
          <w:sz w:val="20"/>
          <w:szCs w:val="20"/>
        </w:rPr>
        <w:t xml:space="preserve"> </w:t>
      </w:r>
      <w:bookmarkStart w:id="65" w:name="_Ref225175618"/>
      <w:r>
        <w:rPr>
          <w:rFonts w:hint="eastAsia" w:ascii="黑体" w:hAnsi="黑体" w:eastAsia="黑体"/>
          <w:sz w:val="20"/>
          <w:szCs w:val="20"/>
        </w:rPr>
        <w:t>计算流体力学的控制方程</w:t>
      </w:r>
      <w:bookmarkEnd w:id="65"/>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3"/>
    </w:p>
    <w:p>
      <w:pPr>
        <w:pStyle w:val="4"/>
      </w:pPr>
      <w:bookmarkStart w:id="66" w:name="_Toc509844747"/>
      <w:bookmarkStart w:id="67" w:name="_Toc60317241"/>
      <w:r>
        <w:rPr>
          <w:rFonts w:hint="eastAsia"/>
        </w:rPr>
        <w:t>风速放大系数计算</w:t>
      </w:r>
      <w:bookmarkEnd w:id="66"/>
      <w:bookmarkEnd w:id="67"/>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6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4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4pt;width:20.4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0.28</w:t>
      </w:r>
      <w:bookmarkEnd w:id="68"/>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9" w:name="_Toc452108768"/>
      <w:bookmarkStart w:id="70" w:name="_Toc60317242"/>
      <w:r>
        <w:rPr>
          <w:rFonts w:hint="eastAsia"/>
        </w:rPr>
        <w:t>结果</w:t>
      </w:r>
      <w:r>
        <w:t>分析</w:t>
      </w:r>
      <w:bookmarkEnd w:id="69"/>
      <w:bookmarkEnd w:id="70"/>
    </w:p>
    <w:p>
      <w:pPr>
        <w:pStyle w:val="4"/>
        <w:rPr>
          <w:szCs w:val="21"/>
        </w:rPr>
      </w:pPr>
      <w:bookmarkStart w:id="71" w:name="_Toc60317243"/>
      <w:r>
        <w:rPr>
          <w:rFonts w:hint="eastAsia"/>
          <w:szCs w:val="21"/>
        </w:rPr>
        <w:t>工况</w:t>
      </w:r>
      <w:r>
        <w:rPr>
          <w:szCs w:val="21"/>
        </w:rPr>
        <w:t>表</w:t>
      </w:r>
      <w:bookmarkEnd w:id="71"/>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0.0</w:t>
            </w:r>
          </w:p>
        </w:tc>
      </w:tr>
      <w:bookmarkEnd w:id="72"/>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3" w:name="_Toc60317244"/>
      <w:bookmarkStart w:id="74" w:name="_Toc509844750"/>
      <w:r>
        <w:rPr>
          <w:rFonts w:hint="eastAsia"/>
        </w:rPr>
        <w:t>冬季工况</w:t>
      </w:r>
      <w:bookmarkEnd w:id="73"/>
      <w:bookmarkEnd w:id="74"/>
    </w:p>
    <w:p>
      <w:pPr>
        <w:ind w:firstLine="420" w:firstLineChars="200"/>
        <w:jc w:val="both"/>
      </w:pPr>
      <w:r>
        <w:rPr>
          <w:rFonts w:hint="eastAsia"/>
          <w:lang w:val="en-US"/>
        </w:rPr>
        <w:t>本项目冬季工况的入口边界风速为</w:t>
      </w:r>
      <w:bookmarkStart w:id="75" w:name="冬季入口边界风速"/>
      <w:r>
        <w:rPr>
          <w:rFonts w:hint="eastAsia" w:ascii="Calibri" w:hAnsi="Calibri"/>
          <w:szCs w:val="21"/>
        </w:rPr>
        <w:t>2.70</w:t>
      </w:r>
      <w:bookmarkEnd w:id="75"/>
      <w:r>
        <w:rPr>
          <w:rFonts w:ascii="Calibri" w:hAnsi="Calibri"/>
          <w:szCs w:val="21"/>
        </w:rPr>
        <w:t>m/s</w:t>
      </w:r>
      <w:r>
        <w:rPr>
          <w:rFonts w:hint="eastAsia" w:ascii="Calibri" w:hAnsi="Calibri"/>
          <w:szCs w:val="21"/>
        </w:rPr>
        <w:t>，风向为</w:t>
      </w:r>
      <w:bookmarkStart w:id="76" w:name="冬季入口边界风向"/>
      <w:r>
        <w:rPr>
          <w:szCs w:val="21"/>
        </w:rPr>
        <w:t>E</w:t>
      </w:r>
      <w:bookmarkEnd w:id="76"/>
      <w:r>
        <w:rPr>
          <w:rFonts w:hint="eastAsia"/>
          <w:szCs w:val="21"/>
        </w:rPr>
        <w:t>。</w:t>
      </w:r>
    </w:p>
    <w:p>
      <w:pPr>
        <w:pStyle w:val="5"/>
      </w:pPr>
      <w:bookmarkStart w:id="77" w:name="_Toc60317245"/>
      <w:bookmarkStart w:id="78" w:name="_Toc509844751"/>
      <w:r>
        <w:rPr>
          <w:rFonts w:hint="eastAsia"/>
        </w:rPr>
        <w:t>风速达标分析</w:t>
      </w:r>
      <w:bookmarkEnd w:id="77"/>
      <w:bookmarkEnd w:id="78"/>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bookmarkStart w:id="79" w:name="冬季工况风速分析结论"/>
      <w:bookmarkEnd w:id="79"/>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bookmarkStart w:id="80" w:name="冬季工况风速云图"/>
      <w:bookmarkEnd w:id="80"/>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81" w:name="_Toc60317246"/>
      <w:bookmarkStart w:id="82" w:name="_Toc509844752"/>
      <w:r>
        <w:rPr>
          <w:rFonts w:hint="eastAsia"/>
        </w:rPr>
        <w:t>风速放大系数达标分析</w:t>
      </w:r>
      <w:bookmarkEnd w:id="81"/>
      <w:bookmarkEnd w:id="82"/>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bookmarkStart w:id="83" w:name="冬季工况风速放大系数分析结论"/>
      <w:bookmarkEnd w:id="83"/>
      <w:r>
        <w:rPr>
          <w:lang w:val="en-US"/>
        </w:rPr>
        <w:t>建筑周围</w:t>
      </w:r>
      <w:r>
        <w:rPr>
          <w:color w:val="FF0000"/>
          <w:lang w:val="en-US"/>
        </w:rPr>
        <w:t>出现</w:t>
      </w:r>
      <w:r>
        <w:rPr>
          <w:lang w:val="en-US"/>
        </w:rPr>
        <w:t>风速放大系数超限区域，</w:t>
      </w:r>
      <w:r>
        <w:rPr>
          <w:color w:val="FF0000"/>
          <w:lang w:val="en-US"/>
        </w:rPr>
        <w:t>需</w:t>
      </w:r>
      <w:r>
        <w:rPr>
          <w:lang w:val="en-US"/>
        </w:rPr>
        <w:t>酌情调整建筑布局。</w:t>
      </w:r>
    </w:p>
    <w:p>
      <w:pPr>
        <w:pStyle w:val="13"/>
        <w:jc w:val="center"/>
        <w:rPr>
          <w:lang w:val="en-US"/>
        </w:rPr>
      </w:pPr>
      <w:bookmarkStart w:id="84" w:name="冬季工况风速放大系数云图"/>
      <w:bookmarkEnd w:id="84"/>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85" w:name="_Toc509844753"/>
      <w:bookmarkStart w:id="86" w:name="_Toc60317247"/>
      <w:r>
        <w:rPr>
          <w:rFonts w:hint="eastAsia" w:cs="宋体"/>
          <w:lang w:val="en-GB"/>
        </w:rPr>
        <w:t>人行区域</w:t>
      </w:r>
      <w:r>
        <w:rPr>
          <w:rFonts w:hint="eastAsia"/>
        </w:rPr>
        <w:t>冬季工况风速/风速放大系数达标判定</w:t>
      </w:r>
      <w:bookmarkEnd w:id="85"/>
      <w:bookmarkEnd w:id="86"/>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bookmarkStart w:id="87" w:name="冬季工况风速要求2019"/>
            <w:r>
              <w:rPr>
                <w:rFonts w:hint="eastAsia" w:ascii="宋体" w:hAnsi="宋体" w:cs="宋体"/>
                <w:szCs w:val="21"/>
              </w:rPr>
              <w:t xml:space="preserve">或 </w:t>
            </w:r>
            <w:r>
              <w:rPr>
                <w:rFonts w:ascii="宋体" w:hAnsi="宋体" w:cs="宋体"/>
                <w:szCs w:val="21"/>
              </w:rPr>
              <w:t>&lt;2m/s</w:t>
            </w:r>
            <w:bookmarkEnd w:id="87"/>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8" w:name="冬季工况风速是否有超限区域"/>
            <w:r>
              <w:rPr>
                <w:rFonts w:hint="eastAsia" w:ascii="宋体" w:hAnsi="宋体" w:cs="宋体"/>
                <w:color w:val="000000"/>
                <w:sz w:val="22"/>
                <w:szCs w:val="22"/>
                <w:lang w:val="en-US"/>
              </w:rPr>
              <w:t>否</w:t>
            </w:r>
            <w:bookmarkEnd w:id="88"/>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9" w:name="冬季工况风速达标判断"/>
            <w:r>
              <w:rPr>
                <w:rFonts w:hint="eastAsia" w:ascii="宋体" w:hAnsi="宋体" w:cs="宋体"/>
                <w:color w:val="000000"/>
                <w:sz w:val="22"/>
                <w:szCs w:val="22"/>
                <w:lang w:val="en-US"/>
              </w:rPr>
              <w:t>是</w:t>
            </w:r>
            <w:bookmarkEnd w:id="89"/>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0" w:name="冬季工况风速放大系数是否有超限区域"/>
            <w:r>
              <w:rPr>
                <w:rFonts w:hint="eastAsia" w:ascii="宋体" w:hAnsi="宋体" w:cs="宋体"/>
                <w:color w:val="FF0000"/>
                <w:sz w:val="22"/>
                <w:szCs w:val="22"/>
                <w:lang w:val="en-US"/>
              </w:rPr>
              <w:t>是</w:t>
            </w:r>
            <w:bookmarkEnd w:id="90"/>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1" w:name="冬季工况风速放大系数达标判断"/>
            <w:r>
              <w:rPr>
                <w:rFonts w:hint="eastAsia" w:ascii="宋体" w:hAnsi="宋体" w:cs="宋体"/>
                <w:color w:val="FF0000"/>
                <w:sz w:val="22"/>
                <w:szCs w:val="22"/>
                <w:lang w:val="en-US"/>
              </w:rPr>
              <w:t>否</w:t>
            </w:r>
            <w:bookmarkEnd w:id="91"/>
          </w:p>
        </w:tc>
      </w:tr>
    </w:tbl>
    <w:p>
      <w:pPr>
        <w:pStyle w:val="5"/>
      </w:pPr>
      <w:bookmarkStart w:id="92" w:name="_Toc509844756"/>
      <w:bookmarkEnd w:id="92"/>
      <w:bookmarkStart w:id="93" w:name="_Toc509844754"/>
      <w:bookmarkEnd w:id="93"/>
      <w:bookmarkStart w:id="94" w:name="_Toc509844755"/>
      <w:bookmarkEnd w:id="94"/>
      <w:bookmarkStart w:id="95" w:name="_Toc509844757"/>
      <w:bookmarkEnd w:id="95"/>
      <w:bookmarkStart w:id="96" w:name="_Toc509844758"/>
      <w:bookmarkStart w:id="97" w:name="_Toc60317248"/>
      <w:r>
        <w:rPr>
          <w:rFonts w:hint="eastAsia"/>
        </w:rPr>
        <w:t>建筑迎风面和背风面风压分析</w:t>
      </w:r>
      <w:bookmarkEnd w:id="96"/>
      <w:bookmarkEnd w:id="97"/>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69">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98" w:name="冬季工况建筑迎风面风压云图"/>
      <w:bookmarkEnd w:id="98"/>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99" w:name="冬季工况建筑背风面风压云图"/>
      <w:bookmarkEnd w:id="99"/>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1"/>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00"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健康学院教研楼</w:t>
            </w:r>
          </w:p>
        </w:tc>
        <w:tc>
          <w:tcPr>
            <w:tcW w:w="1276" w:type="dxa"/>
            <w:shd w:val="clear" w:color="auto" w:fill="auto"/>
            <w:vAlign w:val="center"/>
          </w:tcPr>
          <w:p>
            <w:pPr>
              <w:jc w:val="center"/>
              <w:rPr>
                <w:lang w:val="en-US"/>
              </w:rPr>
            </w:pPr>
            <w:r>
              <w:rPr>
                <w:lang w:val="en-US"/>
              </w:rPr>
              <w:t>1.64</w:t>
            </w:r>
          </w:p>
        </w:tc>
        <w:tc>
          <w:tcPr>
            <w:tcW w:w="1276" w:type="dxa"/>
            <w:shd w:val="clear" w:color="auto" w:fill="auto"/>
            <w:vAlign w:val="center"/>
          </w:tcPr>
          <w:p>
            <w:pPr>
              <w:jc w:val="center"/>
              <w:rPr>
                <w:lang w:val="en-US"/>
              </w:rPr>
            </w:pPr>
            <w:r>
              <w:rPr>
                <w:lang w:val="en-US"/>
              </w:rPr>
              <w:t>-1.17</w:t>
            </w:r>
          </w:p>
        </w:tc>
        <w:tc>
          <w:tcPr>
            <w:tcW w:w="1701" w:type="dxa"/>
            <w:shd w:val="clear" w:color="auto" w:fill="auto"/>
            <w:vAlign w:val="center"/>
          </w:tcPr>
          <w:p>
            <w:pPr>
              <w:jc w:val="center"/>
              <w:rPr>
                <w:lang w:val="en-US"/>
              </w:rPr>
            </w:pPr>
            <w:r>
              <w:rPr>
                <w:lang w:val="en-US"/>
              </w:rPr>
              <w:t>2.81</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教培A</w:t>
            </w:r>
          </w:p>
        </w:tc>
        <w:tc>
          <w:tcPr>
            <w:tcW w:w="1276" w:type="dxa"/>
            <w:shd w:val="clear" w:color="auto" w:fill="auto"/>
            <w:vAlign w:val="center"/>
          </w:tcPr>
          <w:p>
            <w:pPr>
              <w:jc w:val="center"/>
              <w:rPr>
                <w:lang w:val="en-US"/>
              </w:rPr>
            </w:pPr>
            <w:r>
              <w:rPr>
                <w:lang w:val="en-US"/>
              </w:rPr>
              <w:t>-0.61</w:t>
            </w:r>
          </w:p>
        </w:tc>
        <w:tc>
          <w:tcPr>
            <w:tcW w:w="1276" w:type="dxa"/>
            <w:shd w:val="clear" w:color="auto" w:fill="auto"/>
            <w:vAlign w:val="center"/>
          </w:tcPr>
          <w:p>
            <w:pPr>
              <w:jc w:val="center"/>
              <w:rPr>
                <w:lang w:val="en-US"/>
              </w:rPr>
            </w:pPr>
            <w:r>
              <w:rPr>
                <w:lang w:val="en-US"/>
              </w:rPr>
              <w:t>-1.98</w:t>
            </w:r>
          </w:p>
        </w:tc>
        <w:tc>
          <w:tcPr>
            <w:tcW w:w="1701" w:type="dxa"/>
            <w:shd w:val="clear" w:color="auto" w:fill="auto"/>
            <w:vAlign w:val="center"/>
          </w:tcPr>
          <w:p>
            <w:pPr>
              <w:jc w:val="center"/>
              <w:rPr>
                <w:lang w:val="en-US"/>
              </w:rPr>
            </w:pPr>
            <w:r>
              <w:rPr>
                <w:lang w:val="en-US"/>
              </w:rPr>
              <w:t>1.37</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教培B</w:t>
            </w:r>
          </w:p>
        </w:tc>
        <w:tc>
          <w:tcPr>
            <w:tcW w:w="1276" w:type="dxa"/>
            <w:shd w:val="clear" w:color="auto" w:fill="auto"/>
            <w:vAlign w:val="center"/>
          </w:tcPr>
          <w:p>
            <w:pPr>
              <w:jc w:val="center"/>
              <w:rPr>
                <w:lang w:val="en-US"/>
              </w:rPr>
            </w:pPr>
            <w:r>
              <w:rPr>
                <w:lang w:val="en-US"/>
              </w:rPr>
              <w:t>0.03</w:t>
            </w:r>
          </w:p>
        </w:tc>
        <w:tc>
          <w:tcPr>
            <w:tcW w:w="1276" w:type="dxa"/>
            <w:shd w:val="clear" w:color="auto" w:fill="auto"/>
            <w:vAlign w:val="center"/>
          </w:tcPr>
          <w:p>
            <w:pPr>
              <w:jc w:val="center"/>
              <w:rPr>
                <w:lang w:val="en-US"/>
              </w:rPr>
            </w:pPr>
            <w:r>
              <w:rPr>
                <w:lang w:val="en-US"/>
              </w:rPr>
              <w:t>-1.36</w:t>
            </w:r>
          </w:p>
        </w:tc>
        <w:tc>
          <w:tcPr>
            <w:tcW w:w="1701" w:type="dxa"/>
            <w:shd w:val="clear" w:color="auto" w:fill="auto"/>
            <w:vAlign w:val="center"/>
          </w:tcPr>
          <w:p>
            <w:pPr>
              <w:jc w:val="center"/>
              <w:rPr>
                <w:lang w:val="en-US"/>
              </w:rPr>
            </w:pPr>
            <w:r>
              <w:rPr>
                <w:lang w:val="en-US"/>
              </w:rPr>
              <w:t>1.39</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教师公寓</w:t>
            </w:r>
          </w:p>
        </w:tc>
        <w:tc>
          <w:tcPr>
            <w:tcW w:w="1276" w:type="dxa"/>
            <w:shd w:val="clear" w:color="auto" w:fill="auto"/>
            <w:vAlign w:val="center"/>
          </w:tcPr>
          <w:p>
            <w:pPr>
              <w:jc w:val="center"/>
              <w:rPr>
                <w:lang w:val="en-US"/>
              </w:rPr>
            </w:pPr>
            <w:r>
              <w:rPr>
                <w:lang w:val="en-US"/>
              </w:rPr>
              <w:t>-0.06</w:t>
            </w:r>
          </w:p>
        </w:tc>
        <w:tc>
          <w:tcPr>
            <w:tcW w:w="1276" w:type="dxa"/>
            <w:shd w:val="clear" w:color="auto" w:fill="auto"/>
            <w:vAlign w:val="center"/>
          </w:tcPr>
          <w:p>
            <w:pPr>
              <w:jc w:val="center"/>
              <w:rPr>
                <w:lang w:val="en-US"/>
              </w:rPr>
            </w:pPr>
            <w:r>
              <w:rPr>
                <w:lang w:val="en-US"/>
              </w:rPr>
              <w:t>-1.88</w:t>
            </w:r>
          </w:p>
        </w:tc>
        <w:tc>
          <w:tcPr>
            <w:tcW w:w="1701" w:type="dxa"/>
            <w:shd w:val="clear" w:color="auto" w:fill="auto"/>
            <w:vAlign w:val="center"/>
          </w:tcPr>
          <w:p>
            <w:pPr>
              <w:jc w:val="center"/>
              <w:rPr>
                <w:lang w:val="en-US"/>
              </w:rPr>
            </w:pPr>
            <w:r>
              <w:rPr>
                <w:lang w:val="en-US"/>
              </w:rPr>
              <w:t>1.83</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培训用房</w:t>
            </w:r>
          </w:p>
        </w:tc>
        <w:tc>
          <w:tcPr>
            <w:tcW w:w="1276" w:type="dxa"/>
            <w:shd w:val="clear" w:color="auto" w:fill="auto"/>
            <w:vAlign w:val="center"/>
          </w:tcPr>
          <w:p>
            <w:pPr>
              <w:jc w:val="center"/>
              <w:rPr>
                <w:lang w:val="en-US"/>
              </w:rPr>
            </w:pPr>
            <w:r>
              <w:rPr>
                <w:lang w:val="en-US"/>
              </w:rPr>
              <w:t>-0.58</w:t>
            </w:r>
          </w:p>
        </w:tc>
        <w:tc>
          <w:tcPr>
            <w:tcW w:w="1276" w:type="dxa"/>
            <w:shd w:val="clear" w:color="auto" w:fill="auto"/>
            <w:vAlign w:val="center"/>
          </w:tcPr>
          <w:p>
            <w:pPr>
              <w:jc w:val="center"/>
              <w:rPr>
                <w:lang w:val="en-US"/>
              </w:rPr>
            </w:pPr>
            <w:r>
              <w:rPr>
                <w:lang w:val="en-US"/>
              </w:rPr>
              <w:t>-2.09</w:t>
            </w:r>
          </w:p>
        </w:tc>
        <w:tc>
          <w:tcPr>
            <w:tcW w:w="1701" w:type="dxa"/>
            <w:shd w:val="clear" w:color="auto" w:fill="auto"/>
            <w:vAlign w:val="center"/>
          </w:tcPr>
          <w:p>
            <w:pPr>
              <w:jc w:val="center"/>
              <w:rPr>
                <w:lang w:val="en-US"/>
              </w:rPr>
            </w:pPr>
            <w:r>
              <w:rPr>
                <w:lang w:val="en-US"/>
              </w:rPr>
              <w:t>1.52</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食堂</w:t>
            </w:r>
          </w:p>
        </w:tc>
        <w:tc>
          <w:tcPr>
            <w:tcW w:w="1276" w:type="dxa"/>
            <w:shd w:val="clear" w:color="auto" w:fill="auto"/>
            <w:vAlign w:val="center"/>
          </w:tcPr>
          <w:p>
            <w:pPr>
              <w:jc w:val="center"/>
              <w:rPr>
                <w:lang w:val="en-US"/>
              </w:rPr>
            </w:pPr>
            <w:r>
              <w:rPr>
                <w:lang w:val="en-US"/>
              </w:rPr>
              <w:t>0.35</w:t>
            </w:r>
          </w:p>
        </w:tc>
        <w:tc>
          <w:tcPr>
            <w:tcW w:w="1276" w:type="dxa"/>
            <w:shd w:val="clear" w:color="auto" w:fill="auto"/>
            <w:vAlign w:val="center"/>
          </w:tcPr>
          <w:p>
            <w:pPr>
              <w:jc w:val="center"/>
              <w:rPr>
                <w:lang w:val="en-US"/>
              </w:rPr>
            </w:pPr>
            <w:r>
              <w:rPr>
                <w:lang w:val="en-US"/>
              </w:rPr>
              <w:t>-0.52</w:t>
            </w:r>
          </w:p>
        </w:tc>
        <w:tc>
          <w:tcPr>
            <w:tcW w:w="1701" w:type="dxa"/>
            <w:shd w:val="clear" w:color="auto" w:fill="auto"/>
            <w:vAlign w:val="center"/>
          </w:tcPr>
          <w:p>
            <w:pPr>
              <w:jc w:val="center"/>
              <w:rPr>
                <w:lang w:val="en-US"/>
              </w:rPr>
            </w:pPr>
            <w:r>
              <w:rPr>
                <w:lang w:val="en-US"/>
              </w:rPr>
              <w:t>0.87</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实训楼</w:t>
            </w:r>
          </w:p>
        </w:tc>
        <w:tc>
          <w:tcPr>
            <w:tcW w:w="1276" w:type="dxa"/>
            <w:shd w:val="clear" w:color="auto" w:fill="auto"/>
            <w:vAlign w:val="center"/>
          </w:tcPr>
          <w:p>
            <w:pPr>
              <w:jc w:val="center"/>
              <w:rPr>
                <w:lang w:val="en-US"/>
              </w:rPr>
            </w:pPr>
            <w:r>
              <w:rPr>
                <w:lang w:val="en-US"/>
              </w:rPr>
              <w:t>1.00</w:t>
            </w:r>
          </w:p>
        </w:tc>
        <w:tc>
          <w:tcPr>
            <w:tcW w:w="1276" w:type="dxa"/>
            <w:shd w:val="clear" w:color="auto" w:fill="auto"/>
            <w:vAlign w:val="center"/>
          </w:tcPr>
          <w:p>
            <w:pPr>
              <w:jc w:val="center"/>
              <w:rPr>
                <w:lang w:val="en-US"/>
              </w:rPr>
            </w:pPr>
            <w:r>
              <w:rPr>
                <w:lang w:val="en-US"/>
              </w:rPr>
              <w:t>-0.08</w:t>
            </w:r>
          </w:p>
        </w:tc>
        <w:tc>
          <w:tcPr>
            <w:tcW w:w="1701" w:type="dxa"/>
            <w:shd w:val="clear" w:color="auto" w:fill="auto"/>
            <w:vAlign w:val="center"/>
          </w:tcPr>
          <w:p>
            <w:pPr>
              <w:jc w:val="center"/>
              <w:rPr>
                <w:lang w:val="en-US"/>
              </w:rPr>
            </w:pPr>
            <w:r>
              <w:rPr>
                <w:lang w:val="en-US"/>
              </w:rPr>
              <w:t>1.08</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体育馆</w:t>
            </w:r>
          </w:p>
        </w:tc>
        <w:tc>
          <w:tcPr>
            <w:tcW w:w="1276" w:type="dxa"/>
            <w:shd w:val="clear" w:color="auto" w:fill="auto"/>
            <w:vAlign w:val="center"/>
          </w:tcPr>
          <w:p>
            <w:pPr>
              <w:jc w:val="center"/>
              <w:rPr>
                <w:lang w:val="en-US"/>
              </w:rPr>
            </w:pPr>
            <w:r>
              <w:rPr>
                <w:lang w:val="en-US"/>
              </w:rPr>
              <w:t>-0.01</w:t>
            </w:r>
          </w:p>
        </w:tc>
        <w:tc>
          <w:tcPr>
            <w:tcW w:w="1276" w:type="dxa"/>
            <w:shd w:val="clear" w:color="auto" w:fill="auto"/>
            <w:vAlign w:val="center"/>
          </w:tcPr>
          <w:p>
            <w:pPr>
              <w:jc w:val="center"/>
              <w:rPr>
                <w:lang w:val="en-US"/>
              </w:rPr>
            </w:pPr>
            <w:r>
              <w:rPr>
                <w:lang w:val="en-US"/>
              </w:rPr>
              <w:t>-0.91</w:t>
            </w:r>
          </w:p>
        </w:tc>
        <w:tc>
          <w:tcPr>
            <w:tcW w:w="1701" w:type="dxa"/>
            <w:shd w:val="clear" w:color="auto" w:fill="auto"/>
            <w:vAlign w:val="center"/>
          </w:tcPr>
          <w:p>
            <w:pPr>
              <w:jc w:val="center"/>
              <w:rPr>
                <w:lang w:val="en-US"/>
              </w:rPr>
            </w:pPr>
            <w:r>
              <w:rPr>
                <w:lang w:val="en-US"/>
              </w:rPr>
              <w:t>0.90</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学生宿舍</w:t>
            </w:r>
          </w:p>
        </w:tc>
        <w:tc>
          <w:tcPr>
            <w:tcW w:w="1276" w:type="dxa"/>
            <w:shd w:val="clear" w:color="auto" w:fill="auto"/>
            <w:vAlign w:val="center"/>
          </w:tcPr>
          <w:p>
            <w:pPr>
              <w:jc w:val="center"/>
              <w:rPr>
                <w:lang w:val="en-US"/>
              </w:rPr>
            </w:pPr>
            <w:r>
              <w:rPr>
                <w:lang w:val="en-US"/>
              </w:rPr>
              <w:t>-0.14</w:t>
            </w:r>
          </w:p>
        </w:tc>
        <w:tc>
          <w:tcPr>
            <w:tcW w:w="1276" w:type="dxa"/>
            <w:shd w:val="clear" w:color="auto" w:fill="auto"/>
            <w:vAlign w:val="center"/>
          </w:tcPr>
          <w:p>
            <w:pPr>
              <w:jc w:val="center"/>
              <w:rPr>
                <w:lang w:val="en-US"/>
              </w:rPr>
            </w:pPr>
            <w:r>
              <w:rPr>
                <w:lang w:val="en-US"/>
              </w:rPr>
              <w:t>-2.89</w:t>
            </w:r>
          </w:p>
        </w:tc>
        <w:tc>
          <w:tcPr>
            <w:tcW w:w="1701" w:type="dxa"/>
            <w:shd w:val="clear" w:color="auto" w:fill="auto"/>
            <w:vAlign w:val="center"/>
          </w:tcPr>
          <w:p>
            <w:pPr>
              <w:jc w:val="center"/>
              <w:rPr>
                <w:lang w:val="en-US"/>
              </w:rPr>
            </w:pPr>
            <w:r>
              <w:rPr>
                <w:lang w:val="en-US"/>
              </w:rPr>
              <w:t>2.75</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综合馆</w:t>
            </w:r>
          </w:p>
        </w:tc>
        <w:tc>
          <w:tcPr>
            <w:tcW w:w="1276" w:type="dxa"/>
            <w:shd w:val="clear" w:color="auto" w:fill="auto"/>
            <w:vAlign w:val="center"/>
          </w:tcPr>
          <w:p>
            <w:pPr>
              <w:jc w:val="center"/>
              <w:rPr>
                <w:lang w:val="en-US"/>
              </w:rPr>
            </w:pPr>
            <w:r>
              <w:rPr>
                <w:lang w:val="en-US"/>
              </w:rPr>
              <w:t>-0.90</w:t>
            </w:r>
          </w:p>
        </w:tc>
        <w:tc>
          <w:tcPr>
            <w:tcW w:w="1276" w:type="dxa"/>
            <w:shd w:val="clear" w:color="auto" w:fill="auto"/>
            <w:vAlign w:val="center"/>
          </w:tcPr>
          <w:p>
            <w:pPr>
              <w:jc w:val="center"/>
              <w:rPr>
                <w:lang w:val="en-US"/>
              </w:rPr>
            </w:pPr>
            <w:r>
              <w:rPr>
                <w:lang w:val="en-US"/>
              </w:rPr>
              <w:t>-1.48</w:t>
            </w:r>
          </w:p>
        </w:tc>
        <w:tc>
          <w:tcPr>
            <w:tcW w:w="1701" w:type="dxa"/>
            <w:shd w:val="clear" w:color="auto" w:fill="auto"/>
            <w:vAlign w:val="center"/>
          </w:tcPr>
          <w:p>
            <w:pPr>
              <w:jc w:val="center"/>
              <w:rPr>
                <w:lang w:val="en-US"/>
              </w:rPr>
            </w:pPr>
            <w:r>
              <w:rPr>
                <w:lang w:val="en-US"/>
              </w:rPr>
              <w:t>0.58</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工厂</w:t>
            </w:r>
          </w:p>
        </w:tc>
        <w:tc>
          <w:tcPr>
            <w:tcW w:w="1276" w:type="dxa"/>
            <w:shd w:val="clear" w:color="auto" w:fill="auto"/>
            <w:vAlign w:val="center"/>
          </w:tcPr>
          <w:p>
            <w:pPr>
              <w:jc w:val="center"/>
              <w:rPr>
                <w:lang w:val="en-US"/>
              </w:rPr>
            </w:pPr>
            <w:r>
              <w:rPr>
                <w:lang w:val="en-US"/>
              </w:rPr>
              <w:t>1.66</w:t>
            </w:r>
          </w:p>
        </w:tc>
        <w:tc>
          <w:tcPr>
            <w:tcW w:w="1276" w:type="dxa"/>
            <w:shd w:val="clear" w:color="auto" w:fill="auto"/>
            <w:vAlign w:val="center"/>
          </w:tcPr>
          <w:p>
            <w:pPr>
              <w:jc w:val="center"/>
              <w:rPr>
                <w:lang w:val="en-US"/>
              </w:rPr>
            </w:pPr>
            <w:r>
              <w:rPr>
                <w:lang w:val="en-US"/>
              </w:rPr>
              <w:t>0.20</w:t>
            </w:r>
          </w:p>
        </w:tc>
        <w:tc>
          <w:tcPr>
            <w:tcW w:w="1701" w:type="dxa"/>
            <w:shd w:val="clear" w:color="auto" w:fill="auto"/>
            <w:vAlign w:val="center"/>
          </w:tcPr>
          <w:p>
            <w:pPr>
              <w:jc w:val="center"/>
              <w:rPr>
                <w:lang w:val="en-US"/>
              </w:rPr>
            </w:pPr>
            <w:r>
              <w:rPr>
                <w:lang w:val="en-US"/>
              </w:rPr>
              <w:t>1.46</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继续教育教学二楼</w:t>
            </w:r>
          </w:p>
        </w:tc>
        <w:tc>
          <w:tcPr>
            <w:tcW w:w="1276" w:type="dxa"/>
            <w:shd w:val="clear" w:color="auto" w:fill="auto"/>
            <w:vAlign w:val="center"/>
          </w:tcPr>
          <w:p>
            <w:pPr>
              <w:jc w:val="center"/>
              <w:rPr>
                <w:lang w:val="en-US"/>
              </w:rPr>
            </w:pPr>
            <w:r>
              <w:rPr>
                <w:lang w:val="en-US"/>
              </w:rPr>
              <w:t>-0.42</w:t>
            </w:r>
          </w:p>
        </w:tc>
        <w:tc>
          <w:tcPr>
            <w:tcW w:w="1276" w:type="dxa"/>
            <w:shd w:val="clear" w:color="auto" w:fill="auto"/>
            <w:vAlign w:val="center"/>
          </w:tcPr>
          <w:p>
            <w:pPr>
              <w:jc w:val="center"/>
              <w:rPr>
                <w:lang w:val="en-US"/>
              </w:rPr>
            </w:pPr>
            <w:r>
              <w:rPr>
                <w:lang w:val="en-US"/>
              </w:rPr>
              <w:t>-0.95</w:t>
            </w:r>
          </w:p>
        </w:tc>
        <w:tc>
          <w:tcPr>
            <w:tcW w:w="1701" w:type="dxa"/>
            <w:shd w:val="clear" w:color="auto" w:fill="auto"/>
            <w:vAlign w:val="center"/>
          </w:tcPr>
          <w:p>
            <w:pPr>
              <w:jc w:val="center"/>
              <w:rPr>
                <w:lang w:val="en-US"/>
              </w:rPr>
            </w:pPr>
            <w:r>
              <w:rPr>
                <w:lang w:val="en-US"/>
              </w:rPr>
              <w:t>0.52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健康教育学院</w:t>
            </w:r>
          </w:p>
        </w:tc>
        <w:tc>
          <w:tcPr>
            <w:tcW w:w="1276" w:type="dxa"/>
            <w:shd w:val="clear" w:color="auto" w:fill="auto"/>
            <w:vAlign w:val="center"/>
          </w:tcPr>
          <w:p>
            <w:pPr>
              <w:jc w:val="center"/>
              <w:rPr>
                <w:lang w:val="en-US"/>
              </w:rPr>
            </w:pPr>
            <w:r>
              <w:rPr>
                <w:lang w:val="en-US"/>
              </w:rPr>
              <w:t>-0.95</w:t>
            </w:r>
          </w:p>
        </w:tc>
        <w:tc>
          <w:tcPr>
            <w:tcW w:w="1276" w:type="dxa"/>
            <w:shd w:val="clear" w:color="auto" w:fill="auto"/>
            <w:vAlign w:val="center"/>
          </w:tcPr>
          <w:p>
            <w:pPr>
              <w:jc w:val="center"/>
              <w:rPr>
                <w:lang w:val="en-US"/>
              </w:rPr>
            </w:pPr>
            <w:r>
              <w:rPr>
                <w:lang w:val="en-US"/>
              </w:rPr>
              <w:t>-0.47</w:t>
            </w:r>
          </w:p>
        </w:tc>
        <w:tc>
          <w:tcPr>
            <w:tcW w:w="1701" w:type="dxa"/>
            <w:shd w:val="clear" w:color="auto" w:fill="auto"/>
            <w:vAlign w:val="center"/>
          </w:tcPr>
          <w:p>
            <w:pPr>
              <w:jc w:val="center"/>
              <w:rPr>
                <w:lang w:val="en-US"/>
              </w:rPr>
            </w:pPr>
            <w:r>
              <w:rPr>
                <w:lang w:val="en-US"/>
              </w:rPr>
              <w:t>-0.48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建筑智能学院</w:t>
            </w:r>
          </w:p>
        </w:tc>
        <w:tc>
          <w:tcPr>
            <w:tcW w:w="1276" w:type="dxa"/>
            <w:shd w:val="clear" w:color="auto" w:fill="auto"/>
            <w:vAlign w:val="center"/>
          </w:tcPr>
          <w:p>
            <w:pPr>
              <w:jc w:val="center"/>
              <w:rPr>
                <w:lang w:val="en-US"/>
              </w:rPr>
            </w:pPr>
            <w:r>
              <w:rPr>
                <w:lang w:val="en-US"/>
              </w:rPr>
              <w:t>1.20</w:t>
            </w:r>
          </w:p>
        </w:tc>
        <w:tc>
          <w:tcPr>
            <w:tcW w:w="1276" w:type="dxa"/>
            <w:shd w:val="clear" w:color="auto" w:fill="auto"/>
            <w:vAlign w:val="center"/>
          </w:tcPr>
          <w:p>
            <w:pPr>
              <w:jc w:val="center"/>
              <w:rPr>
                <w:lang w:val="en-US"/>
              </w:rPr>
            </w:pPr>
            <w:r>
              <w:rPr>
                <w:lang w:val="en-US"/>
              </w:rPr>
              <w:t>0.35</w:t>
            </w:r>
          </w:p>
        </w:tc>
        <w:tc>
          <w:tcPr>
            <w:tcW w:w="1701" w:type="dxa"/>
            <w:shd w:val="clear" w:color="auto" w:fill="auto"/>
            <w:vAlign w:val="center"/>
          </w:tcPr>
          <w:p>
            <w:pPr>
              <w:jc w:val="center"/>
              <w:rPr>
                <w:lang w:val="en-US"/>
              </w:rPr>
            </w:pPr>
            <w:r>
              <w:rPr>
                <w:lang w:val="en-US"/>
              </w:rPr>
              <w:t>0.85</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中心楼</w:t>
            </w:r>
          </w:p>
        </w:tc>
        <w:tc>
          <w:tcPr>
            <w:tcW w:w="1276" w:type="dxa"/>
            <w:shd w:val="clear" w:color="auto" w:fill="auto"/>
            <w:vAlign w:val="center"/>
          </w:tcPr>
          <w:p>
            <w:pPr>
              <w:jc w:val="center"/>
              <w:rPr>
                <w:lang w:val="en-US"/>
              </w:rPr>
            </w:pPr>
            <w:r>
              <w:rPr>
                <w:lang w:val="en-US"/>
              </w:rPr>
              <w:t>-0.27</w:t>
            </w:r>
          </w:p>
        </w:tc>
        <w:tc>
          <w:tcPr>
            <w:tcW w:w="1276" w:type="dxa"/>
            <w:shd w:val="clear" w:color="auto" w:fill="auto"/>
            <w:vAlign w:val="center"/>
          </w:tcPr>
          <w:p>
            <w:pPr>
              <w:jc w:val="center"/>
              <w:rPr>
                <w:lang w:val="en-US"/>
              </w:rPr>
            </w:pPr>
            <w:r>
              <w:rPr>
                <w:lang w:val="en-US"/>
              </w:rPr>
              <w:t>-3.12</w:t>
            </w:r>
          </w:p>
        </w:tc>
        <w:tc>
          <w:tcPr>
            <w:tcW w:w="1701" w:type="dxa"/>
            <w:shd w:val="clear" w:color="auto" w:fill="auto"/>
            <w:vAlign w:val="center"/>
          </w:tcPr>
          <w:p>
            <w:pPr>
              <w:jc w:val="center"/>
              <w:rPr>
                <w:lang w:val="en-US"/>
              </w:rPr>
            </w:pPr>
            <w:r>
              <w:rPr>
                <w:lang w:val="en-US"/>
              </w:rPr>
              <w:t>2.85</w:t>
            </w:r>
          </w:p>
        </w:tc>
        <w:tc>
          <w:tcPr>
            <w:tcW w:w="973" w:type="dxa"/>
            <w:shd w:val="clear" w:color="auto" w:fill="auto"/>
            <w:vAlign w:val="center"/>
          </w:tcPr>
          <w:p>
            <w:pPr>
              <w:jc w:val="center"/>
              <w:rPr>
                <w:lang w:val="en-US"/>
              </w:rPr>
            </w:pPr>
            <w:r>
              <w:rPr>
                <w:lang w:val="en-US"/>
              </w:rPr>
              <w:t>是</w:t>
            </w:r>
          </w:p>
        </w:tc>
      </w:tr>
      <w:bookmarkEnd w:id="100"/>
    </w:tbl>
    <w:p>
      <w:pPr>
        <w:rPr>
          <w:lang w:val="en-US"/>
        </w:rPr>
      </w:pPr>
      <w:bookmarkStart w:id="101" w:name="建筑迎风和背风面风压差结论汇总结论"/>
      <w:bookmarkEnd w:id="101"/>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02" w:name="冬季工况"/>
      <w:bookmarkEnd w:id="102"/>
      <w:r>
        <w:rPr>
          <w:rFonts w:hint="eastAsia"/>
          <w:lang w:val="en-US"/>
        </w:rPr>
        <w:t xml:space="preserve"> </w:t>
      </w:r>
    </w:p>
    <w:p>
      <w:pPr>
        <w:rPr>
          <w:lang w:val="en-US"/>
        </w:rPr>
      </w:pPr>
      <w:bookmarkStart w:id="103" w:name="其他工况"/>
      <w:bookmarkEnd w:id="103"/>
      <w:r>
        <w:rPr>
          <w:rFonts w:hint="eastAsia"/>
          <w:lang w:val="en-US"/>
        </w:rPr>
        <w:t xml:space="preserve"> </w:t>
      </w:r>
    </w:p>
    <w:p>
      <w:pPr>
        <w:pStyle w:val="4"/>
      </w:pPr>
      <w:bookmarkStart w:id="104" w:name="_Toc60317249"/>
      <w:bookmarkStart w:id="105" w:name="_Toc509844764"/>
      <w:r>
        <w:rPr>
          <w:rFonts w:hint="eastAsia"/>
        </w:rPr>
        <w:t>结论</w:t>
      </w:r>
      <w:bookmarkEnd w:id="104"/>
      <w:bookmarkEnd w:id="105"/>
    </w:p>
    <w:p>
      <w:pPr>
        <w:pStyle w:val="5"/>
      </w:pPr>
      <w:bookmarkStart w:id="106" w:name="_Toc509844765"/>
      <w:bookmarkStart w:id="107" w:name="_Toc60317250"/>
      <w:r>
        <w:rPr>
          <w:rFonts w:hint="eastAsia"/>
        </w:rPr>
        <w:t>冬季工况达标判断</w:t>
      </w:r>
      <w:bookmarkEnd w:id="106"/>
      <w:bookmarkEnd w:id="107"/>
      <w:bookmarkStart w:id="108" w:name="_Toc509844766"/>
      <w:bookmarkEnd w:id="108"/>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09" w:name="冬季风速结果"/>
            <w:r>
              <w:t>没有出现</w:t>
            </w:r>
            <w:bookmarkEnd w:id="109"/>
            <w:r>
              <w:rPr>
                <w:rFonts w:hint="eastAsia"/>
                <w:lang w:val="en-US"/>
              </w:rPr>
              <w:t>风速大于</w:t>
            </w:r>
            <w:r>
              <w:rPr>
                <w:lang w:val="en-US"/>
              </w:rPr>
              <w:t>5m/s</w:t>
            </w:r>
            <w:r>
              <w:rPr>
                <w:rFonts w:hint="eastAsia"/>
                <w:lang w:val="en-US"/>
              </w:rPr>
              <w:t>的区域，户外休息区、儿童娱乐区</w:t>
            </w:r>
            <w:bookmarkStart w:id="110" w:name="冬季风速结果2"/>
            <w:r>
              <w:t>没有出现</w:t>
            </w:r>
            <w:bookmarkEnd w:id="110"/>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bookmarkStart w:id="111" w:name="冬季风速达标判定"/>
            <w:r>
              <w:rPr>
                <w:rFonts w:hint="eastAsia"/>
                <w:b/>
                <w:color w:val="FF0000"/>
                <w:lang w:val="en-US"/>
              </w:rPr>
              <w:t>不达标</w:t>
            </w:r>
            <w:bookmarkEnd w:id="111"/>
          </w:p>
        </w:tc>
        <w:tc>
          <w:tcPr>
            <w:tcW w:w="1416" w:type="dxa"/>
            <w:vMerge w:val="restart"/>
            <w:tcBorders>
              <w:top w:val="single" w:color="auto" w:sz="4" w:space="0"/>
            </w:tcBorders>
            <w:shd w:val="clear" w:color="auto" w:fill="auto"/>
            <w:vAlign w:val="center"/>
          </w:tcPr>
          <w:p>
            <w:pPr>
              <w:jc w:val="center"/>
              <w:rPr>
                <w:lang w:val="en-US"/>
              </w:rPr>
            </w:pPr>
            <w:bookmarkStart w:id="112" w:name="冬季风速得分"/>
            <w:r>
              <w:rPr>
                <w:rFonts w:hint="eastAsia"/>
                <w:lang w:val="en-US"/>
              </w:rPr>
              <w:t>0</w:t>
            </w:r>
            <w:bookmarkEnd w:id="112"/>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Start w:id="113" w:name="冬季风速放大系数结果"/>
            <w:r>
              <w:t>出现</w:t>
            </w:r>
            <w:bookmarkEnd w:id="113"/>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bookmarkStart w:id="114" w:name="冬季迎背风面结果"/>
            <w:r>
              <w:t>没有出现</w:t>
            </w:r>
            <w:bookmarkEnd w:id="114"/>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15" w:name="冬季迎背风面达标判定"/>
            <w:r>
              <w:rPr>
                <w:rFonts w:hint="eastAsia"/>
                <w:b/>
                <w:lang w:val="en-US"/>
              </w:rPr>
              <w:t>达标</w:t>
            </w:r>
            <w:bookmarkEnd w:id="115"/>
          </w:p>
        </w:tc>
        <w:tc>
          <w:tcPr>
            <w:tcW w:w="1416" w:type="dxa"/>
            <w:shd w:val="clear" w:color="auto" w:fill="auto"/>
            <w:vAlign w:val="center"/>
          </w:tcPr>
          <w:p>
            <w:pPr>
              <w:jc w:val="center"/>
              <w:rPr>
                <w:lang w:val="en-US"/>
              </w:rPr>
            </w:pPr>
            <w:bookmarkStart w:id="116" w:name="冬季迎背风面得分"/>
            <w:r>
              <w:rPr>
                <w:rFonts w:hint="eastAsia"/>
                <w:lang w:val="en-US"/>
              </w:rPr>
              <w:t>2</w:t>
            </w:r>
            <w:bookmarkEnd w:id="116"/>
            <w:r>
              <w:rPr>
                <w:rFonts w:hint="eastAsia"/>
                <w:lang w:val="en-US"/>
              </w:rPr>
              <w:t>分</w:t>
            </w:r>
          </w:p>
        </w:tc>
      </w:tr>
    </w:tbl>
    <w:p>
      <w:pPr>
        <w:rPr>
          <w:szCs w:val="21"/>
          <w:lang w:val="en-US"/>
        </w:rPr>
      </w:pPr>
      <w:bookmarkStart w:id="117" w:name="_Toc509844768"/>
      <w:bookmarkEnd w:id="117"/>
      <w:bookmarkStart w:id="118" w:name="_Toc509844767"/>
      <w:bookmarkEnd w:id="118"/>
    </w:p>
    <w:p>
      <w:pPr>
        <w:pStyle w:val="3"/>
        <w:ind w:firstLine="0" w:firstLineChars="0"/>
        <w:rPr>
          <w:lang w:val="en-US"/>
        </w:rPr>
      </w:pPr>
      <w:r>
        <w:rPr>
          <w:rFonts w:hint="eastAsia"/>
          <w:lang w:val="en-US"/>
        </w:rPr>
        <w:t>综合上述达标判断详表的信息，可知本项目得分为</w:t>
      </w:r>
      <w:bookmarkStart w:id="119" w:name="总得分"/>
      <w:r>
        <w:rPr>
          <w:rFonts w:hint="eastAsia"/>
          <w:lang w:val="en-US"/>
        </w:rPr>
        <w:t>2</w:t>
      </w:r>
      <w:bookmarkEnd w:id="119"/>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6</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4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95B41"/>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A5CB9"/>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2F31"/>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1ADF4B05"/>
    <w:rsid w:val="3733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png"/><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39522-0FC9-4A71-8AF7-D033B6892A3D}">
  <ds:schemaRefs/>
</ds:datastoreItem>
</file>

<file path=docProps/app.xml><?xml version="1.0" encoding="utf-8"?>
<Properties xmlns="http://schemas.openxmlformats.org/officeDocument/2006/extended-properties" xmlns:vt="http://schemas.openxmlformats.org/officeDocument/2006/docPropsVTypes">
  <Template>tmp1</Template>
  <Company>ths</Company>
  <Pages>17</Pages>
  <Words>1287</Words>
  <Characters>7340</Characters>
  <Lines>61</Lines>
  <Paragraphs>17</Paragraphs>
  <TotalTime>0</TotalTime>
  <ScaleCrop>false</ScaleCrop>
  <LinksUpToDate>false</LinksUpToDate>
  <CharactersWithSpaces>8610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2020-12-31T06:26:00Z</dcterms:created>
  <dc:creator>HP</dc:creator>
  <cp:lastModifiedBy>shx痛徹伈扉</cp:lastModifiedBy>
  <cp:lastPrinted>2411-12-31T16:00:00Z</cp:lastPrinted>
  <dcterms:modified xsi:type="dcterms:W3CDTF">2021-01-05T09:08:59Z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