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崇明楼改造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新疆-乌鲁木齐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2021年1月4日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20190808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T13699974501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_Toc12740 </w:instrText>
      </w:r>
      <w:r>
        <w:rPr>
          <w:rFonts w:ascii="宋体" w:hAnsi="宋体"/>
          <w:bCs w:val="0"/>
          <w:caps/>
        </w:rPr>
        <w:fldChar w:fldCharType="separate"/>
      </w:r>
      <w:r>
        <w:rPr>
          <w:rFonts w:hint="eastAsia"/>
        </w:rPr>
        <w:t>1 建筑概况</w:t>
      </w:r>
      <w:r>
        <w:tab/>
      </w:r>
      <w:r>
        <w:fldChar w:fldCharType="begin"/>
      </w:r>
      <w:r>
        <w:instrText xml:space="preserve"> PAGEREF _Toc12740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_Toc10297 </w:instrText>
      </w:r>
      <w:r>
        <w:fldChar w:fldCharType="separate"/>
      </w:r>
      <w:r>
        <w:rPr>
          <w:rFonts w:hint="eastAsia"/>
        </w:rPr>
        <w:t>2 计算依据</w:t>
      </w:r>
      <w:r>
        <w:tab/>
      </w:r>
      <w:r>
        <w:fldChar w:fldCharType="begin"/>
      </w:r>
      <w:r>
        <w:instrText xml:space="preserve"> PAGEREF _Toc10297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_Toc7416 </w:instrText>
      </w:r>
      <w:r>
        <w:fldChar w:fldCharType="separate"/>
      </w:r>
      <w:r>
        <w:rPr>
          <w:rFonts w:hint="eastAsia"/>
        </w:rPr>
        <w:t>3 计算要求</w:t>
      </w:r>
      <w:r>
        <w:tab/>
      </w:r>
      <w:r>
        <w:fldChar w:fldCharType="begin"/>
      </w:r>
      <w:r>
        <w:instrText xml:space="preserve"> PAGEREF _Toc7416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_Toc9175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_Toc9175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_Toc22426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_Toc22426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_Toc15387 </w:instrText>
      </w:r>
      <w:r>
        <w:fldChar w:fldCharType="separate"/>
      </w:r>
      <w:r>
        <w:rPr>
          <w:rFonts w:hint="eastAsia"/>
          <w:kern w:val="2"/>
          <w:szCs w:val="24"/>
          <w:lang w:val="en-US"/>
        </w:rPr>
        <w:t xml:space="preserve">4 </w:t>
      </w:r>
      <w:r>
        <w:rPr>
          <w:kern w:val="2"/>
          <w:szCs w:val="24"/>
          <w:lang w:val="en-US"/>
        </w:rPr>
        <w:t>围护结构概况</w:t>
      </w:r>
      <w:r>
        <w:tab/>
      </w:r>
      <w:r>
        <w:fldChar w:fldCharType="begin"/>
      </w:r>
      <w:r>
        <w:instrText xml:space="preserve"> PAGEREF _Toc15387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_Toc17510 </w:instrText>
      </w:r>
      <w:r>
        <w:fldChar w:fldCharType="separate"/>
      </w:r>
      <w:r>
        <w:rPr>
          <w:rFonts w:hint="eastAsia"/>
          <w:kern w:val="2"/>
          <w:szCs w:val="24"/>
          <w:lang w:val="en-US"/>
        </w:rPr>
        <w:t xml:space="preserve">5 </w:t>
      </w:r>
      <w:r>
        <w:rPr>
          <w:kern w:val="2"/>
          <w:szCs w:val="24"/>
          <w:lang w:val="en-US"/>
        </w:rPr>
        <w:t>房间类型</w:t>
      </w:r>
      <w:r>
        <w:tab/>
      </w:r>
      <w:r>
        <w:fldChar w:fldCharType="begin"/>
      </w:r>
      <w:r>
        <w:instrText xml:space="preserve"> PAGEREF _Toc17510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_Toc10894 </w:instrText>
      </w:r>
      <w:r>
        <w:fldChar w:fldCharType="separate"/>
      </w:r>
      <w:r>
        <w:rPr>
          <w:rFonts w:hint="eastAsia"/>
          <w:kern w:val="2"/>
          <w:szCs w:val="24"/>
          <w:lang w:val="en-GB"/>
        </w:rPr>
        <w:t xml:space="preserve">5.1 </w:t>
      </w:r>
      <w:r>
        <w:rPr>
          <w:kern w:val="2"/>
          <w:szCs w:val="24"/>
          <w:lang w:val="en-US"/>
        </w:rPr>
        <w:t>房间表</w:t>
      </w:r>
      <w:r>
        <w:tab/>
      </w:r>
      <w:r>
        <w:fldChar w:fldCharType="begin"/>
      </w:r>
      <w:r>
        <w:instrText xml:space="preserve"> PAGEREF _Toc10894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_Toc22957 </w:instrText>
      </w:r>
      <w:r>
        <w:fldChar w:fldCharType="separate"/>
      </w:r>
      <w:r>
        <w:rPr>
          <w:rFonts w:hint="eastAsia"/>
          <w:kern w:val="2"/>
          <w:szCs w:val="24"/>
          <w:lang w:val="en-GB"/>
        </w:rPr>
        <w:t xml:space="preserve">5.2 </w:t>
      </w:r>
      <w:r>
        <w:rPr>
          <w:kern w:val="2"/>
          <w:szCs w:val="24"/>
          <w:lang w:val="en-US"/>
        </w:rPr>
        <w:t>作息时间表</w:t>
      </w:r>
      <w:r>
        <w:tab/>
      </w:r>
      <w:r>
        <w:fldChar w:fldCharType="begin"/>
      </w:r>
      <w:r>
        <w:instrText xml:space="preserve"> PAGEREF _Toc22957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_Toc19321 </w:instrText>
      </w:r>
      <w:r>
        <w:fldChar w:fldCharType="separate"/>
      </w:r>
      <w:r>
        <w:rPr>
          <w:rFonts w:hint="eastAsia"/>
          <w:kern w:val="2"/>
          <w:szCs w:val="24"/>
          <w:lang w:val="en-US"/>
        </w:rPr>
        <w:t xml:space="preserve">6 </w:t>
      </w:r>
      <w:r>
        <w:rPr>
          <w:kern w:val="2"/>
          <w:szCs w:val="24"/>
          <w:lang w:val="en-US"/>
        </w:rPr>
        <w:t>设计系统</w:t>
      </w:r>
      <w:r>
        <w:tab/>
      </w:r>
      <w:r>
        <w:fldChar w:fldCharType="begin"/>
      </w:r>
      <w:r>
        <w:instrText xml:space="preserve"> PAGEREF _Toc19321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_Toc19661 </w:instrText>
      </w:r>
      <w:r>
        <w:fldChar w:fldCharType="separate"/>
      </w:r>
      <w:r>
        <w:rPr>
          <w:rFonts w:hint="eastAsia"/>
          <w:kern w:val="2"/>
          <w:szCs w:val="24"/>
          <w:lang w:val="en-GB"/>
        </w:rPr>
        <w:t xml:space="preserve">6.1 </w:t>
      </w:r>
      <w:r>
        <w:rPr>
          <w:kern w:val="2"/>
          <w:szCs w:val="24"/>
          <w:lang w:val="en-US"/>
        </w:rPr>
        <w:t>系统类型</w:t>
      </w:r>
      <w:r>
        <w:tab/>
      </w:r>
      <w:r>
        <w:fldChar w:fldCharType="begin"/>
      </w:r>
      <w:r>
        <w:instrText xml:space="preserve"> PAGEREF _Toc19661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_Toc2068 </w:instrText>
      </w:r>
      <w:r>
        <w:fldChar w:fldCharType="separate"/>
      </w:r>
      <w:r>
        <w:rPr>
          <w:rFonts w:hint="eastAsia"/>
          <w:kern w:val="2"/>
          <w:szCs w:val="24"/>
          <w:lang w:val="en-GB"/>
        </w:rPr>
        <w:t xml:space="preserve">6.2 </w:t>
      </w:r>
      <w:r>
        <w:rPr>
          <w:kern w:val="2"/>
          <w:szCs w:val="24"/>
          <w:lang w:val="en-US"/>
        </w:rPr>
        <w:t>供暖系统</w:t>
      </w:r>
      <w:r>
        <w:tab/>
      </w:r>
      <w:r>
        <w:fldChar w:fldCharType="begin"/>
      </w:r>
      <w:r>
        <w:instrText xml:space="preserve"> PAGEREF _Toc2068 </w:instrText>
      </w:r>
      <w:r>
        <w:fldChar w:fldCharType="separate"/>
      </w:r>
      <w:r>
        <w:t>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_Toc3627 </w:instrText>
      </w:r>
      <w:r>
        <w:fldChar w:fldCharType="separate"/>
      </w:r>
      <w:r>
        <w:rPr>
          <w:rFonts w:hint="eastAsia" w:eastAsia="宋体"/>
          <w:kern w:val="2"/>
          <w:szCs w:val="24"/>
          <w:lang w:val="en-GB"/>
        </w:rPr>
        <w:t xml:space="preserve">6.2.1 </w:t>
      </w:r>
      <w:r>
        <w:rPr>
          <w:kern w:val="2"/>
          <w:szCs w:val="24"/>
          <w:lang w:val="en-US"/>
        </w:rPr>
        <w:t>市政热力系统能耗</w:t>
      </w:r>
      <w:r>
        <w:tab/>
      </w:r>
      <w:r>
        <w:fldChar w:fldCharType="begin"/>
      </w:r>
      <w:r>
        <w:instrText xml:space="preserve"> PAGEREF _Toc3627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_Toc13077 </w:instrText>
      </w:r>
      <w:r>
        <w:fldChar w:fldCharType="separate"/>
      </w:r>
      <w:r>
        <w:rPr>
          <w:rFonts w:hint="eastAsia"/>
          <w:kern w:val="2"/>
          <w:szCs w:val="24"/>
          <w:lang w:val="en-GB"/>
        </w:rPr>
        <w:t xml:space="preserve">6.3 </w:t>
      </w:r>
      <w:r>
        <w:rPr>
          <w:kern w:val="2"/>
          <w:szCs w:val="24"/>
          <w:lang w:val="en-US"/>
        </w:rPr>
        <w:t>空调风机</w:t>
      </w:r>
      <w:r>
        <w:tab/>
      </w:r>
      <w:r>
        <w:fldChar w:fldCharType="begin"/>
      </w:r>
      <w:r>
        <w:instrText xml:space="preserve"> PAGEREF _Toc13077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_Toc16890 </w:instrText>
      </w:r>
      <w:r>
        <w:fldChar w:fldCharType="separate"/>
      </w:r>
      <w:r>
        <w:rPr>
          <w:rFonts w:hint="eastAsia" w:eastAsia="宋体"/>
          <w:kern w:val="2"/>
          <w:szCs w:val="24"/>
          <w:lang w:val="en-GB"/>
        </w:rPr>
        <w:t xml:space="preserve">6.3.1 </w:t>
      </w:r>
      <w:r>
        <w:rPr>
          <w:kern w:val="2"/>
          <w:szCs w:val="24"/>
          <w:lang w:val="en-US"/>
        </w:rPr>
        <w:t>独立新排风</w:t>
      </w:r>
      <w:r>
        <w:tab/>
      </w:r>
      <w:r>
        <w:fldChar w:fldCharType="begin"/>
      </w:r>
      <w:r>
        <w:instrText xml:space="preserve"> PAGEREF _Toc16890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_Toc29394 </w:instrText>
      </w:r>
      <w:r>
        <w:fldChar w:fldCharType="separate"/>
      </w:r>
      <w:r>
        <w:rPr>
          <w:rFonts w:hint="eastAsia" w:eastAsia="宋体"/>
          <w:kern w:val="2"/>
          <w:szCs w:val="24"/>
          <w:lang w:val="en-GB"/>
        </w:rPr>
        <w:t xml:space="preserve">6.3.2 </w:t>
      </w:r>
      <w:r>
        <w:rPr>
          <w:kern w:val="2"/>
          <w:szCs w:val="24"/>
          <w:lang w:val="en-US"/>
        </w:rPr>
        <w:t>风机盘管</w:t>
      </w:r>
      <w:r>
        <w:tab/>
      </w:r>
      <w:r>
        <w:fldChar w:fldCharType="begin"/>
      </w:r>
      <w:r>
        <w:instrText xml:space="preserve"> PAGEREF _Toc29394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_Toc1123 </w:instrText>
      </w:r>
      <w:r>
        <w:fldChar w:fldCharType="separate"/>
      </w:r>
      <w:r>
        <w:rPr>
          <w:rFonts w:hint="eastAsia"/>
          <w:kern w:val="2"/>
          <w:szCs w:val="24"/>
          <w:lang w:val="en-US"/>
        </w:rPr>
        <w:t xml:space="preserve">7 </w:t>
      </w:r>
      <w:r>
        <w:rPr>
          <w:kern w:val="2"/>
          <w:szCs w:val="24"/>
          <w:lang w:val="en-US"/>
        </w:rPr>
        <w:t>参照系统</w:t>
      </w:r>
      <w:r>
        <w:tab/>
      </w:r>
      <w:r>
        <w:fldChar w:fldCharType="begin"/>
      </w:r>
      <w:r>
        <w:instrText xml:space="preserve"> PAGEREF _Toc1123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_Toc27988 </w:instrText>
      </w:r>
      <w:r>
        <w:fldChar w:fldCharType="separate"/>
      </w:r>
      <w:r>
        <w:rPr>
          <w:rFonts w:hint="eastAsia"/>
          <w:kern w:val="2"/>
          <w:szCs w:val="24"/>
          <w:lang w:val="en-GB"/>
        </w:rPr>
        <w:t xml:space="preserve">7.1 </w:t>
      </w:r>
      <w:r>
        <w:rPr>
          <w:kern w:val="2"/>
          <w:szCs w:val="24"/>
          <w:lang w:val="en-US"/>
        </w:rPr>
        <w:t>系统类型</w:t>
      </w:r>
      <w:r>
        <w:tab/>
      </w:r>
      <w:r>
        <w:fldChar w:fldCharType="begin"/>
      </w:r>
      <w:r>
        <w:instrText xml:space="preserve"> PAGEREF _Toc27988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_Toc31688 </w:instrText>
      </w:r>
      <w:r>
        <w:fldChar w:fldCharType="separate"/>
      </w:r>
      <w:r>
        <w:rPr>
          <w:rFonts w:hint="eastAsia"/>
          <w:kern w:val="2"/>
          <w:szCs w:val="24"/>
          <w:lang w:val="en-GB"/>
        </w:rPr>
        <w:t xml:space="preserve">7.2 </w:t>
      </w:r>
      <w:r>
        <w:rPr>
          <w:kern w:val="2"/>
          <w:szCs w:val="24"/>
          <w:lang w:val="en-US"/>
        </w:rPr>
        <w:t>供暖系统</w:t>
      </w:r>
      <w:r>
        <w:tab/>
      </w:r>
      <w:r>
        <w:fldChar w:fldCharType="begin"/>
      </w:r>
      <w:r>
        <w:instrText xml:space="preserve"> PAGEREF _Toc31688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_Toc19972 </w:instrText>
      </w:r>
      <w:r>
        <w:fldChar w:fldCharType="separate"/>
      </w:r>
      <w:r>
        <w:rPr>
          <w:rFonts w:hint="eastAsia" w:eastAsia="宋体"/>
          <w:kern w:val="2"/>
          <w:szCs w:val="24"/>
          <w:lang w:val="en-GB"/>
        </w:rPr>
        <w:t xml:space="preserve">7.2.1 </w:t>
      </w:r>
      <w:r>
        <w:rPr>
          <w:kern w:val="2"/>
          <w:szCs w:val="24"/>
          <w:lang w:val="en-US"/>
        </w:rPr>
        <w:t>市政热力系统能耗</w:t>
      </w:r>
      <w:r>
        <w:tab/>
      </w:r>
      <w:r>
        <w:fldChar w:fldCharType="begin"/>
      </w:r>
      <w:r>
        <w:instrText xml:space="preserve"> PAGEREF _Toc19972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_Toc4660 </w:instrText>
      </w:r>
      <w:r>
        <w:fldChar w:fldCharType="separate"/>
      </w:r>
      <w:r>
        <w:rPr>
          <w:rFonts w:hint="eastAsia"/>
          <w:kern w:val="2"/>
          <w:szCs w:val="24"/>
          <w:lang w:val="en-GB"/>
        </w:rPr>
        <w:t xml:space="preserve">7.3 </w:t>
      </w:r>
      <w:r>
        <w:rPr>
          <w:kern w:val="2"/>
          <w:szCs w:val="24"/>
          <w:lang w:val="en-US"/>
        </w:rPr>
        <w:t>空调风机</w:t>
      </w:r>
      <w:r>
        <w:tab/>
      </w:r>
      <w:r>
        <w:fldChar w:fldCharType="begin"/>
      </w:r>
      <w:r>
        <w:instrText xml:space="preserve"> PAGEREF _Toc4660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_Toc14822 </w:instrText>
      </w:r>
      <w:r>
        <w:fldChar w:fldCharType="separate"/>
      </w:r>
      <w:r>
        <w:rPr>
          <w:rFonts w:hint="eastAsia" w:eastAsia="宋体"/>
          <w:kern w:val="2"/>
          <w:szCs w:val="24"/>
          <w:lang w:val="en-GB"/>
        </w:rPr>
        <w:t xml:space="preserve">7.3.1 </w:t>
      </w:r>
      <w:r>
        <w:rPr>
          <w:kern w:val="2"/>
          <w:szCs w:val="24"/>
          <w:lang w:val="en-US"/>
        </w:rPr>
        <w:t>独立新排风</w:t>
      </w:r>
      <w:r>
        <w:tab/>
      </w:r>
      <w:r>
        <w:fldChar w:fldCharType="begin"/>
      </w:r>
      <w:r>
        <w:instrText xml:space="preserve"> PAGEREF _Toc14822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_Toc14137 </w:instrText>
      </w:r>
      <w:r>
        <w:fldChar w:fldCharType="separate"/>
      </w:r>
      <w:r>
        <w:rPr>
          <w:rFonts w:hint="eastAsia" w:eastAsia="宋体"/>
          <w:kern w:val="2"/>
          <w:szCs w:val="24"/>
          <w:lang w:val="en-GB"/>
        </w:rPr>
        <w:t xml:space="preserve">7.3.2 </w:t>
      </w:r>
      <w:r>
        <w:rPr>
          <w:kern w:val="2"/>
          <w:szCs w:val="24"/>
          <w:lang w:val="en-US"/>
        </w:rPr>
        <w:t>风机盘管</w:t>
      </w:r>
      <w:r>
        <w:tab/>
      </w:r>
      <w:r>
        <w:fldChar w:fldCharType="begin"/>
      </w:r>
      <w:r>
        <w:instrText xml:space="preserve"> PAGEREF _Toc14137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_Toc11896 </w:instrText>
      </w:r>
      <w:r>
        <w:fldChar w:fldCharType="separate"/>
      </w:r>
      <w:r>
        <w:rPr>
          <w:rFonts w:hint="eastAsia"/>
          <w:kern w:val="2"/>
          <w:szCs w:val="24"/>
          <w:lang w:val="en-US"/>
        </w:rPr>
        <w:t xml:space="preserve">8 </w:t>
      </w:r>
      <w:r>
        <w:rPr>
          <w:kern w:val="2"/>
          <w:szCs w:val="24"/>
          <w:lang w:val="en-US"/>
        </w:rPr>
        <w:t>计算结果</w:t>
      </w:r>
      <w:r>
        <w:tab/>
      </w:r>
      <w:r>
        <w:fldChar w:fldCharType="begin"/>
      </w:r>
      <w:r>
        <w:instrText xml:space="preserve"> PAGEREF _Toc11896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_Toc21958 </w:instrText>
      </w:r>
      <w:r>
        <w:fldChar w:fldCharType="separate"/>
      </w:r>
      <w:r>
        <w:rPr>
          <w:rFonts w:hint="eastAsia"/>
        </w:rPr>
        <w:t xml:space="preserve">9 </w:t>
      </w:r>
      <w:r>
        <w:t>附录</w:t>
      </w:r>
      <w:r>
        <w:tab/>
      </w:r>
      <w:r>
        <w:fldChar w:fldCharType="begin"/>
      </w:r>
      <w:r>
        <w:instrText xml:space="preserve"> PAGEREF _Toc21958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_Toc26793 </w:instrText>
      </w:r>
      <w:r>
        <w:fldChar w:fldCharType="separate"/>
      </w:r>
      <w:r>
        <w:rPr>
          <w:rFonts w:hint="eastAsia"/>
          <w:lang w:val="en-GB"/>
        </w:rPr>
        <w:t xml:space="preserve">9.1 </w:t>
      </w:r>
      <w:r>
        <w:t>工作日/节假日人员逐时在室率(%)</w:t>
      </w:r>
      <w:r>
        <w:tab/>
      </w:r>
      <w:r>
        <w:fldChar w:fldCharType="begin"/>
      </w:r>
      <w:r>
        <w:instrText xml:space="preserve"> PAGEREF _Toc26793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_Toc17861 </w:instrText>
      </w:r>
      <w:r>
        <w:fldChar w:fldCharType="separate"/>
      </w:r>
      <w:r>
        <w:rPr>
          <w:rFonts w:hint="eastAsia"/>
          <w:lang w:val="en-GB"/>
        </w:rPr>
        <w:t xml:space="preserve">9.2 </w:t>
      </w:r>
      <w:r>
        <w:t>工作日/节假日照明开关时间表(%)</w:t>
      </w:r>
      <w:r>
        <w:tab/>
      </w:r>
      <w:r>
        <w:fldChar w:fldCharType="begin"/>
      </w:r>
      <w:r>
        <w:instrText xml:space="preserve"> PAGEREF _Toc17861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_Toc7314 </w:instrText>
      </w:r>
      <w:r>
        <w:fldChar w:fldCharType="separate"/>
      </w:r>
      <w:r>
        <w:rPr>
          <w:rFonts w:hint="eastAsia"/>
          <w:lang w:val="en-GB"/>
        </w:rPr>
        <w:t xml:space="preserve">9.3 </w:t>
      </w:r>
      <w:r>
        <w:t>工作日/节假日设备逐时使用率(%)</w:t>
      </w:r>
      <w:r>
        <w:tab/>
      </w:r>
      <w:r>
        <w:fldChar w:fldCharType="begin"/>
      </w:r>
      <w:r>
        <w:instrText xml:space="preserve"> PAGEREF _Toc7314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_Toc32633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_Toc32633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12740"/>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崇明楼改造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新疆-乌鲁木齐</w:t>
            </w:r>
          </w:p>
        </w:tc>
      </w:tr>
      <w:tr>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44.00°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87.61°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20314    地下</w:t>
            </w:r>
            <w:bookmarkStart w:id="18" w:name="地下建筑面积"/>
            <w:r>
              <w:rPr>
                <w:rFonts w:hint="eastAsia" w:ascii="宋体" w:hAnsi="宋体"/>
                <w:lang w:val="en-US"/>
              </w:rPr>
              <w:t>3129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16.9     地下</w:t>
            </w:r>
            <w:bookmarkStart w:id="22" w:name="地下建筑高度"/>
            <w:r>
              <w:rPr>
                <w:rFonts w:hint="eastAsia" w:ascii="宋体" w:hAnsi="宋体"/>
                <w:lang w:val="en-US"/>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94597.98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12903.06</w:t>
            </w:r>
          </w:p>
        </w:tc>
      </w:tr>
      <w:tr>
        <w:tblPrEx>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180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r>
              <w:t>砖混结构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0.72</w:t>
            </w:r>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10297"/>
      <w:r>
        <w:rPr>
          <w:rFonts w:hint="eastAsia"/>
        </w:rPr>
        <w:t>计算依据</w:t>
      </w:r>
      <w:bookmarkEnd w:id="30"/>
    </w:p>
    <w:p>
      <w:pPr>
        <w:widowControl w:val="0"/>
        <w:jc w:val="both"/>
        <w:rPr>
          <w:kern w:val="2"/>
          <w:szCs w:val="24"/>
          <w:lang w:val="en-US"/>
        </w:rPr>
      </w:pPr>
      <w:bookmarkStart w:id="31" w:name="计算依据"/>
      <w:bookmarkEnd w:id="31"/>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2" w:name="_Toc25351"/>
      <w:bookmarkStart w:id="33" w:name="_Toc7416"/>
      <w:bookmarkStart w:id="34" w:name="_Toc31856"/>
      <w:r>
        <w:rPr>
          <w:rFonts w:hint="eastAsia"/>
        </w:rPr>
        <w:t>计算要求</w:t>
      </w:r>
      <w:bookmarkEnd w:id="32"/>
      <w:bookmarkEnd w:id="33"/>
      <w:bookmarkEnd w:id="34"/>
    </w:p>
    <w:p>
      <w:pPr>
        <w:pStyle w:val="4"/>
        <w:tabs>
          <w:tab w:val="clear" w:pos="578"/>
        </w:tabs>
        <w:rPr>
          <w:kern w:val="2"/>
          <w:sz w:val="21"/>
        </w:rPr>
      </w:pPr>
      <w:bookmarkStart w:id="35" w:name="_Toc20530"/>
      <w:bookmarkStart w:id="36" w:name="_Toc9175"/>
      <w:bookmarkStart w:id="37" w:name="_Toc3445"/>
      <w:r>
        <w:rPr>
          <w:rFonts w:hint="eastAsia"/>
          <w:kern w:val="2"/>
          <w:sz w:val="21"/>
        </w:rPr>
        <w:t>计算目标</w:t>
      </w:r>
      <w:bookmarkEnd w:id="35"/>
      <w:bookmarkEnd w:id="36"/>
      <w:bookmarkEnd w:id="37"/>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8" w:name="_Toc22426"/>
      <w:bookmarkStart w:id="39" w:name="_Toc6638"/>
      <w:bookmarkStart w:id="40" w:name="_Toc30695"/>
      <w:r>
        <w:rPr>
          <w:rFonts w:hint="eastAsia"/>
          <w:kern w:val="2"/>
          <w:sz w:val="21"/>
        </w:rPr>
        <w:t>计算方法</w:t>
      </w:r>
      <w:bookmarkEnd w:id="38"/>
      <w:bookmarkEnd w:id="39"/>
      <w:bookmarkEnd w:id="40"/>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widowControl w:val="0"/>
        <w:jc w:val="both"/>
        <w:rPr>
          <w:kern w:val="2"/>
          <w:szCs w:val="24"/>
          <w:lang w:val="en-US"/>
        </w:rPr>
      </w:pPr>
      <w:bookmarkStart w:id="41" w:name="_Toc15387"/>
      <w:r>
        <w:rPr>
          <w:kern w:val="2"/>
          <w:szCs w:val="24"/>
          <w:lang w:val="en-US"/>
        </w:rPr>
        <w:t>围护结构概况</w:t>
      </w:r>
      <w:bookmarkEnd w:id="41"/>
    </w:p>
    <w:p/>
    <w:tbl>
      <w:tblPr>
        <w:tblStyle w:val="18"/>
        <w:tblW w:w="5330" w:type="pct"/>
        <w:jc w:val="center"/>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2609"/>
        <w:gridCol w:w="2299"/>
        <w:gridCol w:w="2303"/>
      </w:tblGrid>
      <w:tr>
        <w:tblPrEx>
          <w:tblCellMar>
            <w:top w:w="0" w:type="dxa"/>
            <w:left w:w="108" w:type="dxa"/>
            <w:bottom w:w="0" w:type="dxa"/>
            <w:right w:w="108" w:type="dxa"/>
          </w:tblCellMar>
        </w:tblPrEx>
        <w:trPr>
          <w:jc w:val="center"/>
        </w:trPr>
        <w:tc>
          <w:tcPr>
            <w:tcW w:w="2676" w:type="pct"/>
            <w:gridSpan w:val="2"/>
            <w:shd w:val="clear" w:color="auto" w:fill="E6E6E6"/>
            <w:vAlign w:val="center"/>
          </w:tcPr>
          <w:p>
            <w:pPr>
              <w:jc w:val="center"/>
              <w:rPr>
                <w:rFonts w:eastAsia="宋体"/>
                <w:bCs/>
                <w:sz w:val="21"/>
                <w:szCs w:val="21"/>
                <w:lang w:eastAsia="zh-CN"/>
              </w:rPr>
            </w:pPr>
          </w:p>
        </w:tc>
        <w:tc>
          <w:tcPr>
            <w:tcW w:w="2324" w:type="pct"/>
            <w:gridSpan w:val="2"/>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0.14</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4" w:type="pct"/>
            <w:gridSpan w:val="2"/>
            <w:vAlign w:val="center"/>
          </w:tcPr>
          <w:p>
            <w:pPr>
              <w:jc w:val="center"/>
              <w:rPr>
                <w:rFonts w:eastAsia="宋体"/>
                <w:bCs/>
                <w:sz w:val="21"/>
                <w:szCs w:val="21"/>
                <w:lang w:eastAsia="zh-CN"/>
              </w:rPr>
            </w:pPr>
            <w:r>
              <w:rPr>
                <w:rFonts w:hint="eastAsia" w:eastAsia="宋体"/>
                <w:bCs/>
                <w:sz w:val="21"/>
                <w:szCs w:val="21"/>
                <w:lang w:eastAsia="zh-CN"/>
              </w:rPr>
              <w:t>0.09</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4" w:type="pct"/>
            <w:gridSpan w:val="2"/>
            <w:vAlign w:val="center"/>
          </w:tcPr>
          <w:p>
            <w:pPr>
              <w:jc w:val="center"/>
              <w:rPr>
                <w:rFonts w:eastAsia="宋体"/>
                <w:bCs/>
                <w:sz w:val="21"/>
                <w:szCs w:val="21"/>
                <w:lang w:eastAsia="zh-CN"/>
              </w:rPr>
            </w:pPr>
            <w:r>
              <w:rPr>
                <w:rFonts w:hint="eastAsia" w:eastAsia="宋体"/>
                <w:bCs/>
                <w:sz w:val="21"/>
                <w:szCs w:val="21"/>
                <w:lang w:eastAsia="zh-CN"/>
              </w:rPr>
              <w:t>0.07</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4" w:type="pct"/>
            <w:gridSpan w:val="2"/>
            <w:vAlign w:val="center"/>
          </w:tcPr>
          <w:p>
            <w:pPr>
              <w:jc w:val="center"/>
              <w:rPr>
                <w:rFonts w:eastAsia="宋体"/>
                <w:bCs/>
                <w:sz w:val="21"/>
                <w:szCs w:val="21"/>
                <w:lang w:eastAsia="zh-CN"/>
              </w:rPr>
            </w:pPr>
            <w:r>
              <w:rPr>
                <w:rFonts w:hint="eastAsia" w:eastAsia="宋体"/>
                <w:bCs/>
                <w:sz w:val="21"/>
                <w:szCs w:val="21"/>
                <w:lang w:eastAsia="zh-CN"/>
              </w:rPr>
              <w:t>0.84</w:t>
            </w:r>
          </w:p>
        </w:tc>
      </w:tr>
      <w:tr>
        <w:tblPrEx>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4" w:type="pct"/>
            <w:gridSpan w:val="2"/>
            <w:vAlign w:val="center"/>
          </w:tcPr>
          <w:p>
            <w:pPr>
              <w:jc w:val="center"/>
              <w:rPr>
                <w:rFonts w:eastAsia="宋体"/>
                <w:bCs/>
                <w:sz w:val="21"/>
                <w:szCs w:val="21"/>
                <w:lang w:eastAsia="zh-CN"/>
              </w:rPr>
            </w:pPr>
            <w:r>
              <w:rPr>
                <w:rFonts w:hint="eastAsia" w:eastAsia="宋体"/>
                <w:bCs/>
                <w:sz w:val="21"/>
                <w:szCs w:val="21"/>
                <w:lang w:eastAsia="zh-CN"/>
              </w:rPr>
              <w:t>0.09</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周边地面热阻R[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2324"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2.84</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地下墙热阻R[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2324"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4.83</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7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变形缝热阻R[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2324"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58"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318"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16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58" w:type="pct"/>
            <w:vMerge w:val="continue"/>
            <w:vAlign w:val="center"/>
          </w:tcPr>
          <w:p>
            <w:pPr>
              <w:jc w:val="center"/>
              <w:rPr>
                <w:rFonts w:eastAsia="宋体"/>
                <w:bCs/>
                <w:sz w:val="21"/>
                <w:szCs w:val="21"/>
                <w:lang w:eastAsia="zh-CN"/>
              </w:rPr>
            </w:pPr>
          </w:p>
        </w:tc>
        <w:tc>
          <w:tcPr>
            <w:tcW w:w="1318"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1161" w:type="pct"/>
            <w:vAlign w:val="center"/>
          </w:tcPr>
          <w:p>
            <w:pPr>
              <w:jc w:val="center"/>
              <w:rPr>
                <w:rFonts w:eastAsia="宋体"/>
                <w:bCs/>
                <w:sz w:val="21"/>
                <w:szCs w:val="21"/>
                <w:lang w:eastAsia="zh-CN"/>
              </w:rPr>
            </w:pPr>
            <w:r>
              <w:rPr>
                <w:rFonts w:hint="eastAsia" w:eastAsia="宋体"/>
                <w:bCs/>
                <w:sz w:val="21"/>
                <w:szCs w:val="21"/>
                <w:lang w:eastAsia="zh-CN"/>
              </w:rPr>
              <w:t>0.49</w:t>
            </w:r>
          </w:p>
        </w:tc>
        <w:tc>
          <w:tcPr>
            <w:tcW w:w="1163" w:type="pct"/>
            <w:vAlign w:val="center"/>
          </w:tcPr>
          <w:p>
            <w:pPr>
              <w:jc w:val="center"/>
              <w:rPr>
                <w:rFonts w:eastAsia="宋体"/>
                <w:bCs/>
                <w:sz w:val="21"/>
                <w:szCs w:val="21"/>
                <w:lang w:eastAsia="zh-CN"/>
              </w:rPr>
            </w:pPr>
            <w:r>
              <w:rPr>
                <w:rFonts w:hint="eastAsia" w:eastAsia="宋体"/>
                <w:bCs/>
                <w:sz w:val="21"/>
                <w:szCs w:val="21"/>
                <w:lang w:eastAsia="zh-CN"/>
              </w:rPr>
              <w:t>0.84</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pct"/>
            <w:vMerge w:val="continue"/>
            <w:vAlign w:val="center"/>
          </w:tcPr>
          <w:p>
            <w:pPr>
              <w:jc w:val="center"/>
              <w:rPr>
                <w:rFonts w:eastAsia="宋体"/>
                <w:bCs/>
                <w:sz w:val="21"/>
                <w:szCs w:val="21"/>
                <w:lang w:eastAsia="zh-CN"/>
              </w:rPr>
            </w:pPr>
          </w:p>
        </w:tc>
        <w:tc>
          <w:tcPr>
            <w:tcW w:w="1318"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1161" w:type="pct"/>
            <w:vAlign w:val="center"/>
          </w:tcPr>
          <w:p>
            <w:pPr>
              <w:jc w:val="center"/>
              <w:rPr>
                <w:rFonts w:eastAsia="宋体"/>
                <w:bCs/>
                <w:sz w:val="21"/>
                <w:szCs w:val="21"/>
                <w:lang w:eastAsia="zh-CN"/>
              </w:rPr>
            </w:pPr>
            <w:r>
              <w:rPr>
                <w:rFonts w:hint="eastAsia" w:eastAsia="宋体"/>
                <w:bCs/>
                <w:sz w:val="21"/>
                <w:szCs w:val="21"/>
                <w:lang w:eastAsia="zh-CN"/>
              </w:rPr>
              <w:t>0.15</w:t>
            </w:r>
          </w:p>
        </w:tc>
        <w:tc>
          <w:tcPr>
            <w:tcW w:w="1163" w:type="pct"/>
            <w:vAlign w:val="center"/>
          </w:tcPr>
          <w:p>
            <w:pPr>
              <w:jc w:val="center"/>
              <w:rPr>
                <w:rFonts w:eastAsia="宋体"/>
                <w:bCs/>
                <w:sz w:val="21"/>
                <w:szCs w:val="21"/>
                <w:lang w:eastAsia="zh-CN"/>
              </w:rPr>
            </w:pPr>
            <w:r>
              <w:rPr>
                <w:rFonts w:hint="eastAsia" w:eastAsia="宋体"/>
                <w:bCs/>
                <w:sz w:val="21"/>
                <w:szCs w:val="21"/>
                <w:lang w:eastAsia="zh-CN"/>
              </w:rPr>
              <w:t>0.84</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pct"/>
            <w:vMerge w:val="continue"/>
            <w:vAlign w:val="center"/>
          </w:tcPr>
          <w:p>
            <w:pPr>
              <w:jc w:val="center"/>
              <w:rPr>
                <w:rFonts w:eastAsia="宋体"/>
                <w:bCs/>
                <w:sz w:val="21"/>
                <w:szCs w:val="21"/>
                <w:lang w:eastAsia="zh-CN"/>
              </w:rPr>
            </w:pPr>
          </w:p>
        </w:tc>
        <w:tc>
          <w:tcPr>
            <w:tcW w:w="1318"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1161" w:type="pct"/>
            <w:vAlign w:val="center"/>
          </w:tcPr>
          <w:p>
            <w:pPr>
              <w:jc w:val="center"/>
              <w:rPr>
                <w:rFonts w:eastAsia="宋体"/>
                <w:bCs/>
                <w:sz w:val="21"/>
                <w:szCs w:val="21"/>
                <w:lang w:eastAsia="zh-CN"/>
              </w:rPr>
            </w:pPr>
            <w:r>
              <w:rPr>
                <w:rFonts w:hint="eastAsia" w:eastAsia="宋体"/>
                <w:bCs/>
                <w:sz w:val="21"/>
                <w:szCs w:val="21"/>
                <w:lang w:eastAsia="zh-CN"/>
              </w:rPr>
              <w:t>0.14</w:t>
            </w:r>
          </w:p>
        </w:tc>
        <w:tc>
          <w:tcPr>
            <w:tcW w:w="1163" w:type="pct"/>
            <w:vAlign w:val="center"/>
          </w:tcPr>
          <w:p>
            <w:pPr>
              <w:jc w:val="center"/>
              <w:rPr>
                <w:rFonts w:eastAsia="宋体"/>
                <w:bCs/>
                <w:sz w:val="21"/>
                <w:szCs w:val="21"/>
                <w:lang w:eastAsia="zh-CN"/>
              </w:rPr>
            </w:pPr>
            <w:r>
              <w:rPr>
                <w:rFonts w:hint="eastAsia" w:eastAsia="宋体"/>
                <w:bCs/>
                <w:sz w:val="21"/>
                <w:szCs w:val="21"/>
                <w:lang w:eastAsia="zh-CN"/>
              </w:rPr>
              <w:t>0.84</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8" w:type="pct"/>
            <w:vMerge w:val="continue"/>
            <w:vAlign w:val="center"/>
          </w:tcPr>
          <w:p>
            <w:pPr>
              <w:jc w:val="center"/>
              <w:rPr>
                <w:rFonts w:eastAsia="宋体"/>
                <w:bCs/>
                <w:sz w:val="21"/>
                <w:szCs w:val="21"/>
                <w:lang w:eastAsia="zh-CN"/>
              </w:rPr>
            </w:pPr>
          </w:p>
        </w:tc>
        <w:tc>
          <w:tcPr>
            <w:tcW w:w="1318"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1161" w:type="pct"/>
            <w:vAlign w:val="center"/>
          </w:tcPr>
          <w:p>
            <w:pPr>
              <w:jc w:val="center"/>
              <w:rPr>
                <w:rFonts w:eastAsia="宋体"/>
                <w:bCs/>
                <w:sz w:val="21"/>
                <w:szCs w:val="21"/>
                <w:lang w:eastAsia="zh-CN"/>
              </w:rPr>
            </w:pPr>
            <w:r>
              <w:rPr>
                <w:rFonts w:hint="eastAsia" w:eastAsia="宋体"/>
                <w:bCs/>
                <w:sz w:val="21"/>
                <w:szCs w:val="21"/>
                <w:lang w:eastAsia="zh-CN"/>
              </w:rPr>
              <w:t>0.16</w:t>
            </w:r>
          </w:p>
        </w:tc>
        <w:tc>
          <w:tcPr>
            <w:tcW w:w="1163" w:type="pct"/>
            <w:vAlign w:val="center"/>
          </w:tcPr>
          <w:p>
            <w:pPr>
              <w:jc w:val="center"/>
              <w:rPr>
                <w:rFonts w:eastAsia="宋体"/>
                <w:bCs/>
                <w:sz w:val="21"/>
                <w:szCs w:val="21"/>
                <w:lang w:eastAsia="zh-CN"/>
              </w:rPr>
            </w:pPr>
            <w:r>
              <w:rPr>
                <w:rFonts w:hint="eastAsia" w:ascii="宋体" w:hAnsi="宋体" w:cs="宋体"/>
                <w:kern w:val="0"/>
                <w:sz w:val="22"/>
                <w:szCs w:val="22"/>
                <w:lang w:eastAsia="zh-CN"/>
              </w:rPr>
              <w:t>0.84</w:t>
            </w:r>
          </w:p>
        </w:tc>
      </w:tr>
    </w:tbl>
    <w:p>
      <w:pPr>
        <w:widowControl w:val="0"/>
        <w:jc w:val="both"/>
        <w:rPr>
          <w:kern w:val="2"/>
          <w:szCs w:val="24"/>
          <w:lang w:val="en-US"/>
        </w:rPr>
      </w:pPr>
    </w:p>
    <w:p>
      <w:pPr>
        <w:pStyle w:val="2"/>
        <w:widowControl w:val="0"/>
        <w:jc w:val="both"/>
        <w:rPr>
          <w:kern w:val="2"/>
          <w:szCs w:val="24"/>
          <w:lang w:val="en-US"/>
        </w:rPr>
      </w:pPr>
      <w:bookmarkStart w:id="42" w:name="_Toc17510"/>
      <w:r>
        <w:rPr>
          <w:kern w:val="2"/>
          <w:szCs w:val="24"/>
          <w:lang w:val="en-US"/>
        </w:rPr>
        <w:t>房间类型</w:t>
      </w:r>
      <w:bookmarkEnd w:id="42"/>
    </w:p>
    <w:p>
      <w:pPr>
        <w:pStyle w:val="4"/>
        <w:widowControl w:val="0"/>
        <w:jc w:val="both"/>
        <w:rPr>
          <w:kern w:val="2"/>
          <w:szCs w:val="24"/>
          <w:lang w:val="en-US"/>
        </w:rPr>
      </w:pPr>
      <w:bookmarkStart w:id="43" w:name="_Toc10894"/>
      <w:r>
        <w:rPr>
          <w:kern w:val="2"/>
          <w:szCs w:val="24"/>
          <w:lang w:val="en-US"/>
        </w:rPr>
        <w:t>房间表</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其他-休憩区</w:t>
            </w:r>
          </w:p>
        </w:tc>
        <w:tc>
          <w:tcPr>
            <w:vAlign w:val="center"/>
          </w:tcPr>
          <w:p>
            <w:pPr>
              <w:jc w:val="center"/>
            </w:pPr>
            <w:r>
              <w:t>25</w:t>
            </w:r>
          </w:p>
        </w:tc>
        <w:tc>
          <w:tcPr>
            <w:vAlign w:val="center"/>
          </w:tcPr>
          <w:p>
            <w:pPr>
              <w:jc w:val="center"/>
            </w:pPr>
            <w:r>
              <w:t>16</w:t>
            </w:r>
          </w:p>
        </w:tc>
        <w:tc>
          <w:tcPr>
            <w:vAlign w:val="center"/>
          </w:tcPr>
          <w:p>
            <w:pPr>
              <w:jc w:val="center"/>
            </w:pPr>
            <w:r>
              <w:t>0.5(m</w:t>
            </w:r>
            <w:r>
              <w:rPr>
                <w:vertAlign w:val="superscript"/>
              </w:rPr>
              <w:t>3</w:t>
            </w:r>
            <w:r>
              <w:t>/h.人)</w:t>
            </w:r>
          </w:p>
        </w:tc>
        <w:tc>
          <w:tcPr>
            <w:vAlign w:val="center"/>
          </w:tcPr>
          <w:p>
            <w:pPr>
              <w:jc w:val="center"/>
            </w:pPr>
            <w:r>
              <w:t>3.3(㎡/人)</w:t>
            </w:r>
          </w:p>
        </w:tc>
        <w:tc>
          <w:tcPr>
            <w:vAlign w:val="center"/>
          </w:tcPr>
          <w:p>
            <w:pPr>
              <w:jc w:val="center"/>
            </w:pPr>
            <w:r>
              <w:t>8(W/㎡)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其他-展览厅</w:t>
            </w:r>
          </w:p>
        </w:tc>
        <w:tc>
          <w:tcPr>
            <w:vAlign w:val="center"/>
          </w:tcPr>
          <w:p>
            <w:pPr>
              <w:jc w:val="center"/>
            </w:pPr>
            <w:r>
              <w:t>25</w:t>
            </w:r>
          </w:p>
        </w:tc>
        <w:tc>
          <w:tcPr>
            <w:vAlign w:val="center"/>
          </w:tcPr>
          <w:p>
            <w:pPr>
              <w:jc w:val="center"/>
            </w:pPr>
            <w:r>
              <w:t>16</w:t>
            </w:r>
          </w:p>
        </w:tc>
        <w:tc>
          <w:tcPr>
            <w:vAlign w:val="center"/>
          </w:tcPr>
          <w:p>
            <w:pPr>
              <w:jc w:val="center"/>
            </w:pPr>
            <w:r>
              <w:t>0.5(次/h)</w:t>
            </w:r>
          </w:p>
        </w:tc>
        <w:tc>
          <w:tcPr>
            <w:vAlign w:val="center"/>
          </w:tcPr>
          <w:p>
            <w:pPr>
              <w:jc w:val="center"/>
            </w:pPr>
            <w:r>
              <w:t>1(㎡/人)</w:t>
            </w:r>
          </w:p>
        </w:tc>
        <w:tc>
          <w:tcPr>
            <w:vAlign w:val="center"/>
          </w:tcPr>
          <w:p>
            <w:pPr>
              <w:jc w:val="center"/>
            </w:pPr>
            <w:r>
              <w:t>20(W/㎡)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其他-走廊</w:t>
            </w:r>
          </w:p>
        </w:tc>
        <w:tc>
          <w:tcPr>
            <w:vAlign w:val="center"/>
          </w:tcPr>
          <w:p>
            <w:pPr>
              <w:jc w:val="center"/>
            </w:pPr>
            <w:r>
              <w:t>25</w:t>
            </w:r>
          </w:p>
        </w:tc>
        <w:tc>
          <w:tcPr>
            <w:vAlign w:val="center"/>
          </w:tcPr>
          <w:p>
            <w:pPr>
              <w:jc w:val="center"/>
            </w:pPr>
            <w:r>
              <w:t>10</w:t>
            </w:r>
          </w:p>
        </w:tc>
        <w:tc>
          <w:tcPr>
            <w:vAlign w:val="center"/>
          </w:tcPr>
          <w:p>
            <w:pPr>
              <w:jc w:val="center"/>
            </w:pPr>
            <w:r>
              <w:t>0.5(次/h)</w:t>
            </w:r>
          </w:p>
        </w:tc>
        <w:tc>
          <w:tcPr>
            <w:vAlign w:val="center"/>
          </w:tcPr>
          <w:p>
            <w:pPr>
              <w:jc w:val="center"/>
            </w:pPr>
            <w:r>
              <w:t>3.3(㎡/人)</w:t>
            </w:r>
          </w:p>
        </w:tc>
        <w:tc>
          <w:tcPr>
            <w:vAlign w:val="center"/>
          </w:tcPr>
          <w:p>
            <w:pPr>
              <w:jc w:val="center"/>
            </w:pPr>
            <w:r>
              <w:t>20(W/㎡)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其他-阅览室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1(㎡/人)</w:t>
            </w:r>
          </w:p>
        </w:tc>
        <w:tc>
          <w:tcPr>
            <w:vAlign w:val="center"/>
          </w:tcPr>
          <w:p>
            <w:pPr>
              <w:jc w:val="center"/>
            </w:pPr>
            <w:r>
              <w:t>15(W/㎡)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办公-会议室</w:t>
            </w:r>
          </w:p>
        </w:tc>
        <w:tc>
          <w:tcPr>
            <w:vAlign w:val="center"/>
          </w:tcPr>
          <w:p>
            <w:pPr>
              <w:jc w:val="center"/>
            </w:pPr>
            <w:r>
              <w:t>26</w:t>
            </w:r>
          </w:p>
        </w:tc>
        <w:tc>
          <w:tcPr>
            <w:vAlign w:val="center"/>
          </w:tcPr>
          <w:p>
            <w:pPr>
              <w:jc w:val="center"/>
            </w:pPr>
            <w:r>
              <w:t>15</w:t>
            </w:r>
          </w:p>
        </w:tc>
        <w:tc>
          <w:tcPr>
            <w:vAlign w:val="center"/>
          </w:tcPr>
          <w:p>
            <w:pPr>
              <w:jc w:val="center"/>
            </w:pPr>
            <w:r>
              <w:t>0.5(次/h)</w:t>
            </w:r>
          </w:p>
        </w:tc>
        <w:tc>
          <w:tcPr>
            <w:vAlign w:val="center"/>
          </w:tcPr>
          <w:p>
            <w:pPr>
              <w:jc w:val="center"/>
            </w:pPr>
            <w:r>
              <w:t>2.5(㎡/人)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办公-开水间</w:t>
            </w:r>
          </w:p>
        </w:tc>
        <w:tc>
          <w:tcPr>
            <w:vAlign w:val="center"/>
          </w:tcPr>
          <w:p>
            <w:pPr>
              <w:jc w:val="center"/>
            </w:pPr>
            <w:r>
              <w:t>28</w:t>
            </w:r>
          </w:p>
        </w:tc>
        <w:tc>
          <w:tcPr>
            <w:vAlign w:val="center"/>
          </w:tcPr>
          <w:p>
            <w:pPr>
              <w:jc w:val="center"/>
            </w:pPr>
            <w:r>
              <w:t>16</w:t>
            </w:r>
          </w:p>
        </w:tc>
        <w:tc>
          <w:tcPr>
            <w:vAlign w:val="center"/>
          </w:tcPr>
          <w:p>
            <w:pPr>
              <w:jc w:val="center"/>
            </w:pPr>
            <w:r>
              <w:t>0(m</w:t>
            </w:r>
            <w:r>
              <w:rPr>
                <w:vertAlign w:val="superscript"/>
              </w:rPr>
              <w:t>3</w:t>
            </w:r>
            <w:r>
              <w:t>/h.人)</w:t>
            </w:r>
          </w:p>
        </w:tc>
        <w:tc>
          <w:tcPr>
            <w:vAlign w:val="center"/>
          </w:tcPr>
          <w:p>
            <w:pPr>
              <w:jc w:val="center"/>
            </w:pPr>
            <w:r>
              <w:t>10(㎡/人)</w:t>
            </w:r>
          </w:p>
        </w:tc>
        <w:tc>
          <w:tcPr>
            <w:vAlign w:val="center"/>
          </w:tcPr>
          <w:p>
            <w:pPr>
              <w:jc w:val="center"/>
            </w:pPr>
            <w:r>
              <w:t>6(W/㎡)</w:t>
            </w:r>
          </w:p>
        </w:tc>
        <w:tc>
          <w:tcPr>
            <w:vAlign w:val="center"/>
          </w:tcPr>
          <w:p>
            <w:pPr>
              <w:jc w:val="center"/>
            </w:pPr>
            <w:r>
              <w:t>12(W/㎡)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办公-文印间</w:t>
            </w:r>
          </w:p>
        </w:tc>
        <w:tc>
          <w:tcPr>
            <w:vAlign w:val="center"/>
          </w:tcPr>
          <w:p>
            <w:pPr>
              <w:jc w:val="center"/>
            </w:pPr>
            <w:r>
              <w:t>27</w:t>
            </w:r>
          </w:p>
        </w:tc>
        <w:tc>
          <w:tcPr>
            <w:vAlign w:val="center"/>
          </w:tcPr>
          <w:p>
            <w:pPr>
              <w:jc w:val="center"/>
            </w:pPr>
            <w:r>
              <w:t>18</w:t>
            </w:r>
          </w:p>
        </w:tc>
        <w:tc>
          <w:tcPr>
            <w:vAlign w:val="center"/>
          </w:tcPr>
          <w:p>
            <w:pPr>
              <w:jc w:val="center"/>
            </w:pPr>
            <w:r>
              <w:t>0.5(次/h)</w:t>
            </w:r>
          </w:p>
        </w:tc>
        <w:tc>
          <w:tcPr>
            <w:vAlign w:val="center"/>
          </w:tcPr>
          <w:p>
            <w:pPr>
              <w:jc w:val="center"/>
            </w:pPr>
            <w:r>
              <w:t>15(㎡/人)</w:t>
            </w:r>
          </w:p>
        </w:tc>
        <w:tc>
          <w:tcPr>
            <w:vAlign w:val="center"/>
          </w:tcPr>
          <w:p>
            <w:pPr>
              <w:jc w:val="center"/>
            </w:pPr>
            <w:r>
              <w:t>9(W/㎡)</w:t>
            </w:r>
          </w:p>
        </w:tc>
        <w:tc>
          <w:tcPr>
            <w:vAlign w:val="center"/>
          </w:tcPr>
          <w:p>
            <w:pPr>
              <w:jc w:val="center"/>
            </w:pPr>
            <w:r>
              <w:t>12(W/㎡)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8(㎡/人)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办公-设计室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8(㎡/人)</w:t>
            </w:r>
          </w:p>
        </w:tc>
        <w:tc>
          <w:tcPr>
            <w:vAlign w:val="center"/>
          </w:tcPr>
          <w:p>
            <w:pPr>
              <w:jc w:val="center"/>
            </w:pPr>
            <w:r>
              <w:t>10(W/㎡)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学校-教室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6(㎡/人)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宾馆-电梯间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20(㎡/人)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教育-办公室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6(㎡/人)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教育-卫生间</w:t>
            </w:r>
          </w:p>
        </w:tc>
        <w:tc>
          <w:tcPr>
            <w:vAlign w:val="center"/>
          </w:tcPr>
          <w:p>
            <w:pPr>
              <w:jc w:val="center"/>
            </w:pPr>
            <w:r>
              <w:t>28</w:t>
            </w:r>
          </w:p>
        </w:tc>
        <w:tc>
          <w:tcPr>
            <w:vAlign w:val="center"/>
          </w:tcPr>
          <w:p>
            <w:pPr>
              <w:jc w:val="center"/>
            </w:pPr>
            <w:r>
              <w:t>15</w:t>
            </w:r>
          </w:p>
        </w:tc>
        <w:tc>
          <w:tcPr>
            <w:vAlign w:val="center"/>
          </w:tcPr>
          <w:p>
            <w:pPr>
              <w:jc w:val="center"/>
            </w:pPr>
            <w:r>
              <w:t>0.5(次/h)</w:t>
            </w:r>
          </w:p>
        </w:tc>
        <w:tc>
          <w:tcPr>
            <w:vAlign w:val="center"/>
          </w:tcPr>
          <w:p>
            <w:pPr>
              <w:jc w:val="center"/>
            </w:pPr>
            <w:r>
              <w:t>0(㎡/人)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教育-多媒体教室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教育-实验教室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4(㎡/人)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教育-报告厅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2.5(㎡/人)</w:t>
            </w:r>
          </w:p>
        </w:tc>
        <w:tc>
          <w:tcPr>
            <w:vAlign w:val="center"/>
          </w:tcPr>
          <w:p>
            <w:pPr>
              <w:jc w:val="center"/>
            </w:pPr>
            <w:r>
              <w:t>10(W/㎡)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教育-普通教室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1.39(㎡/人)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教育-美术教室</w:t>
            </w:r>
          </w:p>
        </w:tc>
        <w:tc>
          <w:tcPr>
            <w:vAlign w:val="center"/>
          </w:tcPr>
          <w:p>
            <w:pPr>
              <w:jc w:val="center"/>
            </w:pPr>
            <w:r>
              <w:t>26</w:t>
            </w:r>
          </w:p>
        </w:tc>
        <w:tc>
          <w:tcPr>
            <w:vAlign w:val="center"/>
          </w:tcPr>
          <w:p>
            <w:pPr>
              <w:jc w:val="center"/>
            </w:pPr>
            <w:r>
              <w:t>16</w:t>
            </w:r>
          </w:p>
        </w:tc>
        <w:tc>
          <w:tcPr>
            <w:vAlign w:val="center"/>
          </w:tcPr>
          <w:p>
            <w:pPr>
              <w:jc w:val="center"/>
            </w:pPr>
            <w:r>
              <w:t>0.5(次/h)</w:t>
            </w:r>
          </w:p>
        </w:tc>
        <w:tc>
          <w:tcPr>
            <w:vAlign w:val="center"/>
          </w:tcPr>
          <w:p>
            <w:pPr>
              <w:jc w:val="center"/>
            </w:pPr>
            <w:r>
              <w:t>4(㎡/人)</w:t>
            </w:r>
          </w:p>
        </w:tc>
        <w:tc>
          <w:tcPr>
            <w:vAlign w:val="center"/>
          </w:tcPr>
          <w:p>
            <w:pPr>
              <w:jc w:val="center"/>
            </w:pPr>
            <w:r>
              <w:t>10(W/㎡)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教育-阅览室</w:t>
            </w:r>
          </w:p>
        </w:tc>
        <w:tc>
          <w:tcPr>
            <w:vAlign w:val="center"/>
          </w:tcPr>
          <w:p>
            <w:pPr>
              <w:jc w:val="center"/>
            </w:pPr>
            <w:r>
              <w:t>26</w:t>
            </w:r>
          </w:p>
        </w:tc>
        <w:tc>
          <w:tcPr>
            <w:vAlign w:val="center"/>
          </w:tcPr>
          <w:p>
            <w:pPr>
              <w:jc w:val="center"/>
            </w:pPr>
            <w:r>
              <w:t>16</w:t>
            </w:r>
          </w:p>
        </w:tc>
        <w:tc>
          <w:tcPr>
            <w:vAlign w:val="center"/>
          </w:tcPr>
          <w:p>
            <w:pPr>
              <w:jc w:val="center"/>
            </w:pPr>
            <w:r>
              <w:t>0.5(次/h)</w:t>
            </w:r>
          </w:p>
        </w:tc>
        <w:tc>
          <w:tcPr>
            <w:vAlign w:val="center"/>
          </w:tcPr>
          <w:p>
            <w:pPr>
              <w:jc w:val="center"/>
            </w:pPr>
            <w:r>
              <w:t>1.9(㎡/人)</w:t>
            </w:r>
          </w:p>
        </w:tc>
        <w:tc>
          <w:tcPr>
            <w:vAlign w:val="center"/>
          </w:tcPr>
          <w:p>
            <w:pPr>
              <w:jc w:val="center"/>
            </w:pPr>
            <w:r>
              <w:t>9(W/㎡)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4"/>
        <w:widowControl w:val="0"/>
        <w:jc w:val="both"/>
        <w:rPr>
          <w:kern w:val="2"/>
          <w:szCs w:val="24"/>
          <w:lang w:val="en-US"/>
        </w:rPr>
      </w:pPr>
      <w:bookmarkStart w:id="44" w:name="_Toc22957"/>
      <w:r>
        <w:rPr>
          <w:kern w:val="2"/>
          <w:szCs w:val="24"/>
          <w:lang w:val="en-US"/>
        </w:rPr>
        <w:t>作息时间表</w:t>
      </w:r>
      <w:bookmarkEnd w:id="44"/>
    </w:p>
    <w:p>
      <w:pPr>
        <w:widowControl w:val="0"/>
        <w:jc w:val="both"/>
        <w:rPr>
          <w:kern w:val="2"/>
          <w:szCs w:val="24"/>
          <w:lang w:val="en-US"/>
        </w:rPr>
      </w:pPr>
      <w:r>
        <w:rPr>
          <w:kern w:val="2"/>
          <w:szCs w:val="24"/>
          <w:lang w:val="en-US"/>
        </w:rPr>
        <w:t>详见附录</w:t>
      </w:r>
    </w:p>
    <w:p>
      <w:pPr>
        <w:pStyle w:val="2"/>
        <w:widowControl w:val="0"/>
        <w:jc w:val="both"/>
        <w:rPr>
          <w:kern w:val="2"/>
          <w:szCs w:val="24"/>
          <w:lang w:val="en-US"/>
        </w:rPr>
      </w:pPr>
      <w:bookmarkStart w:id="45" w:name="_Toc19321"/>
      <w:r>
        <w:rPr>
          <w:kern w:val="2"/>
          <w:szCs w:val="24"/>
          <w:lang w:val="en-US"/>
        </w:rPr>
        <w:t>设计系统</w:t>
      </w:r>
      <w:bookmarkEnd w:id="45"/>
    </w:p>
    <w:p>
      <w:pPr>
        <w:pStyle w:val="4"/>
        <w:widowControl w:val="0"/>
        <w:jc w:val="both"/>
        <w:rPr>
          <w:kern w:val="2"/>
          <w:szCs w:val="24"/>
          <w:lang w:val="en-US"/>
        </w:rPr>
      </w:pPr>
      <w:bookmarkStart w:id="46" w:name="_Toc19661"/>
      <w:r>
        <w:rPr>
          <w:kern w:val="2"/>
          <w:szCs w:val="24"/>
          <w:lang w:val="en-US"/>
        </w:rPr>
        <w:t>系统类型</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双管制风机盘管</w:t>
            </w:r>
          </w:p>
        </w:tc>
        <w:tc>
          <w:tcPr>
            <w:vAlign w:val="center"/>
          </w:tcPr>
          <w:p>
            <w:r>
              <w:t>－</w:t>
            </w:r>
          </w:p>
        </w:tc>
        <w:tc>
          <w:tcPr>
            <w:vAlign w:val="center"/>
          </w:tcPr>
          <w:p>
            <w:r>
              <w:t>－</w:t>
            </w:r>
          </w:p>
        </w:tc>
        <w:tc>
          <w:tcPr>
            <w:vAlign w:val="center"/>
          </w:tcPr>
          <w:p>
            <w:r>
              <w:t>12472.03</w:t>
            </w:r>
          </w:p>
        </w:tc>
        <w:tc>
          <w:tcPr>
            <w:vAlign w:val="center"/>
          </w:tcPr>
          <w:p>
            <w:r>
              <w:t>所有房间</w:t>
            </w:r>
          </w:p>
        </w:tc>
      </w:tr>
    </w:tbl>
    <w:p>
      <w:pPr>
        <w:pStyle w:val="4"/>
        <w:widowControl w:val="0"/>
        <w:jc w:val="both"/>
        <w:rPr>
          <w:kern w:val="2"/>
          <w:szCs w:val="24"/>
          <w:lang w:val="en-US"/>
        </w:rPr>
      </w:pPr>
      <w:bookmarkStart w:id="47" w:name="_Toc2068"/>
      <w:r>
        <w:rPr>
          <w:kern w:val="2"/>
          <w:szCs w:val="24"/>
          <w:lang w:val="en-US"/>
        </w:rPr>
        <w:t>供暖系统</w:t>
      </w:r>
      <w:bookmarkEnd w:id="47"/>
    </w:p>
    <w:p>
      <w:pPr>
        <w:pStyle w:val="5"/>
        <w:widowControl w:val="0"/>
        <w:jc w:val="both"/>
        <w:rPr>
          <w:kern w:val="2"/>
          <w:szCs w:val="24"/>
          <w:lang w:val="en-US"/>
        </w:rPr>
      </w:pPr>
      <w:bookmarkStart w:id="48" w:name="_Toc3627"/>
      <w:r>
        <w:rPr>
          <w:kern w:val="2"/>
          <w:szCs w:val="24"/>
          <w:lang w:val="en-US"/>
        </w:rPr>
        <w:t>市政热力系统能耗</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耗电</w:t>
            </w:r>
            <w:r>
              <w:br w:type="textWrapping"/>
            </w:r>
            <w:r>
              <w:t>输热比</w:t>
            </w:r>
            <w:r>
              <w:br w:type="textWrapping"/>
            </w:r>
            <w:r>
              <w:t>EHR</w:t>
            </w:r>
          </w:p>
        </w:tc>
        <w:tc>
          <w:tcPr>
            <w:shd w:val="clear" w:color="auto" w:fill="E6E6E6"/>
            <w:vAlign w:val="center"/>
          </w:tcPr>
          <w:p>
            <w:pPr>
              <w:jc w:val="center"/>
            </w:pPr>
            <w:r>
              <w:t>累计</w:t>
            </w:r>
            <w:r>
              <w:br w:type="textWrapping"/>
            </w:r>
            <w:r>
              <w:t>热负荷</w:t>
            </w:r>
            <w:r>
              <w:br w:type="textWrapping"/>
            </w:r>
            <w:r>
              <w:t>(kWh)</w:t>
            </w:r>
          </w:p>
        </w:tc>
        <w:tc>
          <w:tcPr>
            <w:shd w:val="clear" w:color="auto" w:fill="E6E6E6"/>
            <w:vAlign w:val="center"/>
          </w:tcPr>
          <w:p>
            <w:pPr>
              <w:jc w:val="center"/>
            </w:pPr>
            <w:r>
              <w:t>热/电</w:t>
            </w:r>
            <w:r>
              <w:br w:type="textWrapping"/>
            </w:r>
            <w:r>
              <w:t>转换系数</w:t>
            </w:r>
            <w:r>
              <w:br w:type="textWrapping"/>
            </w:r>
            <w:r>
              <w:t>(kWh/kWh)</w:t>
            </w:r>
          </w:p>
        </w:tc>
        <w:tc>
          <w:tcPr>
            <w:shd w:val="clear" w:color="auto" w:fill="E6E6E6"/>
            <w:vAlign w:val="center"/>
          </w:tcPr>
          <w:p>
            <w:pPr>
              <w:jc w:val="center"/>
            </w:pPr>
            <w:r>
              <w:t>热源折合</w:t>
            </w:r>
            <w:r>
              <w:br w:type="textWrapping"/>
            </w:r>
            <w:r>
              <w:t>电耗</w:t>
            </w:r>
            <w:r>
              <w:br w:type="textWrapping"/>
            </w:r>
            <w:r>
              <w:t>(kWh)</w:t>
            </w:r>
          </w:p>
        </w:tc>
        <w:tc>
          <w:tcPr>
            <w:shd w:val="clear" w:color="auto" w:fill="E6E6E6"/>
            <w:vAlign w:val="center"/>
          </w:tcPr>
          <w:p>
            <w:pPr>
              <w:jc w:val="center"/>
            </w:pPr>
            <w:r>
              <w:t>供暖水</w:t>
            </w:r>
            <w:r>
              <w:br w:type="textWrapping"/>
            </w:r>
            <w:r>
              <w:t>泵电耗</w:t>
            </w:r>
            <w:r>
              <w:br w:type="textWrapping"/>
            </w:r>
            <w:r>
              <w:t>(kWh)</w:t>
            </w:r>
          </w:p>
        </w:tc>
        <w:tc>
          <w:tcPr>
            <w:shd w:val="clear" w:color="auto" w:fill="E6E6E6"/>
            <w:vAlign w:val="center"/>
          </w:tcPr>
          <w:p>
            <w:pPr>
              <w:jc w:val="center"/>
            </w:pPr>
            <w:r>
              <w:t>合计</w:t>
            </w:r>
            <w:r>
              <w:br w:type="textWrapping"/>
            </w: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0.92</w:t>
            </w:r>
          </w:p>
        </w:tc>
        <w:tc>
          <w:tcPr>
            <w:vAlign w:val="center"/>
          </w:tcPr>
          <w:p>
            <w:r>
              <w:t>0.00433</w:t>
            </w:r>
          </w:p>
        </w:tc>
        <w:tc>
          <w:tcPr>
            <w:vAlign w:val="center"/>
          </w:tcPr>
          <w:p>
            <w:r>
              <w:t>125368</w:t>
            </w:r>
          </w:p>
        </w:tc>
        <w:tc>
          <w:tcPr>
            <w:vAlign w:val="center"/>
          </w:tcPr>
          <w:p>
            <w:r>
              <w:t>2.93</w:t>
            </w:r>
          </w:p>
        </w:tc>
        <w:tc>
          <w:tcPr>
            <w:vAlign w:val="center"/>
          </w:tcPr>
          <w:p>
            <w:r>
              <w:t>46502</w:t>
            </w:r>
          </w:p>
        </w:tc>
        <w:tc>
          <w:tcPr>
            <w:vAlign w:val="center"/>
          </w:tcPr>
          <w:p>
            <w:r>
              <w:t>543</w:t>
            </w:r>
          </w:p>
        </w:tc>
        <w:tc>
          <w:tcPr>
            <w:vAlign w:val="center"/>
          </w:tcPr>
          <w:p>
            <w:r>
              <w:t>47045</w:t>
            </w:r>
          </w:p>
        </w:tc>
      </w:tr>
    </w:tbl>
    <w:p>
      <w:pPr>
        <w:pStyle w:val="4"/>
        <w:widowControl w:val="0"/>
        <w:jc w:val="both"/>
        <w:rPr>
          <w:kern w:val="2"/>
          <w:szCs w:val="24"/>
          <w:lang w:val="en-US"/>
        </w:rPr>
      </w:pPr>
      <w:bookmarkStart w:id="49" w:name="_Toc13077"/>
      <w:r>
        <w:rPr>
          <w:kern w:val="2"/>
          <w:szCs w:val="24"/>
          <w:lang w:val="en-US"/>
        </w:rPr>
        <w:t>空调风机</w:t>
      </w:r>
      <w:bookmarkEnd w:id="49"/>
    </w:p>
    <w:p>
      <w:pPr>
        <w:pStyle w:val="5"/>
        <w:widowControl w:val="0"/>
        <w:jc w:val="both"/>
        <w:rPr>
          <w:kern w:val="2"/>
          <w:szCs w:val="24"/>
          <w:lang w:val="en-US"/>
        </w:rPr>
      </w:pPr>
      <w:bookmarkStart w:id="50" w:name="_Toc16890"/>
      <w:r>
        <w:rPr>
          <w:kern w:val="2"/>
          <w:szCs w:val="24"/>
          <w:lang w:val="en-US"/>
        </w:rPr>
        <w:t>独立新排风</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34500</w:t>
            </w:r>
          </w:p>
        </w:tc>
        <w:tc>
          <w:tcPr>
            <w:vAlign w:val="center"/>
          </w:tcPr>
          <w:p>
            <w:r>
              <w:t>0.24</w:t>
            </w:r>
          </w:p>
        </w:tc>
        <w:tc>
          <w:tcPr>
            <w:vAlign w:val="center"/>
          </w:tcPr>
          <w:p>
            <w:r>
              <w:t>8280</w:t>
            </w:r>
          </w:p>
        </w:tc>
        <w:tc>
          <w:tcPr>
            <w:vAlign w:val="center"/>
          </w:tcPr>
          <w:p>
            <w:r>
              <w:t>2960</w:t>
            </w:r>
          </w:p>
        </w:tc>
        <w:tc>
          <w:tcPr>
            <w:vAlign w:val="center"/>
          </w:tcPr>
          <w:p>
            <w:r>
              <w:t>24509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24509</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27600</w:t>
            </w:r>
          </w:p>
        </w:tc>
        <w:tc>
          <w:tcPr>
            <w:vAlign w:val="center"/>
          </w:tcPr>
          <w:p>
            <w:r>
              <w:t>0.8</w:t>
            </w:r>
          </w:p>
        </w:tc>
        <w:tc>
          <w:tcPr>
            <w:vAlign w:val="center"/>
          </w:tcPr>
          <w:p>
            <w:r>
              <w:t>0.24</w:t>
            </w:r>
          </w:p>
        </w:tc>
        <w:tc>
          <w:tcPr>
            <w:vAlign w:val="center"/>
          </w:tcPr>
          <w:p>
            <w:r>
              <w:t>6624</w:t>
            </w:r>
          </w:p>
        </w:tc>
        <w:tc>
          <w:tcPr>
            <w:vAlign w:val="center"/>
          </w:tcPr>
          <w:p>
            <w:r>
              <w:t>2960</w:t>
            </w:r>
          </w:p>
        </w:tc>
        <w:tc>
          <w:tcPr>
            <w:vAlign w:val="center"/>
          </w:tcPr>
          <w:p>
            <w:r>
              <w:t>19607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19607</w:t>
            </w:r>
          </w:p>
        </w:tc>
      </w:tr>
    </w:tbl>
    <w:p>
      <w:pPr>
        <w:pStyle w:val="5"/>
        <w:widowControl w:val="0"/>
        <w:jc w:val="both"/>
        <w:rPr>
          <w:kern w:val="2"/>
          <w:szCs w:val="24"/>
          <w:lang w:val="en-US"/>
        </w:rPr>
      </w:pPr>
      <w:bookmarkStart w:id="51" w:name="_Toc29394"/>
      <w:r>
        <w:rPr>
          <w:kern w:val="2"/>
          <w:szCs w:val="24"/>
          <w:lang w:val="en-US"/>
        </w:rPr>
        <w:t>风机盘管</w:t>
      </w:r>
      <w:bookmarkEnd w:id="51"/>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pPr>
              <w:jc w:val="center"/>
            </w:pPr>
            <w:r>
              <w:t>400</w:t>
            </w:r>
          </w:p>
        </w:tc>
        <w:tc>
          <w:tcPr>
            <w:vAlign w:val="center"/>
          </w:tcPr>
          <w:p>
            <w:r>
              <w:t>1</w:t>
            </w:r>
          </w:p>
        </w:tc>
        <w:tc>
          <w:tcPr>
            <w:vAlign w:val="center"/>
          </w:tcPr>
          <w:p>
            <w:r>
              <w:t>1511</w:t>
            </w:r>
          </w:p>
        </w:tc>
        <w:tc>
          <w:tcPr>
            <w:vAlign w:val="center"/>
          </w:tcPr>
          <w:p>
            <w:r>
              <w:t>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4"/>
            <w:vAlign w:val="center"/>
          </w:tcPr>
          <w:p>
            <w:r>
              <w:t>合计</w:t>
            </w:r>
          </w:p>
        </w:tc>
        <w:tc>
          <w:tcPr>
            <w:vAlign w:val="center"/>
          </w:tcPr>
          <w:p>
            <w:r>
              <w:t>604</w:t>
            </w:r>
          </w:p>
        </w:tc>
      </w:tr>
    </w:tbl>
    <w:p>
      <w:pPr>
        <w:pStyle w:val="2"/>
        <w:widowControl w:val="0"/>
        <w:jc w:val="both"/>
        <w:rPr>
          <w:kern w:val="2"/>
          <w:szCs w:val="24"/>
          <w:lang w:val="en-US"/>
        </w:rPr>
      </w:pPr>
      <w:bookmarkStart w:id="52" w:name="_Toc1123"/>
      <w:r>
        <w:rPr>
          <w:kern w:val="2"/>
          <w:szCs w:val="24"/>
          <w:lang w:val="en-US"/>
        </w:rPr>
        <w:t>参照系统</w:t>
      </w:r>
      <w:bookmarkEnd w:id="52"/>
    </w:p>
    <w:p>
      <w:pPr>
        <w:pStyle w:val="4"/>
        <w:widowControl w:val="0"/>
        <w:jc w:val="both"/>
        <w:rPr>
          <w:kern w:val="2"/>
          <w:szCs w:val="24"/>
          <w:lang w:val="en-US"/>
        </w:rPr>
      </w:pPr>
      <w:bookmarkStart w:id="53" w:name="_Toc27988"/>
      <w:r>
        <w:rPr>
          <w:kern w:val="2"/>
          <w:szCs w:val="24"/>
          <w:lang w:val="en-US"/>
        </w:rPr>
        <w:t>系统类型</w:t>
      </w:r>
      <w:bookmarkEnd w:id="5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bl>
    <w:p>
      <w:pPr>
        <w:pStyle w:val="4"/>
        <w:widowControl w:val="0"/>
        <w:jc w:val="both"/>
        <w:rPr>
          <w:kern w:val="2"/>
          <w:szCs w:val="24"/>
          <w:lang w:val="en-US"/>
        </w:rPr>
      </w:pPr>
      <w:bookmarkStart w:id="54" w:name="_Toc31688"/>
      <w:r>
        <w:rPr>
          <w:kern w:val="2"/>
          <w:szCs w:val="24"/>
          <w:lang w:val="en-US"/>
        </w:rPr>
        <w:t>供暖系统</w:t>
      </w:r>
      <w:bookmarkEnd w:id="54"/>
    </w:p>
    <w:p>
      <w:pPr>
        <w:pStyle w:val="5"/>
        <w:widowControl w:val="0"/>
        <w:jc w:val="both"/>
        <w:rPr>
          <w:kern w:val="2"/>
          <w:szCs w:val="24"/>
          <w:lang w:val="en-US"/>
        </w:rPr>
      </w:pPr>
      <w:bookmarkStart w:id="55" w:name="_Toc19972"/>
      <w:r>
        <w:rPr>
          <w:kern w:val="2"/>
          <w:szCs w:val="24"/>
          <w:lang w:val="en-US"/>
        </w:rPr>
        <w:t>市政热力系统能耗</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耗电</w:t>
            </w:r>
            <w:r>
              <w:br w:type="textWrapping"/>
            </w:r>
            <w:r>
              <w:t>输热比</w:t>
            </w:r>
            <w:r>
              <w:br w:type="textWrapping"/>
            </w:r>
            <w:r>
              <w:t>EHR</w:t>
            </w:r>
          </w:p>
        </w:tc>
        <w:tc>
          <w:tcPr>
            <w:shd w:val="clear" w:color="auto" w:fill="E6E6E6"/>
            <w:vAlign w:val="center"/>
          </w:tcPr>
          <w:p>
            <w:pPr>
              <w:jc w:val="center"/>
            </w:pPr>
            <w:r>
              <w:t>累计</w:t>
            </w:r>
            <w:r>
              <w:br w:type="textWrapping"/>
            </w:r>
            <w:r>
              <w:t>热负荷</w:t>
            </w:r>
            <w:r>
              <w:br w:type="textWrapping"/>
            </w:r>
            <w:r>
              <w:t>(kWh)</w:t>
            </w:r>
          </w:p>
        </w:tc>
        <w:tc>
          <w:tcPr>
            <w:shd w:val="clear" w:color="auto" w:fill="E6E6E6"/>
            <w:vAlign w:val="center"/>
          </w:tcPr>
          <w:p>
            <w:pPr>
              <w:jc w:val="center"/>
            </w:pPr>
            <w:r>
              <w:t>热/电</w:t>
            </w:r>
            <w:r>
              <w:br w:type="textWrapping"/>
            </w:r>
            <w:r>
              <w:t>转换系数</w:t>
            </w:r>
            <w:r>
              <w:br w:type="textWrapping"/>
            </w:r>
            <w:r>
              <w:t>(kWh/kWh)</w:t>
            </w:r>
          </w:p>
        </w:tc>
        <w:tc>
          <w:tcPr>
            <w:shd w:val="clear" w:color="auto" w:fill="E6E6E6"/>
            <w:vAlign w:val="center"/>
          </w:tcPr>
          <w:p>
            <w:pPr>
              <w:jc w:val="center"/>
            </w:pPr>
            <w:r>
              <w:t>热源折合</w:t>
            </w:r>
            <w:r>
              <w:br w:type="textWrapping"/>
            </w:r>
            <w:r>
              <w:t>电耗</w:t>
            </w:r>
            <w:r>
              <w:br w:type="textWrapping"/>
            </w:r>
            <w:r>
              <w:t>(kWh)</w:t>
            </w:r>
          </w:p>
        </w:tc>
        <w:tc>
          <w:tcPr>
            <w:shd w:val="clear" w:color="auto" w:fill="E6E6E6"/>
            <w:vAlign w:val="center"/>
          </w:tcPr>
          <w:p>
            <w:pPr>
              <w:jc w:val="center"/>
            </w:pPr>
            <w:r>
              <w:t>供暖水</w:t>
            </w:r>
            <w:r>
              <w:br w:type="textWrapping"/>
            </w:r>
            <w:r>
              <w:t>泵电耗</w:t>
            </w:r>
            <w:r>
              <w:br w:type="textWrapping"/>
            </w:r>
            <w:r>
              <w:t>(kWh)</w:t>
            </w:r>
          </w:p>
        </w:tc>
        <w:tc>
          <w:tcPr>
            <w:shd w:val="clear" w:color="auto" w:fill="E6E6E6"/>
            <w:vAlign w:val="center"/>
          </w:tcPr>
          <w:p>
            <w:pPr>
              <w:jc w:val="center"/>
            </w:pPr>
            <w:r>
              <w:t>合计</w:t>
            </w:r>
            <w:r>
              <w:br w:type="textWrapping"/>
            </w: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0.92</w:t>
            </w:r>
          </w:p>
        </w:tc>
        <w:tc>
          <w:tcPr>
            <w:vAlign w:val="center"/>
          </w:tcPr>
          <w:p>
            <w:r>
              <w:t>0.00577</w:t>
            </w:r>
          </w:p>
        </w:tc>
        <w:tc>
          <w:tcPr>
            <w:vAlign w:val="center"/>
          </w:tcPr>
          <w:p>
            <w:r>
              <w:t>308966</w:t>
            </w:r>
          </w:p>
        </w:tc>
        <w:tc>
          <w:tcPr>
            <w:vAlign w:val="center"/>
          </w:tcPr>
          <w:p>
            <w:r>
              <w:t>2.93</w:t>
            </w:r>
          </w:p>
        </w:tc>
        <w:tc>
          <w:tcPr>
            <w:vAlign w:val="center"/>
          </w:tcPr>
          <w:p>
            <w:r>
              <w:t>114603</w:t>
            </w:r>
          </w:p>
        </w:tc>
        <w:tc>
          <w:tcPr>
            <w:vAlign w:val="center"/>
          </w:tcPr>
          <w:p>
            <w:r>
              <w:t>1783</w:t>
            </w:r>
          </w:p>
        </w:tc>
        <w:tc>
          <w:tcPr>
            <w:vAlign w:val="center"/>
          </w:tcPr>
          <w:p>
            <w:r>
              <w:t>116386</w:t>
            </w:r>
          </w:p>
        </w:tc>
      </w:tr>
    </w:tbl>
    <w:p>
      <w:pPr>
        <w:pStyle w:val="4"/>
        <w:widowControl w:val="0"/>
        <w:jc w:val="both"/>
        <w:rPr>
          <w:kern w:val="2"/>
          <w:szCs w:val="24"/>
          <w:lang w:val="en-US"/>
        </w:rPr>
      </w:pPr>
      <w:bookmarkStart w:id="56" w:name="_Toc4660"/>
      <w:r>
        <w:rPr>
          <w:kern w:val="2"/>
          <w:szCs w:val="24"/>
          <w:lang w:val="en-US"/>
        </w:rPr>
        <w:t>空调风机</w:t>
      </w:r>
      <w:bookmarkEnd w:id="56"/>
    </w:p>
    <w:p>
      <w:pPr>
        <w:pStyle w:val="5"/>
        <w:widowControl w:val="0"/>
        <w:jc w:val="both"/>
        <w:rPr>
          <w:kern w:val="2"/>
          <w:szCs w:val="24"/>
          <w:lang w:val="en-US"/>
        </w:rPr>
      </w:pPr>
      <w:bookmarkStart w:id="57" w:name="_Toc14822"/>
      <w:r>
        <w:rPr>
          <w:kern w:val="2"/>
          <w:szCs w:val="24"/>
          <w:lang w:val="en-US"/>
        </w:rPr>
        <w:t>独立新排风</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34500</w:t>
            </w:r>
          </w:p>
        </w:tc>
        <w:tc>
          <w:tcPr>
            <w:vAlign w:val="center"/>
          </w:tcPr>
          <w:p>
            <w:r>
              <w:t>0.24</w:t>
            </w:r>
          </w:p>
        </w:tc>
        <w:tc>
          <w:tcPr>
            <w:vAlign w:val="center"/>
          </w:tcPr>
          <w:p>
            <w:r>
              <w:t>8280</w:t>
            </w:r>
          </w:p>
        </w:tc>
        <w:tc>
          <w:tcPr>
            <w:vAlign w:val="center"/>
          </w:tcPr>
          <w:p>
            <w:r>
              <w:t>2960</w:t>
            </w:r>
          </w:p>
        </w:tc>
        <w:tc>
          <w:tcPr>
            <w:vAlign w:val="center"/>
          </w:tcPr>
          <w:p>
            <w:r>
              <w:t>24509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24509</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27600</w:t>
            </w:r>
          </w:p>
        </w:tc>
        <w:tc>
          <w:tcPr>
            <w:vAlign w:val="center"/>
          </w:tcPr>
          <w:p>
            <w:r>
              <w:t>0.8</w:t>
            </w:r>
          </w:p>
        </w:tc>
        <w:tc>
          <w:tcPr>
            <w:vAlign w:val="center"/>
          </w:tcPr>
          <w:p>
            <w:r>
              <w:t>0.24</w:t>
            </w:r>
          </w:p>
        </w:tc>
        <w:tc>
          <w:tcPr>
            <w:vAlign w:val="center"/>
          </w:tcPr>
          <w:p>
            <w:r>
              <w:t>6624</w:t>
            </w:r>
          </w:p>
        </w:tc>
        <w:tc>
          <w:tcPr>
            <w:vAlign w:val="center"/>
          </w:tcPr>
          <w:p>
            <w:r>
              <w:t>2960</w:t>
            </w:r>
          </w:p>
        </w:tc>
        <w:tc>
          <w:tcPr>
            <w:vAlign w:val="center"/>
          </w:tcPr>
          <w:p>
            <w:r>
              <w:t>19607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19607</w:t>
            </w:r>
          </w:p>
        </w:tc>
      </w:tr>
    </w:tbl>
    <w:p>
      <w:pPr>
        <w:pStyle w:val="5"/>
        <w:widowControl w:val="0"/>
        <w:jc w:val="both"/>
        <w:rPr>
          <w:kern w:val="2"/>
          <w:szCs w:val="24"/>
          <w:lang w:val="en-US"/>
        </w:rPr>
      </w:pPr>
      <w:bookmarkStart w:id="58" w:name="_Toc14137"/>
      <w:r>
        <w:rPr>
          <w:kern w:val="2"/>
          <w:szCs w:val="24"/>
          <w:lang w:val="en-US"/>
        </w:rPr>
        <w:t>风机盘管</w:t>
      </w:r>
      <w:bookmarkEnd w:id="58"/>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pPr>
              <w:jc w:val="center"/>
            </w:pPr>
            <w:r>
              <w:t>400</w:t>
            </w:r>
          </w:p>
        </w:tc>
        <w:tc>
          <w:tcPr>
            <w:vAlign w:val="center"/>
          </w:tcPr>
          <w:p>
            <w:r>
              <w:t>1</w:t>
            </w:r>
          </w:p>
        </w:tc>
        <w:tc>
          <w:tcPr>
            <w:vAlign w:val="center"/>
          </w:tcPr>
          <w:p>
            <w:r>
              <w:t>2089</w:t>
            </w:r>
          </w:p>
        </w:tc>
        <w:tc>
          <w:tcPr>
            <w:vAlign w:val="center"/>
          </w:tcPr>
          <w:p>
            <w:r>
              <w:t>836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836</w:t>
            </w:r>
          </w:p>
        </w:tc>
      </w:tr>
    </w:tbl>
    <w:p>
      <w:pPr>
        <w:pStyle w:val="2"/>
        <w:widowControl w:val="0"/>
        <w:jc w:val="both"/>
        <w:rPr>
          <w:kern w:val="2"/>
          <w:szCs w:val="24"/>
          <w:lang w:val="en-US"/>
        </w:rPr>
      </w:pPr>
      <w:bookmarkStart w:id="59" w:name="_Toc11896"/>
      <w:r>
        <w:rPr>
          <w:kern w:val="2"/>
          <w:szCs w:val="24"/>
          <w:lang w:val="en-US"/>
        </w:rPr>
        <w:t>计算结果</w:t>
      </w:r>
      <w:bookmarkEnd w:id="59"/>
    </w:p>
    <w:p>
      <w:pPr>
        <w:widowControl w:val="0"/>
        <w:jc w:val="both"/>
        <w:rPr>
          <w:kern w:val="2"/>
          <w:szCs w:val="24"/>
          <w:lang w:val="en-US"/>
        </w:rPr>
      </w:pPr>
      <w:r>
        <w:rPr>
          <w:kern w:val="2"/>
          <w:szCs w:val="24"/>
          <w:lang w:val="en-US"/>
        </w:rPr>
        <w:t>注:负荷和电耗均为考虑热回收后的值</w:t>
      </w:r>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w:t>
            </w:r>
            <w:bookmarkEnd w:id="3"/>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5.35</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1754" w:type="pct"/>
            <w:gridSpan w:val="2"/>
            <w:tcBorders>
              <w:bottom w:val="single" w:color="auto" w:sz="12" w:space="0"/>
            </w:tcBorders>
            <w:vAlign w:val="center"/>
          </w:tcPr>
          <w:p>
            <w:pPr>
              <w:ind w:firstLine="0" w:firstLineChars="0"/>
              <w:jc w:val="center"/>
              <w:rPr>
                <w:lang w:val="en-US"/>
              </w:rPr>
            </w:pPr>
            <w:r>
              <w:rPr>
                <w:rFonts w:hint="eastAsia"/>
                <w:lang w:val="en-US"/>
              </w:rPr>
              <w:t>5.35</w:t>
            </w:r>
            <w:bookmarkEnd w:id="5"/>
          </w:p>
        </w:tc>
        <w:tc>
          <w:tcPr>
            <w:tcW w:w="960" w:type="pct"/>
            <w:tcBorders>
              <w:bottom w:val="single" w:color="auto" w:sz="12" w:space="0"/>
            </w:tcBorders>
            <w:vAlign w:val="center"/>
          </w:tcPr>
          <w:p>
            <w:pPr>
              <w:ind w:firstLine="0" w:firstLineChars="0"/>
              <w:jc w:val="center"/>
              <w:rPr>
                <w:lang w:val="en-US"/>
              </w:rPr>
            </w:pPr>
            <w:r>
              <w:rPr>
                <w:rFonts w:hint="eastAsia"/>
                <w:kern w:val="2"/>
                <w:szCs w:val="24"/>
                <w:lang w:val="en-US"/>
              </w:rPr>
              <w:t>－</w:t>
            </w:r>
          </w:p>
        </w:tc>
      </w:tr>
      <w:tr>
        <w:tblPrEx>
          <w:tblCellMar>
            <w:top w:w="0" w:type="dxa"/>
            <w:left w:w="108" w:type="dxa"/>
            <w:bottom w:w="0" w:type="dxa"/>
            <w:right w:w="108" w:type="dxa"/>
          </w:tblCellMar>
        </w:tblPrEx>
        <w:tc>
          <w:tcPr>
            <w:tcW w:w="807" w:type="pc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12" w:space="0"/>
            </w:tcBorders>
            <w:shd w:val="clear" w:color="auto" w:fill="auto"/>
            <w:vAlign w:val="center"/>
          </w:tcPr>
          <w:p>
            <w:pPr>
              <w:ind w:firstLine="0" w:firstLineChars="0"/>
              <w:jc w:val="center"/>
              <w:rPr>
                <w:lang w:val="en-US"/>
              </w:rPr>
            </w:pPr>
            <w:r>
              <w:rPr>
                <w:rFonts w:hint="eastAsia"/>
                <w:lang w:val="en-US"/>
              </w:rPr>
              <w:t>供暖</w:t>
            </w:r>
          </w:p>
        </w:tc>
        <w:tc>
          <w:tcPr>
            <w:tcW w:w="877" w:type="pct"/>
            <w:tcBorders>
              <w:top w:val="single" w:color="auto" w:sz="12" w:space="0"/>
              <w:bottom w:val="single" w:color="auto" w:sz="12" w:space="0"/>
            </w:tcBorders>
            <w:vAlign w:val="center"/>
          </w:tcPr>
          <w:p>
            <w:pPr>
              <w:ind w:firstLine="0" w:firstLineChars="0"/>
              <w:jc w:val="center"/>
              <w:rPr>
                <w:lang w:val="en-US"/>
              </w:rPr>
            </w:pPr>
            <w:r>
              <w:rPr>
                <w:rFonts w:hint="eastAsia"/>
                <w:lang w:val="en-US"/>
              </w:rPr>
              <w:t>7.83</w:t>
            </w:r>
            <w:bookmarkEnd w:id="6"/>
          </w:p>
        </w:tc>
        <w:tc>
          <w:tcPr>
            <w:tcW w:w="877" w:type="pct"/>
            <w:tcBorders>
              <w:top w:val="single" w:color="auto" w:sz="12"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12" w:space="0"/>
            </w:tcBorders>
            <w:vAlign w:val="center"/>
          </w:tcPr>
          <w:p>
            <w:pPr>
              <w:ind w:firstLine="0" w:firstLineChars="0"/>
              <w:jc w:val="center"/>
              <w:rPr>
                <w:lang w:val="en-US"/>
              </w:rPr>
            </w:pPr>
            <w:r>
              <w:rPr>
                <w:rFonts w:hint="eastAsia"/>
                <w:kern w:val="2"/>
                <w:szCs w:val="24"/>
                <w:lang w:val="en-US"/>
              </w:rPr>
              <w:t>－</w:t>
            </w:r>
          </w:p>
        </w:tc>
      </w:tr>
      <w:tr>
        <w:tblPrEx>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12"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tcBorders>
              <w:top w:val="single" w:color="auto" w:sz="12" w:space="0"/>
            </w:tcBorders>
            <w:vAlign w:val="center"/>
          </w:tcPr>
          <w:p>
            <w:pPr>
              <w:ind w:firstLine="0" w:firstLineChars="0"/>
              <w:jc w:val="center"/>
              <w:rPr>
                <w:lang w:val="en-US"/>
              </w:rPr>
            </w:pPr>
            <w:r>
              <w:rPr>
                <w:lang w:val="en-US"/>
              </w:rPr>
              <w:t>1.98</w:t>
            </w:r>
            <w:bookmarkEnd w:id="7"/>
          </w:p>
        </w:tc>
        <w:tc>
          <w:tcPr>
            <w:tcW w:w="877" w:type="pct"/>
            <w:tcBorders>
              <w:top w:val="single" w:color="auto" w:sz="12" w:space="0"/>
            </w:tcBorders>
            <w:vAlign w:val="center"/>
          </w:tcPr>
          <w:p>
            <w:pPr>
              <w:ind w:firstLine="0" w:firstLineChars="0"/>
              <w:jc w:val="center"/>
              <w:rPr>
                <w:lang w:val="en-US"/>
              </w:rPr>
            </w:pPr>
            <w:r>
              <w:rPr>
                <w:lang w:val="en-US"/>
              </w:rPr>
              <w:t>4.89</w:t>
            </w:r>
            <w:bookmarkEnd w:id="8"/>
          </w:p>
        </w:tc>
        <w:tc>
          <w:tcPr>
            <w:tcW w:w="960" w:type="pct"/>
            <w:vMerge w:val="restart"/>
            <w:tcBorders>
              <w:top w:val="single" w:color="auto" w:sz="12" w:space="0"/>
            </w:tcBorders>
            <w:vAlign w:val="center"/>
          </w:tcPr>
          <w:p>
            <w:pPr>
              <w:ind w:firstLine="0" w:firstLineChars="0"/>
              <w:jc w:val="center"/>
              <w:rPr>
                <w:lang w:val="en-US"/>
              </w:rPr>
            </w:pPr>
            <w:r>
              <w:rPr>
                <w:rFonts w:hint="eastAsia"/>
                <w:lang w:val="en-US"/>
              </w:rPr>
              <w:t>59.58%</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0.02</w:t>
            </w:r>
            <w:bookmarkEnd w:id="10"/>
          </w:p>
        </w:tc>
        <w:tc>
          <w:tcPr>
            <w:tcW w:w="877" w:type="pct"/>
            <w:vAlign w:val="center"/>
          </w:tcPr>
          <w:p>
            <w:pPr>
              <w:ind w:firstLine="0" w:firstLineChars="0"/>
              <w:jc w:val="center"/>
              <w:rPr>
                <w:lang w:val="en-US"/>
              </w:rPr>
            </w:pPr>
            <w:r>
              <w:rPr>
                <w:lang w:val="en-US"/>
              </w:rPr>
              <w:t>0.08</w:t>
            </w:r>
            <w:bookmarkEnd w:id="1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bookmarkEnd w:id="1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2.01</w:t>
            </w:r>
            <w:bookmarkEnd w:id="14"/>
          </w:p>
        </w:tc>
        <w:tc>
          <w:tcPr>
            <w:tcW w:w="877" w:type="pct"/>
            <w:vAlign w:val="center"/>
          </w:tcPr>
          <w:p>
            <w:pPr>
              <w:ind w:firstLine="0" w:firstLineChars="0"/>
              <w:jc w:val="center"/>
              <w:rPr>
                <w:lang w:val="en-US"/>
              </w:rPr>
            </w:pPr>
            <w:r>
              <w:rPr>
                <w:lang w:val="en-US"/>
              </w:rPr>
              <w:t>4.96</w:t>
            </w:r>
            <w:bookmarkEnd w:id="1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风机</w:t>
            </w:r>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w:t>
            </w:r>
            <w:bookmarkEnd w:id="16"/>
            <w:r>
              <w:rPr>
                <w:rFonts w:hint="eastAsia"/>
                <w:lang w:val="en-US"/>
              </w:rPr>
              <w:t>新排风</w:t>
            </w:r>
          </w:p>
        </w:tc>
        <w:tc>
          <w:tcPr>
            <w:tcW w:w="877" w:type="pct"/>
            <w:vAlign w:val="center"/>
          </w:tcPr>
          <w:p>
            <w:pPr>
              <w:ind w:firstLine="0" w:firstLineChars="0"/>
              <w:jc w:val="center"/>
              <w:rPr>
                <w:lang w:val="en-US"/>
              </w:rPr>
            </w:pPr>
            <w:r>
              <w:rPr>
                <w:rFonts w:hint="eastAsia"/>
                <w:lang w:val="en-US"/>
              </w:rPr>
              <w:t>1.88</w:t>
            </w:r>
            <w:bookmarkEnd w:id="17"/>
          </w:p>
        </w:tc>
        <w:tc>
          <w:tcPr>
            <w:tcW w:w="877" w:type="pct"/>
            <w:vAlign w:val="center"/>
          </w:tcPr>
          <w:p>
            <w:pPr>
              <w:ind w:firstLine="0" w:firstLineChars="0"/>
              <w:jc w:val="center"/>
              <w:rPr>
                <w:lang w:val="en-US"/>
              </w:rPr>
            </w:pPr>
            <w:r>
              <w:rPr>
                <w:lang w:val="en-US"/>
              </w:rPr>
              <w:t>1.88</w:t>
            </w:r>
            <w:bookmarkEnd w:id="18"/>
          </w:p>
        </w:tc>
        <w:tc>
          <w:tcPr>
            <w:tcW w:w="960" w:type="pct"/>
            <w:vMerge w:val="restart"/>
            <w:vAlign w:val="center"/>
          </w:tcPr>
          <w:p>
            <w:pPr>
              <w:ind w:firstLine="0" w:firstLineChars="0"/>
              <w:jc w:val="center"/>
              <w:rPr>
                <w:lang w:val="en-US"/>
              </w:rPr>
            </w:pPr>
            <w:r>
              <w:rPr>
                <w:rFonts w:hint="eastAsia"/>
                <w:lang w:val="en-US"/>
              </w:rPr>
              <w:t>0.51%</w:t>
            </w:r>
            <w:bookmarkEnd w:id="1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0.03</w:t>
            </w:r>
            <w:bookmarkEnd w:id="20"/>
          </w:p>
        </w:tc>
        <w:tc>
          <w:tcPr>
            <w:tcW w:w="877" w:type="pct"/>
            <w:vAlign w:val="center"/>
          </w:tcPr>
          <w:p>
            <w:pPr>
              <w:ind w:firstLine="0" w:firstLineChars="0"/>
              <w:jc w:val="center"/>
              <w:rPr>
                <w:lang w:val="en-US"/>
              </w:rPr>
            </w:pPr>
            <w:r>
              <w:rPr>
                <w:rFonts w:hint="eastAsia"/>
                <w:lang w:val="en-US"/>
              </w:rPr>
              <w:t>0.04</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r>
              <w:rPr>
                <w:rFonts w:hint="eastAsia"/>
                <w:lang w:val="en-US"/>
              </w:rPr>
              <w:t>0.00</w:t>
            </w:r>
            <w:bookmarkEnd w:id="22"/>
          </w:p>
        </w:tc>
        <w:tc>
          <w:tcPr>
            <w:tcW w:w="877" w:type="pct"/>
            <w:vAlign w:val="center"/>
          </w:tcPr>
          <w:p>
            <w:pPr>
              <w:ind w:firstLine="0" w:firstLineChars="0"/>
              <w:jc w:val="center"/>
              <w:rPr>
                <w:lang w:val="en-US"/>
              </w:rPr>
            </w:pPr>
            <w:r>
              <w:rPr>
                <w:rFonts w:hint="eastAsia"/>
                <w:lang w:val="en-US"/>
              </w:rPr>
              <w:t>0.00</w:t>
            </w:r>
            <w:bookmarkEnd w:id="23"/>
          </w:p>
        </w:tc>
        <w:tc>
          <w:tcPr>
            <w:tcW w:w="960" w:type="pct"/>
            <w:vMerge w:val="continue"/>
            <w:vAlign w:val="center"/>
          </w:tcPr>
          <w:p>
            <w:pPr>
              <w:ind w:firstLine="0" w:firstLineChars="0"/>
              <w:jc w:val="center"/>
              <w:rPr>
                <w:lang w:val="en-US"/>
              </w:rPr>
            </w:pPr>
          </w:p>
        </w:tc>
      </w:tr>
      <w:tr>
        <w:tblPrEx>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0.00</w:t>
            </w:r>
            <w:bookmarkEnd w:id="24"/>
          </w:p>
        </w:tc>
        <w:tc>
          <w:tcPr>
            <w:tcW w:w="877" w:type="pct"/>
            <w:vAlign w:val="center"/>
          </w:tcPr>
          <w:p>
            <w:pPr>
              <w:ind w:firstLine="0" w:firstLineChars="0"/>
              <w:jc w:val="center"/>
              <w:rPr>
                <w:lang w:val="en-US"/>
              </w:rPr>
            </w:pPr>
            <w:r>
              <w:rPr>
                <w:rFonts w:hint="eastAsia"/>
                <w:lang w:val="en-US"/>
              </w:rPr>
              <w:t>0.00</w:t>
            </w:r>
            <w:bookmarkEnd w:id="2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1.91</w:t>
            </w:r>
            <w:bookmarkEnd w:id="26"/>
          </w:p>
        </w:tc>
        <w:tc>
          <w:tcPr>
            <w:tcW w:w="877" w:type="pct"/>
            <w:vAlign w:val="center"/>
          </w:tcPr>
          <w:p>
            <w:pPr>
              <w:ind w:firstLine="0" w:firstLineChars="0"/>
              <w:jc w:val="center"/>
              <w:rPr>
                <w:lang w:val="en-US"/>
              </w:rPr>
            </w:pPr>
            <w:r>
              <w:rPr>
                <w:rFonts w:hint="eastAsia"/>
                <w:lang w:val="en-US"/>
              </w:rPr>
              <w:t>1.92</w:t>
            </w:r>
            <w:bookmarkEnd w:id="2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空调系统电耗</w:t>
            </w:r>
          </w:p>
        </w:tc>
        <w:tc>
          <w:tcPr>
            <w:tcW w:w="877" w:type="pct"/>
            <w:vAlign w:val="center"/>
          </w:tcPr>
          <w:p>
            <w:pPr>
              <w:ind w:firstLine="0" w:firstLineChars="0"/>
              <w:jc w:val="center"/>
              <w:rPr>
                <w:lang w:val="en-US"/>
              </w:rPr>
            </w:pPr>
            <w:r>
              <w:rPr>
                <w:rFonts w:hint="eastAsia"/>
                <w:lang w:val="en-US"/>
              </w:rPr>
              <w:t>3.91</w:t>
            </w:r>
            <w:bookmarkEnd w:id="28"/>
          </w:p>
        </w:tc>
        <w:tc>
          <w:tcPr>
            <w:tcW w:w="877" w:type="pct"/>
            <w:vAlign w:val="center"/>
          </w:tcPr>
          <w:p>
            <w:pPr>
              <w:ind w:firstLine="0" w:firstLineChars="0"/>
              <w:jc w:val="center"/>
              <w:rPr>
                <w:lang w:val="en-US"/>
              </w:rPr>
            </w:pPr>
            <w:r>
              <w:rPr>
                <w:rFonts w:hint="eastAsia"/>
                <w:lang w:val="en-US"/>
              </w:rPr>
              <w:t>6.88</w:t>
            </w:r>
          </w:p>
        </w:tc>
        <w:tc>
          <w:tcPr>
            <w:tcW w:w="960" w:type="pct"/>
            <w:vAlign w:val="center"/>
          </w:tcPr>
          <w:p>
            <w:pPr>
              <w:ind w:firstLine="0" w:firstLineChars="0"/>
              <w:jc w:val="center"/>
              <w:rPr>
                <w:lang w:val="en-US"/>
              </w:rPr>
            </w:pPr>
            <w:r>
              <w:rPr>
                <w:rFonts w:hint="eastAsia"/>
                <w:lang w:val="en-US"/>
              </w:rPr>
              <w:t>43.12%</w:t>
            </w:r>
            <w:bookmarkEnd w:id="29"/>
          </w:p>
        </w:tc>
      </w:tr>
    </w:tbl>
    <w:p/>
    <w:p>
      <w:pPr>
        <w:widowControl w:val="0"/>
        <w:jc w:val="both"/>
        <w:rPr>
          <w:kern w:val="2"/>
          <w:szCs w:val="24"/>
          <w:lang w:val="en-US"/>
        </w:rPr>
      </w:pPr>
    </w:p>
    <w:p>
      <w:pPr>
        <w:widowControl w:val="0"/>
        <w:jc w:val="center"/>
        <w:rPr>
          <w:kern w:val="2"/>
          <w:szCs w:val="24"/>
          <w:lang w:val="en-US"/>
        </w:rPr>
      </w:pPr>
    </w:p>
    <w:p/>
    <w:p>
      <w:pPr>
        <w:jc w:val="center"/>
      </w:pPr>
      <w:r>
        <w:drawing>
          <wp:inline distT="0" distB="0" distL="0" distR="0">
            <wp:extent cx="4943475" cy="4600575"/>
            <wp:effectExtent l="0" t="0" r="952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943994" cy="4601058"/>
                    </a:xfrm>
                    <a:prstGeom prst="rect">
                      <a:avLst/>
                    </a:prstGeom>
                  </pic:spPr>
                </pic:pic>
              </a:graphicData>
            </a:graphic>
          </wp:inline>
        </w:drawing>
      </w:r>
    </w:p>
    <w:p>
      <w:pPr>
        <w:jc w:val="center"/>
      </w:pPr>
      <w:r>
        <w:drawing>
          <wp:inline distT="0" distB="0" distL="0" distR="0">
            <wp:extent cx="4943475" cy="4600575"/>
            <wp:effectExtent l="0" t="0" r="9525" b="190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9"/>
                    <a:stretch>
                      <a:fillRect/>
                    </a:stretch>
                  </pic:blipFill>
                  <pic:spPr>
                    <a:xfrm>
                      <a:off x="0" y="0"/>
                      <a:ext cx="4943994" cy="4601058"/>
                    </a:xfrm>
                    <a:prstGeom prst="rect">
                      <a:avLst/>
                    </a:prstGeom>
                  </pic:spPr>
                </pic:pic>
              </a:graphicData>
            </a:graphic>
          </wp:inline>
        </w:drawing>
      </w:r>
    </w:p>
    <w:p>
      <w:pPr>
        <w:jc w:val="center"/>
      </w:pPr>
      <w:r>
        <w:drawing>
          <wp:inline distT="0" distB="0" distL="0" distR="0">
            <wp:extent cx="5667375" cy="4238625"/>
            <wp:effectExtent l="0" t="0" r="1905" b="133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bookmarkStart w:id="65" w:name="_GoBack"/>
      <w:bookmarkEnd w:id="65"/>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60" w:name="_Toc21958"/>
      <w:r>
        <w:t>附录</w:t>
      </w:r>
      <w:bookmarkEnd w:id="60"/>
    </w:p>
    <w:p>
      <w:pPr>
        <w:jc w:val="both"/>
      </w:pPr>
    </w:p>
    <w:p>
      <w:r>
        <w:t>暑假:7.15~8.25; 寒假：1.15~3.1</w:t>
      </w:r>
    </w:p>
    <w:p>
      <w:pPr>
        <w:pStyle w:val="4"/>
      </w:pPr>
      <w:bookmarkStart w:id="61" w:name="_Toc26793"/>
      <w:r>
        <w:t>工作日/节假日人员逐时在室率(%)</w:t>
      </w:r>
      <w:bookmarkEnd w:id="61"/>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其他-休憩区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其他-展览厅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办公-开水间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宾馆-电梯间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62" w:name="_Toc17861"/>
      <w:r>
        <w:t>工作日/节假日照明开关时间表(%)</w:t>
      </w:r>
      <w:bookmarkEnd w:id="62"/>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其他-休憩区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其他-展览厅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办公-开水间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宾馆-电梯间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63" w:name="_Toc7314"/>
      <w:r>
        <w:t>工作日/节假日设备逐时使用率(%)</w:t>
      </w:r>
      <w:bookmarkEnd w:id="63"/>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其他-休憩区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其他-展览厅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其他-阅览室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办公-开水间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宾馆-电梯间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64" w:name="_Toc32633"/>
      <w:r>
        <w:t>工作日/节假日空调系统运行时间表(1:开,0:关)</w:t>
      </w:r>
      <w:bookmarkEnd w:id="64"/>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9488F"/>
    <w:rsid w:val="00037A4C"/>
    <w:rsid w:val="000B5101"/>
    <w:rsid w:val="000D5BDD"/>
    <w:rsid w:val="000E3614"/>
    <w:rsid w:val="000F7EF2"/>
    <w:rsid w:val="00122AE1"/>
    <w:rsid w:val="0014776A"/>
    <w:rsid w:val="0015024C"/>
    <w:rsid w:val="0015635C"/>
    <w:rsid w:val="001974C3"/>
    <w:rsid w:val="001F3761"/>
    <w:rsid w:val="00203A7D"/>
    <w:rsid w:val="00253598"/>
    <w:rsid w:val="002555B8"/>
    <w:rsid w:val="00256F4D"/>
    <w:rsid w:val="00295C74"/>
    <w:rsid w:val="00297DDF"/>
    <w:rsid w:val="002B09FA"/>
    <w:rsid w:val="0030437C"/>
    <w:rsid w:val="003121F7"/>
    <w:rsid w:val="00314D29"/>
    <w:rsid w:val="003B1303"/>
    <w:rsid w:val="003E0BD9"/>
    <w:rsid w:val="004B4FD9"/>
    <w:rsid w:val="004D230F"/>
    <w:rsid w:val="004D449D"/>
    <w:rsid w:val="00517BC7"/>
    <w:rsid w:val="005215FB"/>
    <w:rsid w:val="00534262"/>
    <w:rsid w:val="005755BA"/>
    <w:rsid w:val="005A5ADF"/>
    <w:rsid w:val="00694FCA"/>
    <w:rsid w:val="006E3B8E"/>
    <w:rsid w:val="007D7FC4"/>
    <w:rsid w:val="00847185"/>
    <w:rsid w:val="00883D6C"/>
    <w:rsid w:val="009677EB"/>
    <w:rsid w:val="00A32590"/>
    <w:rsid w:val="00A355BD"/>
    <w:rsid w:val="00A471F7"/>
    <w:rsid w:val="00AA47FE"/>
    <w:rsid w:val="00AA684C"/>
    <w:rsid w:val="00B41640"/>
    <w:rsid w:val="00B55B22"/>
    <w:rsid w:val="00B60841"/>
    <w:rsid w:val="00BA7FC5"/>
    <w:rsid w:val="00C63237"/>
    <w:rsid w:val="00C67445"/>
    <w:rsid w:val="00C67778"/>
    <w:rsid w:val="00C97E25"/>
    <w:rsid w:val="00CA1A81"/>
    <w:rsid w:val="00CB5E85"/>
    <w:rsid w:val="00CE28AA"/>
    <w:rsid w:val="00D04BAE"/>
    <w:rsid w:val="00D10A9B"/>
    <w:rsid w:val="00D40158"/>
    <w:rsid w:val="00D43C46"/>
    <w:rsid w:val="00D62A9A"/>
    <w:rsid w:val="00DB4CC2"/>
    <w:rsid w:val="00DC73AD"/>
    <w:rsid w:val="00DF470C"/>
    <w:rsid w:val="00E3135C"/>
    <w:rsid w:val="00E81ACD"/>
    <w:rsid w:val="00EE70BC"/>
    <w:rsid w:val="00F75DD1"/>
    <w:rsid w:val="00F82291"/>
    <w:rsid w:val="00F82AF0"/>
    <w:rsid w:val="00F90461"/>
    <w:rsid w:val="00FA4B87"/>
    <w:rsid w:val="00FF2243"/>
    <w:rsid w:val="0369488F"/>
    <w:rsid w:val="6ED6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13</Pages>
  <Words>6717</Words>
  <Characters>9158</Characters>
  <Lines>45</Lines>
  <Paragraphs>12</Paragraphs>
  <TotalTime>1</TotalTime>
  <ScaleCrop>false</ScaleCrop>
  <LinksUpToDate>false</LinksUpToDate>
  <CharactersWithSpaces>9337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2021-01-04T10:46:00Z</dcterms:created>
  <dc:creator>admin</dc:creator>
  <cp:lastModifiedBy>admin</cp:lastModifiedBy>
  <dcterms:modified xsi:type="dcterms:W3CDTF">2021-01-04T12:06:41Z</dcterms:modified>
  <dc:title>空调系统节能率计算书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