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6"/>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5"/>
              <w:tabs>
                <w:tab w:val="clear" w:pos="4153"/>
                <w:tab w:val="clear" w:pos="8306"/>
              </w:tabs>
              <w:snapToGrid/>
              <w:jc w:val="both"/>
              <w:rPr>
                <w:rFonts w:hint="default" w:ascii="宋体" w:hAnsi="宋体" w:eastAsia="宋体"/>
                <w:szCs w:val="21"/>
                <w:lang w:val="en-US" w:eastAsia="zh-CN"/>
              </w:rPr>
            </w:pPr>
            <w:bookmarkStart w:id="1" w:name="项目名称"/>
            <w:bookmarkEnd w:id="1"/>
            <w:r>
              <w:rPr>
                <w:rFonts w:hint="eastAsia" w:ascii="宋体" w:hAnsi="宋体"/>
                <w:szCs w:val="21"/>
                <w:lang w:val="en-US" w:eastAsia="zh-CN"/>
              </w:rPr>
              <w:t>壹</w:t>
            </w:r>
            <w:bookmarkStart w:id="46" w:name="_GoBack"/>
            <w:bookmarkEnd w:id="46"/>
            <w:r>
              <w:rPr>
                <w:rFonts w:hint="eastAsia" w:ascii="宋体" w:hAnsi="宋体"/>
                <w:szCs w:val="21"/>
                <w:lang w:val="en-US" w:eastAsia="zh-CN"/>
              </w:rPr>
              <w:t>号办公楼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rPr>
                <w:rFonts w:hint="eastAsia" w:ascii="宋体" w:hAnsi="宋体"/>
                <w:szCs w:val="21"/>
              </w:rPr>
              <w:t>湘潭</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hint="default" w:ascii="宋体" w:hAnsi="宋体" w:eastAsia="宋体"/>
                <w:szCs w:val="21"/>
                <w:lang w:val="en-US" w:eastAsia="zh-CN"/>
              </w:rPr>
            </w:pPr>
            <w:bookmarkStart w:id="3" w:name="建设单位"/>
            <w:bookmarkEnd w:id="3"/>
            <w:r>
              <w:rPr>
                <w:rFonts w:hint="eastAsia" w:ascii="宋体" w:hAnsi="宋体"/>
                <w:szCs w:val="21"/>
                <w:lang w:val="en-US" w:eastAsia="zh-CN"/>
              </w:rPr>
              <w:t>湖南城建职业技术学院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4" w:name="设计单位"/>
            <w:bookmarkEnd w:id="4"/>
            <w:r>
              <w:rPr>
                <w:rFonts w:hint="eastAsia" w:ascii="宋体" w:hAnsi="宋体"/>
                <w:szCs w:val="21"/>
                <w:lang w:val="en-US" w:eastAsia="zh-CN"/>
              </w:rPr>
              <w:t>湖南城建职业技术学院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黄鹏    文雅芝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欧阳斌  邹康翔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hint="default" w:ascii="宋体" w:hAnsi="宋体" w:eastAsia="宋体"/>
                <w:szCs w:val="21"/>
                <w:lang w:val="en-US" w:eastAsia="zh-CN"/>
              </w:rPr>
            </w:pPr>
            <w:r>
              <w:rPr>
                <w:rFonts w:hint="eastAsia" w:ascii="宋体" w:hAnsi="宋体"/>
                <w:szCs w:val="21"/>
                <w:lang w:val="en-US" w:eastAsia="zh-CN"/>
              </w:rPr>
              <w:t>刘娟    尹巧玲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5" w:name="报告日期"/>
            <w:r>
              <w:rPr>
                <w:rFonts w:ascii="宋体" w:hAnsi="宋体"/>
                <w:szCs w:val="21"/>
              </w:rPr>
              <w:t>202</w:t>
            </w:r>
            <w:r>
              <w:rPr>
                <w:rFonts w:hint="eastAsia" w:ascii="宋体" w:hAnsi="宋体"/>
                <w:szCs w:val="21"/>
                <w:lang w:val="en-US" w:eastAsia="zh-CN"/>
              </w:rPr>
              <w:t>0</w:t>
            </w:r>
            <w:r>
              <w:rPr>
                <w:rFonts w:ascii="宋体" w:hAnsi="宋体"/>
                <w:szCs w:val="21"/>
              </w:rPr>
              <w:t>年</w:t>
            </w:r>
            <w:r>
              <w:rPr>
                <w:rFonts w:hint="eastAsia" w:ascii="宋体" w:hAnsi="宋体"/>
                <w:szCs w:val="21"/>
                <w:lang w:val="en-US" w:eastAsia="zh-CN"/>
              </w:rPr>
              <w:t>12</w:t>
            </w:r>
            <w:r>
              <w:rPr>
                <w:rFonts w:ascii="宋体" w:hAnsi="宋体"/>
                <w:szCs w:val="21"/>
              </w:rPr>
              <w:t>月</w:t>
            </w:r>
            <w:r>
              <w:rPr>
                <w:rFonts w:hint="eastAsia" w:ascii="宋体" w:hAnsi="宋体"/>
                <w:szCs w:val="21"/>
                <w:lang w:val="en-US" w:eastAsia="zh-CN"/>
              </w:rPr>
              <w:t>28</w:t>
            </w:r>
            <w:r>
              <w:rPr>
                <w:rFonts w:ascii="宋体" w:hAnsi="宋体"/>
                <w:szCs w:val="21"/>
              </w:rPr>
              <w:t>日</w:t>
            </w:r>
            <w:bookmarkEnd w:id="5"/>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6" w:name="二维码"/>
      <w:bookmarkEnd w:id="6"/>
      <w:r>
        <w:rPr>
          <w:rFonts w:ascii="宋体" w:hAnsi="宋体"/>
          <w:lang w:val="en-US"/>
        </w:rPr>
        <w:drawing>
          <wp:inline distT="0" distB="0" distL="114300" distR="114300">
            <wp:extent cx="1513205" cy="1513205"/>
            <wp:effectExtent l="0" t="0" r="10795" b="10795"/>
            <wp:docPr id="1" name="图片 1" descr="v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en1"/>
                    <pic:cNvPicPr>
                      <a:picLocks noChangeAspect="1"/>
                    </pic:cNvPicPr>
                  </pic:nvPicPr>
                  <pic:blipFill>
                    <a:blip r:embed="rId4"/>
                    <a:stretch>
                      <a:fillRect/>
                    </a:stretch>
                  </pic:blipFill>
                  <pic:spPr>
                    <a:xfrm>
                      <a:off x="0" y="0"/>
                      <a:ext cx="1513205" cy="1513205"/>
                    </a:xfrm>
                    <a:prstGeom prst="rect">
                      <a:avLst/>
                    </a:prstGeom>
                    <a:noFill/>
                    <a:ln>
                      <a:noFill/>
                    </a:ln>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1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6" w:hRule="exact"/>
        </w:trPr>
        <w:tc>
          <w:tcPr>
            <w:tcW w:w="1800" w:type="dxa"/>
            <w:shd w:val="clear" w:color="auto" w:fill="E6E6E6"/>
            <w:vAlign w:val="center"/>
          </w:tcPr>
          <w:p>
            <w:pPr>
              <w:pStyle w:val="16"/>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780" w:type="dxa"/>
            <w:shd w:val="clear" w:color="auto" w:fill="auto"/>
            <w:vAlign w:val="center"/>
          </w:tcPr>
          <w:p>
            <w:pPr>
              <w:pStyle w:val="16"/>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北京绿建软件有限公司</w:t>
            </w:r>
          </w:p>
          <w:p>
            <w:pPr>
              <w:spacing w:line="240" w:lineRule="auto"/>
              <w:jc w:val="both"/>
              <w:rPr>
                <w:rFonts w:ascii="宋体" w:hAnsi="宋体"/>
                <w:szCs w:val="18"/>
              </w:rPr>
            </w:pPr>
            <w:r>
              <w:rPr>
                <w:rFonts w:hint="eastAsia" w:ascii="宋体" w:hAnsi="宋体"/>
                <w:szCs w:val="18"/>
              </w:rPr>
              <w:t>深圳市斯维尔科技有限公司</w:t>
            </w:r>
          </w:p>
        </w:tc>
      </w:tr>
    </w:tbl>
    <w:p>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pPr>
        <w:pStyle w:val="17"/>
        <w:rPr>
          <w:rFonts w:ascii="等线" w:hAnsi="等线" w:eastAsia="等线"/>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"_Toc60688000" </w:instrText>
      </w:r>
      <w:r>
        <w:fldChar w:fldCharType="separate"/>
      </w:r>
      <w:r>
        <w:rPr>
          <w:rStyle w:val="22"/>
        </w:rPr>
        <w:t>1</w:t>
      </w:r>
      <w:r>
        <w:rPr>
          <w:rFonts w:ascii="等线" w:hAnsi="等线" w:eastAsia="等线"/>
          <w:b w:val="0"/>
          <w:bCs w:val="0"/>
          <w:szCs w:val="22"/>
        </w:rPr>
        <w:tab/>
      </w:r>
      <w:r>
        <w:rPr>
          <w:rStyle w:val="22"/>
        </w:rPr>
        <w:t>项目概况</w:t>
      </w:r>
      <w:r>
        <w:tab/>
      </w:r>
      <w:r>
        <w:fldChar w:fldCharType="begin"/>
      </w:r>
      <w:r>
        <w:instrText xml:space="preserve"> PAGEREF _Toc60688000 \h </w:instrText>
      </w:r>
      <w:r>
        <w:fldChar w:fldCharType="separate"/>
      </w:r>
      <w:r>
        <w:t>3</w:t>
      </w:r>
      <w:r>
        <w:fldChar w:fldCharType="end"/>
      </w:r>
      <w:r>
        <w:fldChar w:fldCharType="end"/>
      </w:r>
    </w:p>
    <w:p>
      <w:pPr>
        <w:pStyle w:val="18"/>
        <w:rPr>
          <w:rFonts w:ascii="等线" w:hAnsi="等线" w:eastAsia="等线"/>
          <w:szCs w:val="22"/>
        </w:rPr>
      </w:pPr>
      <w:r>
        <w:fldChar w:fldCharType="begin"/>
      </w:r>
      <w:r>
        <w:instrText xml:space="preserve"> HYPERLINK \l "_Toc60688001" </w:instrText>
      </w:r>
      <w:r>
        <w:fldChar w:fldCharType="separate"/>
      </w:r>
      <w:r>
        <w:rPr>
          <w:rStyle w:val="22"/>
          <w:lang w:val="en-GB"/>
        </w:rPr>
        <w:t>1.1</w:t>
      </w:r>
      <w:r>
        <w:rPr>
          <w:rFonts w:ascii="等线" w:hAnsi="等线" w:eastAsia="等线"/>
          <w:szCs w:val="22"/>
        </w:rPr>
        <w:tab/>
      </w:r>
      <w:r>
        <w:rPr>
          <w:rStyle w:val="22"/>
        </w:rPr>
        <w:t>总平面图</w:t>
      </w:r>
      <w:r>
        <w:tab/>
      </w:r>
      <w:r>
        <w:fldChar w:fldCharType="begin"/>
      </w:r>
      <w:r>
        <w:instrText xml:space="preserve"> PAGEREF _Toc60688001 \h </w:instrText>
      </w:r>
      <w:r>
        <w:fldChar w:fldCharType="separate"/>
      </w:r>
      <w:r>
        <w:t>4</w:t>
      </w:r>
      <w:r>
        <w:fldChar w:fldCharType="end"/>
      </w:r>
      <w:r>
        <w:fldChar w:fldCharType="end"/>
      </w:r>
    </w:p>
    <w:p>
      <w:pPr>
        <w:pStyle w:val="18"/>
        <w:rPr>
          <w:rFonts w:ascii="等线" w:hAnsi="等线" w:eastAsia="等线"/>
          <w:szCs w:val="22"/>
        </w:rPr>
      </w:pPr>
      <w:r>
        <w:fldChar w:fldCharType="begin"/>
      </w:r>
      <w:r>
        <w:instrText xml:space="preserve"> HYPERLINK \l "_Toc60688002" </w:instrText>
      </w:r>
      <w:r>
        <w:fldChar w:fldCharType="separate"/>
      </w:r>
      <w:r>
        <w:rPr>
          <w:rStyle w:val="22"/>
          <w:lang w:val="en-GB"/>
        </w:rPr>
        <w:t>1.2</w:t>
      </w:r>
      <w:r>
        <w:rPr>
          <w:rFonts w:ascii="等线" w:hAnsi="等线" w:eastAsia="等线"/>
          <w:szCs w:val="22"/>
        </w:rPr>
        <w:tab/>
      </w:r>
      <w:r>
        <w:rPr>
          <w:rStyle w:val="22"/>
        </w:rPr>
        <w:t>三维视图</w:t>
      </w:r>
      <w:r>
        <w:tab/>
      </w:r>
      <w:r>
        <w:fldChar w:fldCharType="begin"/>
      </w:r>
      <w:r>
        <w:instrText xml:space="preserve"> PAGEREF _Toc60688002 \h </w:instrText>
      </w:r>
      <w:r>
        <w:fldChar w:fldCharType="separate"/>
      </w:r>
      <w:r>
        <w:t>5</w:t>
      </w:r>
      <w:r>
        <w:fldChar w:fldCharType="end"/>
      </w:r>
      <w:r>
        <w:fldChar w:fldCharType="end"/>
      </w:r>
    </w:p>
    <w:p>
      <w:pPr>
        <w:pStyle w:val="17"/>
        <w:rPr>
          <w:rFonts w:ascii="等线" w:hAnsi="等线" w:eastAsia="等线"/>
          <w:b w:val="0"/>
          <w:bCs w:val="0"/>
          <w:szCs w:val="22"/>
        </w:rPr>
      </w:pPr>
      <w:r>
        <w:fldChar w:fldCharType="begin"/>
      </w:r>
      <w:r>
        <w:instrText xml:space="preserve"> HYPERLINK \l "_Toc60688003" </w:instrText>
      </w:r>
      <w:r>
        <w:fldChar w:fldCharType="separate"/>
      </w:r>
      <w:r>
        <w:rPr>
          <w:rStyle w:val="22"/>
        </w:rPr>
        <w:t>2</w:t>
      </w:r>
      <w:r>
        <w:rPr>
          <w:rFonts w:ascii="等线" w:hAnsi="等线" w:eastAsia="等线"/>
          <w:b w:val="0"/>
          <w:bCs w:val="0"/>
          <w:szCs w:val="22"/>
        </w:rPr>
        <w:tab/>
      </w:r>
      <w:r>
        <w:rPr>
          <w:rStyle w:val="22"/>
        </w:rPr>
        <w:t>计算依据</w:t>
      </w:r>
      <w:r>
        <w:tab/>
      </w:r>
      <w:r>
        <w:fldChar w:fldCharType="begin"/>
      </w:r>
      <w:r>
        <w:instrText xml:space="preserve"> PAGEREF _Toc60688003 \h </w:instrText>
      </w:r>
      <w:r>
        <w:fldChar w:fldCharType="separate"/>
      </w:r>
      <w:r>
        <w:t>6</w:t>
      </w:r>
      <w:r>
        <w:fldChar w:fldCharType="end"/>
      </w:r>
      <w:r>
        <w:fldChar w:fldCharType="end"/>
      </w:r>
    </w:p>
    <w:p>
      <w:pPr>
        <w:pStyle w:val="17"/>
        <w:rPr>
          <w:rFonts w:ascii="等线" w:hAnsi="等线" w:eastAsia="等线"/>
          <w:b w:val="0"/>
          <w:bCs w:val="0"/>
          <w:szCs w:val="22"/>
        </w:rPr>
      </w:pPr>
      <w:r>
        <w:fldChar w:fldCharType="begin"/>
      </w:r>
      <w:r>
        <w:instrText xml:space="preserve"> HYPERLINK \l "_Toc60688004" </w:instrText>
      </w:r>
      <w:r>
        <w:fldChar w:fldCharType="separate"/>
      </w:r>
      <w:r>
        <w:rPr>
          <w:rStyle w:val="22"/>
        </w:rPr>
        <w:t>3</w:t>
      </w:r>
      <w:r>
        <w:rPr>
          <w:rFonts w:ascii="等线" w:hAnsi="等线" w:eastAsia="等线"/>
          <w:b w:val="0"/>
          <w:bCs w:val="0"/>
          <w:szCs w:val="22"/>
        </w:rPr>
        <w:tab/>
      </w:r>
      <w:r>
        <w:rPr>
          <w:rStyle w:val="22"/>
        </w:rPr>
        <w:t>参考标准</w:t>
      </w:r>
      <w:r>
        <w:tab/>
      </w:r>
      <w:r>
        <w:fldChar w:fldCharType="begin"/>
      </w:r>
      <w:r>
        <w:instrText xml:space="preserve"> PAGEREF _Toc60688004 \h </w:instrText>
      </w:r>
      <w:r>
        <w:fldChar w:fldCharType="separate"/>
      </w:r>
      <w:r>
        <w:t>6</w:t>
      </w:r>
      <w:r>
        <w:fldChar w:fldCharType="end"/>
      </w:r>
      <w:r>
        <w:fldChar w:fldCharType="end"/>
      </w:r>
    </w:p>
    <w:p>
      <w:pPr>
        <w:pStyle w:val="17"/>
        <w:rPr>
          <w:rFonts w:ascii="等线" w:hAnsi="等线" w:eastAsia="等线"/>
          <w:b w:val="0"/>
          <w:bCs w:val="0"/>
          <w:szCs w:val="22"/>
        </w:rPr>
      </w:pPr>
      <w:r>
        <w:fldChar w:fldCharType="begin"/>
      </w:r>
      <w:r>
        <w:instrText xml:space="preserve"> HYPERLINK \l "_Toc60688005" </w:instrText>
      </w:r>
      <w:r>
        <w:fldChar w:fldCharType="separate"/>
      </w:r>
      <w:r>
        <w:rPr>
          <w:rStyle w:val="22"/>
        </w:rPr>
        <w:t>4</w:t>
      </w:r>
      <w:r>
        <w:rPr>
          <w:rFonts w:ascii="等线" w:hAnsi="等线" w:eastAsia="等线"/>
          <w:b w:val="0"/>
          <w:bCs w:val="0"/>
          <w:szCs w:val="22"/>
        </w:rPr>
        <w:tab/>
      </w:r>
      <w:r>
        <w:rPr>
          <w:rStyle w:val="22"/>
        </w:rPr>
        <w:t>计算原理</w:t>
      </w:r>
      <w:r>
        <w:tab/>
      </w:r>
      <w:r>
        <w:fldChar w:fldCharType="begin"/>
      </w:r>
      <w:r>
        <w:instrText xml:space="preserve"> PAGEREF _Toc60688005 \h </w:instrText>
      </w:r>
      <w:r>
        <w:fldChar w:fldCharType="separate"/>
      </w:r>
      <w:r>
        <w:t>6</w:t>
      </w:r>
      <w:r>
        <w:fldChar w:fldCharType="end"/>
      </w:r>
      <w:r>
        <w:fldChar w:fldCharType="end"/>
      </w:r>
    </w:p>
    <w:p>
      <w:pPr>
        <w:pStyle w:val="18"/>
        <w:rPr>
          <w:rFonts w:ascii="等线" w:hAnsi="等线" w:eastAsia="等线"/>
          <w:szCs w:val="22"/>
        </w:rPr>
      </w:pPr>
      <w:r>
        <w:fldChar w:fldCharType="begin"/>
      </w:r>
      <w:r>
        <w:instrText xml:space="preserve"> HYPERLINK \l "_Toc60688006" </w:instrText>
      </w:r>
      <w:r>
        <w:fldChar w:fldCharType="separate"/>
      </w:r>
      <w:r>
        <w:rPr>
          <w:rStyle w:val="22"/>
          <w:lang w:val="en-GB"/>
        </w:rPr>
        <w:t>4.1</w:t>
      </w:r>
      <w:r>
        <w:rPr>
          <w:rFonts w:ascii="等线" w:hAnsi="等线" w:eastAsia="等线"/>
          <w:szCs w:val="22"/>
        </w:rPr>
        <w:tab/>
      </w:r>
      <w:r>
        <w:rPr>
          <w:rStyle w:val="22"/>
        </w:rPr>
        <w:t>湍流模型</w:t>
      </w:r>
      <w:r>
        <w:tab/>
      </w:r>
      <w:r>
        <w:fldChar w:fldCharType="begin"/>
      </w:r>
      <w:r>
        <w:instrText xml:space="preserve"> PAGEREF _Toc60688006 \h </w:instrText>
      </w:r>
      <w:r>
        <w:fldChar w:fldCharType="separate"/>
      </w:r>
      <w:r>
        <w:t>6</w:t>
      </w:r>
      <w:r>
        <w:fldChar w:fldCharType="end"/>
      </w:r>
      <w:r>
        <w:fldChar w:fldCharType="end"/>
      </w:r>
    </w:p>
    <w:p>
      <w:pPr>
        <w:pStyle w:val="18"/>
        <w:rPr>
          <w:rFonts w:ascii="等线" w:hAnsi="等线" w:eastAsia="等线"/>
          <w:szCs w:val="22"/>
        </w:rPr>
      </w:pPr>
      <w:r>
        <w:fldChar w:fldCharType="begin"/>
      </w:r>
      <w:r>
        <w:instrText xml:space="preserve"> HYPERLINK \l "_Toc60688007" </w:instrText>
      </w:r>
      <w:r>
        <w:fldChar w:fldCharType="separate"/>
      </w:r>
      <w:r>
        <w:rPr>
          <w:rStyle w:val="22"/>
          <w:lang w:val="en-GB"/>
        </w:rPr>
        <w:t>4.2</w:t>
      </w:r>
      <w:r>
        <w:rPr>
          <w:rFonts w:ascii="等线" w:hAnsi="等线" w:eastAsia="等线"/>
          <w:szCs w:val="22"/>
        </w:rPr>
        <w:tab/>
      </w:r>
      <w:r>
        <w:rPr>
          <w:rStyle w:val="22"/>
        </w:rPr>
        <w:t>边界条件</w:t>
      </w:r>
      <w:r>
        <w:tab/>
      </w:r>
      <w:r>
        <w:fldChar w:fldCharType="begin"/>
      </w:r>
      <w:r>
        <w:instrText xml:space="preserve"> PAGEREF _Toc60688007 \h </w:instrText>
      </w:r>
      <w:r>
        <w:fldChar w:fldCharType="separate"/>
      </w:r>
      <w:r>
        <w:t>7</w:t>
      </w:r>
      <w:r>
        <w:fldChar w:fldCharType="end"/>
      </w:r>
      <w:r>
        <w:fldChar w:fldCharType="end"/>
      </w:r>
    </w:p>
    <w:p>
      <w:pPr>
        <w:pStyle w:val="18"/>
        <w:rPr>
          <w:rFonts w:ascii="等线" w:hAnsi="等线" w:eastAsia="等线"/>
          <w:szCs w:val="22"/>
        </w:rPr>
      </w:pPr>
      <w:r>
        <w:fldChar w:fldCharType="begin"/>
      </w:r>
      <w:r>
        <w:instrText xml:space="preserve"> HYPERLINK \l "_Toc60688008" </w:instrText>
      </w:r>
      <w:r>
        <w:fldChar w:fldCharType="separate"/>
      </w:r>
      <w:r>
        <w:rPr>
          <w:rStyle w:val="22"/>
          <w:lang w:val="en-GB"/>
        </w:rPr>
        <w:t>4.3</w:t>
      </w:r>
      <w:r>
        <w:rPr>
          <w:rFonts w:ascii="等线" w:hAnsi="等线" w:eastAsia="等线"/>
          <w:szCs w:val="22"/>
        </w:rPr>
        <w:tab/>
      </w:r>
      <w:r>
        <w:rPr>
          <w:rStyle w:val="22"/>
        </w:rPr>
        <w:t>求解计算</w:t>
      </w:r>
      <w:r>
        <w:tab/>
      </w:r>
      <w:r>
        <w:fldChar w:fldCharType="begin"/>
      </w:r>
      <w:r>
        <w:instrText xml:space="preserve"> PAGEREF _Toc60688008 \h </w:instrText>
      </w:r>
      <w:r>
        <w:fldChar w:fldCharType="separate"/>
      </w:r>
      <w:r>
        <w:t>7</w:t>
      </w:r>
      <w:r>
        <w:fldChar w:fldCharType="end"/>
      </w:r>
      <w:r>
        <w:fldChar w:fldCharType="end"/>
      </w:r>
    </w:p>
    <w:p>
      <w:pPr>
        <w:pStyle w:val="17"/>
        <w:rPr>
          <w:rFonts w:ascii="等线" w:hAnsi="等线" w:eastAsia="等线"/>
          <w:b w:val="0"/>
          <w:bCs w:val="0"/>
          <w:szCs w:val="22"/>
        </w:rPr>
      </w:pPr>
      <w:r>
        <w:fldChar w:fldCharType="begin"/>
      </w:r>
      <w:r>
        <w:instrText xml:space="preserve"> HYPERLINK \l "_Toc60688009" </w:instrText>
      </w:r>
      <w:r>
        <w:fldChar w:fldCharType="separate"/>
      </w:r>
      <w:r>
        <w:rPr>
          <w:rStyle w:val="22"/>
        </w:rPr>
        <w:t>5</w:t>
      </w:r>
      <w:r>
        <w:rPr>
          <w:rFonts w:ascii="等线" w:hAnsi="等线" w:eastAsia="等线"/>
          <w:b w:val="0"/>
          <w:bCs w:val="0"/>
          <w:szCs w:val="22"/>
        </w:rPr>
        <w:tab/>
      </w:r>
      <w:r>
        <w:rPr>
          <w:rStyle w:val="22"/>
        </w:rPr>
        <w:t>结果分析</w:t>
      </w:r>
      <w:r>
        <w:tab/>
      </w:r>
      <w:r>
        <w:fldChar w:fldCharType="begin"/>
      </w:r>
      <w:r>
        <w:instrText xml:space="preserve"> PAGEREF _Toc60688009 \h </w:instrText>
      </w:r>
      <w:r>
        <w:fldChar w:fldCharType="separate"/>
      </w:r>
      <w:r>
        <w:t>8</w:t>
      </w:r>
      <w:r>
        <w:fldChar w:fldCharType="end"/>
      </w:r>
      <w:r>
        <w:fldChar w:fldCharType="end"/>
      </w:r>
    </w:p>
    <w:p>
      <w:pPr>
        <w:pStyle w:val="18"/>
        <w:rPr>
          <w:rFonts w:ascii="等线" w:hAnsi="等线" w:eastAsia="等线"/>
          <w:szCs w:val="22"/>
        </w:rPr>
      </w:pPr>
      <w:r>
        <w:fldChar w:fldCharType="begin"/>
      </w:r>
      <w:r>
        <w:instrText xml:space="preserve"> HYPERLINK \l "_Toc60688010" </w:instrText>
      </w:r>
      <w:r>
        <w:fldChar w:fldCharType="separate"/>
      </w:r>
      <w:r>
        <w:rPr>
          <w:rStyle w:val="22"/>
          <w:lang w:val="en-GB"/>
        </w:rPr>
        <w:t>5.1</w:t>
      </w:r>
      <w:r>
        <w:rPr>
          <w:rFonts w:ascii="等线" w:hAnsi="等线" w:eastAsia="等线"/>
          <w:szCs w:val="22"/>
        </w:rPr>
        <w:tab/>
      </w:r>
      <w:r>
        <w:rPr>
          <w:rStyle w:val="22"/>
        </w:rPr>
        <w:t>冬季</w:t>
      </w:r>
      <w:r>
        <w:tab/>
      </w:r>
      <w:r>
        <w:fldChar w:fldCharType="begin"/>
      </w:r>
      <w:r>
        <w:instrText xml:space="preserve"> PAGEREF _Toc60688010 \h </w:instrText>
      </w:r>
      <w:r>
        <w:fldChar w:fldCharType="separate"/>
      </w:r>
      <w:r>
        <w:t>9</w:t>
      </w:r>
      <w:r>
        <w:fldChar w:fldCharType="end"/>
      </w:r>
      <w:r>
        <w:fldChar w:fldCharType="end"/>
      </w:r>
    </w:p>
    <w:p>
      <w:pPr>
        <w:pStyle w:val="14"/>
        <w:rPr>
          <w:rFonts w:ascii="等线" w:hAnsi="等线" w:eastAsia="等线"/>
          <w:szCs w:val="22"/>
        </w:rPr>
      </w:pPr>
      <w:r>
        <w:fldChar w:fldCharType="begin"/>
      </w:r>
      <w:r>
        <w:instrText xml:space="preserve"> HYPERLINK \l "_Toc60688011" </w:instrText>
      </w:r>
      <w:r>
        <w:fldChar w:fldCharType="separate"/>
      </w:r>
      <w:r>
        <w:rPr>
          <w:rStyle w:val="22"/>
          <w:lang w:val="en-GB"/>
        </w:rPr>
        <w:t>5.1.1</w:t>
      </w:r>
      <w:r>
        <w:rPr>
          <w:rFonts w:ascii="等线" w:hAnsi="等线" w:eastAsia="等线"/>
          <w:szCs w:val="22"/>
        </w:rPr>
        <w:tab/>
      </w:r>
      <w:r>
        <w:rPr>
          <w:rStyle w:val="22"/>
        </w:rPr>
        <w:t>人行高度处风场分析</w:t>
      </w:r>
      <w:r>
        <w:tab/>
      </w:r>
      <w:r>
        <w:fldChar w:fldCharType="begin"/>
      </w:r>
      <w:r>
        <w:instrText xml:space="preserve"> PAGEREF _Toc60688011 \h </w:instrText>
      </w:r>
      <w:r>
        <w:fldChar w:fldCharType="separate"/>
      </w:r>
      <w:r>
        <w:t>9</w:t>
      </w:r>
      <w:r>
        <w:fldChar w:fldCharType="end"/>
      </w:r>
      <w:r>
        <w:fldChar w:fldCharType="end"/>
      </w:r>
    </w:p>
    <w:p>
      <w:pPr>
        <w:pStyle w:val="14"/>
        <w:rPr>
          <w:rFonts w:ascii="等线" w:hAnsi="等线" w:eastAsia="等线"/>
          <w:szCs w:val="22"/>
        </w:rPr>
      </w:pPr>
      <w:r>
        <w:fldChar w:fldCharType="begin"/>
      </w:r>
      <w:r>
        <w:instrText xml:space="preserve"> HYPERLINK \l "_Toc60688012" </w:instrText>
      </w:r>
      <w:r>
        <w:fldChar w:fldCharType="separate"/>
      </w:r>
      <w:r>
        <w:rPr>
          <w:rStyle w:val="22"/>
          <w:lang w:val="en-GB"/>
        </w:rPr>
        <w:t>5.1.2</w:t>
      </w:r>
      <w:r>
        <w:rPr>
          <w:rFonts w:ascii="等线" w:hAnsi="等线" w:eastAsia="等线"/>
          <w:szCs w:val="22"/>
        </w:rPr>
        <w:tab/>
      </w:r>
      <w:r>
        <w:rPr>
          <w:rStyle w:val="22"/>
        </w:rPr>
        <w:t>建筑迎风面和背风面风压分析</w:t>
      </w:r>
      <w:r>
        <w:tab/>
      </w:r>
      <w:r>
        <w:fldChar w:fldCharType="begin"/>
      </w:r>
      <w:r>
        <w:instrText xml:space="preserve"> PAGEREF _Toc60688012 \h </w:instrText>
      </w:r>
      <w:r>
        <w:fldChar w:fldCharType="separate"/>
      </w:r>
      <w:r>
        <w:t>11</w:t>
      </w:r>
      <w:r>
        <w:fldChar w:fldCharType="end"/>
      </w:r>
      <w:r>
        <w:fldChar w:fldCharType="end"/>
      </w:r>
    </w:p>
    <w:p>
      <w:pPr>
        <w:pStyle w:val="18"/>
        <w:rPr>
          <w:rFonts w:ascii="等线" w:hAnsi="等线" w:eastAsia="等线"/>
          <w:szCs w:val="22"/>
        </w:rPr>
      </w:pPr>
      <w:r>
        <w:fldChar w:fldCharType="begin"/>
      </w:r>
      <w:r>
        <w:instrText xml:space="preserve"> HYPERLINK \l "_Toc60688013" </w:instrText>
      </w:r>
      <w:r>
        <w:fldChar w:fldCharType="separate"/>
      </w:r>
      <w:r>
        <w:rPr>
          <w:rStyle w:val="22"/>
          <w:lang w:val="en-GB"/>
        </w:rPr>
        <w:t>5.2</w:t>
      </w:r>
      <w:r>
        <w:rPr>
          <w:rFonts w:ascii="等线" w:hAnsi="等线" w:eastAsia="等线"/>
          <w:szCs w:val="22"/>
        </w:rPr>
        <w:tab/>
      </w:r>
      <w:r>
        <w:rPr>
          <w:rStyle w:val="22"/>
        </w:rPr>
        <w:t>夏季</w:t>
      </w:r>
      <w:r>
        <w:tab/>
      </w:r>
      <w:r>
        <w:fldChar w:fldCharType="begin"/>
      </w:r>
      <w:r>
        <w:instrText xml:space="preserve"> PAGEREF _Toc60688013 \h </w:instrText>
      </w:r>
      <w:r>
        <w:fldChar w:fldCharType="separate"/>
      </w:r>
      <w:r>
        <w:t>14</w:t>
      </w:r>
      <w:r>
        <w:fldChar w:fldCharType="end"/>
      </w:r>
      <w:r>
        <w:fldChar w:fldCharType="end"/>
      </w:r>
    </w:p>
    <w:p>
      <w:pPr>
        <w:pStyle w:val="14"/>
        <w:rPr>
          <w:rFonts w:ascii="等线" w:hAnsi="等线" w:eastAsia="等线"/>
          <w:szCs w:val="22"/>
        </w:rPr>
      </w:pPr>
      <w:r>
        <w:fldChar w:fldCharType="begin"/>
      </w:r>
      <w:r>
        <w:instrText xml:space="preserve"> HYPERLINK \l "_Toc60688014" </w:instrText>
      </w:r>
      <w:r>
        <w:fldChar w:fldCharType="separate"/>
      </w:r>
      <w:r>
        <w:rPr>
          <w:rStyle w:val="22"/>
          <w:lang w:val="en-GB"/>
        </w:rPr>
        <w:t>5.2.1</w:t>
      </w:r>
      <w:r>
        <w:rPr>
          <w:rFonts w:ascii="等线" w:hAnsi="等线" w:eastAsia="等线"/>
          <w:szCs w:val="22"/>
        </w:rPr>
        <w:tab/>
      </w:r>
      <w:r>
        <w:rPr>
          <w:rStyle w:val="22"/>
        </w:rPr>
        <w:t>人行高度处风场分析</w:t>
      </w:r>
      <w:r>
        <w:tab/>
      </w:r>
      <w:r>
        <w:fldChar w:fldCharType="begin"/>
      </w:r>
      <w:r>
        <w:instrText xml:space="preserve"> PAGEREF _Toc60688014 \h </w:instrText>
      </w:r>
      <w:r>
        <w:fldChar w:fldCharType="separate"/>
      </w:r>
      <w:r>
        <w:t>14</w:t>
      </w:r>
      <w:r>
        <w:fldChar w:fldCharType="end"/>
      </w:r>
      <w:r>
        <w:fldChar w:fldCharType="end"/>
      </w:r>
    </w:p>
    <w:p>
      <w:pPr>
        <w:pStyle w:val="14"/>
        <w:rPr>
          <w:rFonts w:ascii="等线" w:hAnsi="等线" w:eastAsia="等线"/>
          <w:szCs w:val="22"/>
        </w:rPr>
      </w:pPr>
      <w:r>
        <w:fldChar w:fldCharType="begin"/>
      </w:r>
      <w:r>
        <w:instrText xml:space="preserve"> HYPERLINK \l "_Toc60688015" </w:instrText>
      </w:r>
      <w:r>
        <w:fldChar w:fldCharType="separate"/>
      </w:r>
      <w:r>
        <w:rPr>
          <w:rStyle w:val="22"/>
          <w:lang w:val="en-GB"/>
        </w:rPr>
        <w:t>5.2.2</w:t>
      </w:r>
      <w:r>
        <w:rPr>
          <w:rFonts w:ascii="等线" w:hAnsi="等线" w:eastAsia="等线"/>
          <w:szCs w:val="22"/>
        </w:rPr>
        <w:tab/>
      </w:r>
      <w:r>
        <w:rPr>
          <w:rStyle w:val="22"/>
        </w:rPr>
        <w:t>外窗内外风压分析</w:t>
      </w:r>
      <w:r>
        <w:tab/>
      </w:r>
      <w:r>
        <w:fldChar w:fldCharType="begin"/>
      </w:r>
      <w:r>
        <w:instrText xml:space="preserve"> PAGEREF _Toc60688015 \h </w:instrText>
      </w:r>
      <w:r>
        <w:fldChar w:fldCharType="separate"/>
      </w:r>
      <w:r>
        <w:t>16</w:t>
      </w:r>
      <w:r>
        <w:fldChar w:fldCharType="end"/>
      </w:r>
      <w:r>
        <w:fldChar w:fldCharType="end"/>
      </w:r>
    </w:p>
    <w:p>
      <w:pPr>
        <w:pStyle w:val="18"/>
        <w:rPr>
          <w:rFonts w:ascii="等线" w:hAnsi="等线" w:eastAsia="等线"/>
          <w:szCs w:val="22"/>
        </w:rPr>
      </w:pPr>
      <w:r>
        <w:fldChar w:fldCharType="begin"/>
      </w:r>
      <w:r>
        <w:instrText xml:space="preserve"> HYPERLINK \l "_Toc60688016" </w:instrText>
      </w:r>
      <w:r>
        <w:fldChar w:fldCharType="separate"/>
      </w:r>
      <w:r>
        <w:rPr>
          <w:rStyle w:val="22"/>
          <w:lang w:val="en-GB"/>
        </w:rPr>
        <w:t>5.3</w:t>
      </w:r>
      <w:r>
        <w:rPr>
          <w:rFonts w:ascii="等线" w:hAnsi="等线" w:eastAsia="等线"/>
          <w:szCs w:val="22"/>
        </w:rPr>
        <w:tab/>
      </w:r>
      <w:r>
        <w:rPr>
          <w:rStyle w:val="22"/>
        </w:rPr>
        <w:t>结论</w:t>
      </w:r>
      <w:r>
        <w:tab/>
      </w:r>
      <w:r>
        <w:fldChar w:fldCharType="begin"/>
      </w:r>
      <w:r>
        <w:instrText xml:space="preserve"> PAGEREF _Toc60688016 \h </w:instrText>
      </w:r>
      <w:r>
        <w:fldChar w:fldCharType="separate"/>
      </w:r>
      <w:r>
        <w:t>17</w:t>
      </w:r>
      <w:r>
        <w:fldChar w:fldCharType="end"/>
      </w:r>
      <w:r>
        <w:fldChar w:fldCharType="end"/>
      </w:r>
    </w:p>
    <w:p>
      <w:pPr>
        <w:pStyle w:val="14"/>
        <w:rPr>
          <w:rFonts w:ascii="等线" w:hAnsi="等线" w:eastAsia="等线"/>
          <w:szCs w:val="22"/>
        </w:rPr>
      </w:pPr>
      <w:r>
        <w:fldChar w:fldCharType="begin"/>
      </w:r>
      <w:r>
        <w:instrText xml:space="preserve"> HYPERLINK \l "_Toc60688017" </w:instrText>
      </w:r>
      <w:r>
        <w:fldChar w:fldCharType="separate"/>
      </w:r>
      <w:r>
        <w:rPr>
          <w:rStyle w:val="22"/>
          <w:lang w:val="en-GB"/>
        </w:rPr>
        <w:t>5.3.1</w:t>
      </w:r>
      <w:r>
        <w:rPr>
          <w:rFonts w:ascii="等线" w:hAnsi="等线" w:eastAsia="等线"/>
          <w:szCs w:val="22"/>
        </w:rPr>
        <w:tab/>
      </w:r>
      <w:r>
        <w:rPr>
          <w:rStyle w:val="22"/>
        </w:rPr>
        <w:t>冬季</w:t>
      </w:r>
      <w:r>
        <w:tab/>
      </w:r>
      <w:r>
        <w:fldChar w:fldCharType="begin"/>
      </w:r>
      <w:r>
        <w:instrText xml:space="preserve"> PAGEREF _Toc60688017 \h </w:instrText>
      </w:r>
      <w:r>
        <w:fldChar w:fldCharType="separate"/>
      </w:r>
      <w:r>
        <w:t>17</w:t>
      </w:r>
      <w:r>
        <w:fldChar w:fldCharType="end"/>
      </w:r>
      <w:r>
        <w:fldChar w:fldCharType="end"/>
      </w:r>
    </w:p>
    <w:p>
      <w:pPr>
        <w:pStyle w:val="14"/>
        <w:rPr>
          <w:rFonts w:ascii="等线" w:hAnsi="等线" w:eastAsia="等线"/>
          <w:szCs w:val="22"/>
        </w:rPr>
      </w:pPr>
      <w:r>
        <w:fldChar w:fldCharType="begin"/>
      </w:r>
      <w:r>
        <w:instrText xml:space="preserve"> HYPERLINK \l "_Toc60688018" </w:instrText>
      </w:r>
      <w:r>
        <w:fldChar w:fldCharType="separate"/>
      </w:r>
      <w:r>
        <w:rPr>
          <w:rStyle w:val="22"/>
          <w:lang w:val="en-GB"/>
        </w:rPr>
        <w:t>5.3.2</w:t>
      </w:r>
      <w:r>
        <w:rPr>
          <w:rFonts w:ascii="等线" w:hAnsi="等线" w:eastAsia="等线"/>
          <w:szCs w:val="22"/>
        </w:rPr>
        <w:tab/>
      </w:r>
      <w:r>
        <w:rPr>
          <w:rStyle w:val="22"/>
        </w:rPr>
        <w:t>夏季</w:t>
      </w:r>
      <w:r>
        <w:tab/>
      </w:r>
      <w:r>
        <w:fldChar w:fldCharType="begin"/>
      </w:r>
      <w:r>
        <w:instrText xml:space="preserve"> PAGEREF _Toc60688018 \h </w:instrText>
      </w:r>
      <w:r>
        <w:fldChar w:fldCharType="separate"/>
      </w:r>
      <w:r>
        <w:t>17</w:t>
      </w:r>
      <w:r>
        <w:fldChar w:fldCharType="end"/>
      </w:r>
      <w:r>
        <w:fldChar w:fldCharType="end"/>
      </w:r>
    </w:p>
    <w:p>
      <w:pPr>
        <w:pStyle w:val="17"/>
        <w:sectPr>
          <w:pgSz w:w="11906" w:h="16838"/>
          <w:pgMar w:top="1440" w:right="1418" w:bottom="1440" w:left="1418" w:header="851" w:footer="992" w:gutter="0"/>
          <w:cols w:space="425" w:num="1"/>
          <w:docGrid w:type="lines" w:linePitch="312" w:charSpace="0"/>
        </w:sectPr>
      </w:pPr>
      <w:r>
        <w:fldChar w:fldCharType="end"/>
      </w:r>
    </w:p>
    <w:p>
      <w:pPr>
        <w:pStyle w:val="2"/>
      </w:pPr>
      <w:bookmarkStart w:id="7" w:name="_Toc452108759"/>
      <w:bookmarkStart w:id="8" w:name="_Toc60688000"/>
      <w:r>
        <w:rPr>
          <w:rFonts w:hint="eastAsia"/>
        </w:rPr>
        <w:t>项目概况</w:t>
      </w:r>
      <w:bookmarkEnd w:id="7"/>
      <w:bookmarkEnd w:id="8"/>
    </w:p>
    <w:p>
      <w:pPr>
        <w:pStyle w:val="3"/>
        <w:ind w:firstLine="420"/>
        <w:rPr>
          <w:lang w:val="en-US"/>
        </w:rPr>
      </w:pPr>
      <w:bookmarkStart w:id="9" w:name="项目概况"/>
      <w:bookmarkEnd w:id="9"/>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851" w:footer="238" w:gutter="0"/>
          <w:cols w:space="720" w:num="1"/>
          <w:docGrid w:type="linesAndChars" w:linePitch="312" w:charSpace="0"/>
        </w:sectPr>
      </w:pPr>
    </w:p>
    <w:p>
      <w:pPr>
        <w:pStyle w:val="4"/>
      </w:pPr>
      <w:bookmarkStart w:id="10" w:name="_Toc60688001"/>
      <w:bookmarkStart w:id="11" w:name="_Toc452108760"/>
      <w:r>
        <w:rPr>
          <w:rFonts w:hint="eastAsia"/>
        </w:rPr>
        <w:t>总</w:t>
      </w:r>
      <w:r>
        <w:t>平面图</w:t>
      </w:r>
      <w:bookmarkEnd w:id="10"/>
      <w:bookmarkEnd w:id="11"/>
    </w:p>
    <w:p>
      <w:pPr>
        <w:pStyle w:val="3"/>
        <w:keepNext/>
        <w:ind w:firstLine="420"/>
        <w:jc w:val="center"/>
      </w:pPr>
      <w:bookmarkStart w:id="12" w:name="总平面图"/>
      <w:bookmarkEnd w:id="12"/>
      <w:r>
        <w:rPr>
          <w:lang w:val="en-US"/>
        </w:rPr>
        <w:drawing>
          <wp:inline distT="0" distB="0" distL="114300" distR="114300">
            <wp:extent cx="9538335" cy="5360035"/>
            <wp:effectExtent l="0" t="0" r="1905" b="4445"/>
            <wp:docPr id="2" name="图片 2" descr="v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en1"/>
                    <pic:cNvPicPr>
                      <a:picLocks noChangeAspect="1"/>
                    </pic:cNvPicPr>
                  </pic:nvPicPr>
                  <pic:blipFill>
                    <a:blip r:embed="rId5"/>
                    <a:stretch>
                      <a:fillRect/>
                    </a:stretch>
                  </pic:blipFill>
                  <pic:spPr>
                    <a:xfrm>
                      <a:off x="0" y="0"/>
                      <a:ext cx="9538335" cy="5360035"/>
                    </a:xfrm>
                    <a:prstGeom prst="rect">
                      <a:avLst/>
                    </a:prstGeom>
                    <a:noFill/>
                    <a:ln>
                      <a:noFill/>
                    </a:ln>
                  </pic:spPr>
                </pic:pic>
              </a:graphicData>
            </a:graphic>
          </wp:inline>
        </w:drawing>
      </w:r>
    </w:p>
    <w:p>
      <w:pPr>
        <w:pStyle w:val="12"/>
        <w:jc w:val="center"/>
        <w:rPr>
          <w:lang w:val="en-US"/>
        </w:rP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总平面图</w:t>
      </w:r>
    </w:p>
    <w:p>
      <w:pPr>
        <w:pStyle w:val="3"/>
        <w:ind w:firstLine="420"/>
        <w:rPr>
          <w:lang w:val="en-US"/>
        </w:rPr>
        <w:sectPr>
          <w:pgSz w:w="16838" w:h="11906" w:orient="landscape"/>
          <w:pgMar w:top="709" w:right="820" w:bottom="1134" w:left="992" w:header="851" w:footer="238" w:gutter="0"/>
          <w:cols w:space="720" w:num="1"/>
          <w:docGrid w:type="linesAndChars" w:linePitch="312" w:charSpace="0"/>
        </w:sectPr>
      </w:pPr>
    </w:p>
    <w:p>
      <w:pPr>
        <w:pStyle w:val="4"/>
      </w:pPr>
      <w:bookmarkStart w:id="13" w:name="_Toc60688002"/>
      <w:bookmarkStart w:id="14" w:name="_Toc452108761"/>
      <w:r>
        <w:rPr>
          <w:rFonts w:hint="eastAsia"/>
        </w:rPr>
        <w:t>三</w:t>
      </w:r>
      <w:r>
        <w:t>维视图</w:t>
      </w:r>
      <w:bookmarkEnd w:id="13"/>
      <w:bookmarkEnd w:id="14"/>
    </w:p>
    <w:p>
      <w:pPr>
        <w:pStyle w:val="3"/>
        <w:keepNext/>
        <w:ind w:firstLine="420"/>
        <w:jc w:val="center"/>
      </w:pPr>
      <w:bookmarkStart w:id="15" w:name="东南视图"/>
      <w:bookmarkEnd w:id="15"/>
      <w:r>
        <w:rPr>
          <w:lang w:val="en-US"/>
        </w:rPr>
        <w:drawing>
          <wp:inline distT="0" distB="0" distL="114300" distR="114300">
            <wp:extent cx="9538335" cy="4855845"/>
            <wp:effectExtent l="0" t="0" r="1905" b="5715"/>
            <wp:docPr id="3" name="图片 3" descr="v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en1"/>
                    <pic:cNvPicPr>
                      <a:picLocks noChangeAspect="1"/>
                    </pic:cNvPicPr>
                  </pic:nvPicPr>
                  <pic:blipFill>
                    <a:blip r:embed="rId6"/>
                    <a:stretch>
                      <a:fillRect/>
                    </a:stretch>
                  </pic:blipFill>
                  <pic:spPr>
                    <a:xfrm>
                      <a:off x="0" y="0"/>
                      <a:ext cx="9538335" cy="4855845"/>
                    </a:xfrm>
                    <a:prstGeom prst="rect">
                      <a:avLst/>
                    </a:prstGeom>
                    <a:noFill/>
                    <a:ln>
                      <a:noFill/>
                    </a:ln>
                  </pic:spPr>
                </pic:pic>
              </a:graphicData>
            </a:graphic>
          </wp:inline>
        </w:drawing>
      </w:r>
    </w:p>
    <w:p>
      <w:pPr>
        <w:pStyle w:val="12"/>
        <w:jc w:val="center"/>
        <w:rPr>
          <w:lang w:val="en-US"/>
        </w:rP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东南视图</w:t>
      </w:r>
    </w:p>
    <w:p>
      <w:pPr>
        <w:pStyle w:val="3"/>
        <w:ind w:firstLine="0" w:firstLineChars="0"/>
        <w:rPr>
          <w:lang w:val="en-US"/>
        </w:rPr>
        <w:sectPr>
          <w:pgSz w:w="16838" w:h="11906" w:orient="landscape"/>
          <w:pgMar w:top="709" w:right="820" w:bottom="1134" w:left="992" w:header="851" w:footer="238" w:gutter="0"/>
          <w:cols w:space="720" w:num="1"/>
          <w:docGrid w:type="linesAndChars" w:linePitch="312" w:charSpace="0"/>
        </w:sectPr>
      </w:pPr>
    </w:p>
    <w:p>
      <w:pPr>
        <w:pStyle w:val="2"/>
      </w:pPr>
      <w:bookmarkStart w:id="16" w:name="_Toc452108762"/>
      <w:bookmarkStart w:id="17" w:name="_Toc60688003"/>
      <w:bookmarkStart w:id="18" w:name="TitleFormat"/>
      <w:r>
        <w:rPr>
          <w:rFonts w:hint="eastAsia"/>
        </w:rPr>
        <w:t>计算</w:t>
      </w:r>
      <w:r>
        <w:t>依据</w:t>
      </w:r>
      <w:bookmarkEnd w:id="16"/>
      <w:bookmarkEnd w:id="17"/>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50378—2014</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《绿色建筑评价技术细则》委托方提供的总平面图、建筑专业设计图纸、设计效果图等图纸资料</w:t>
      </w:r>
    </w:p>
    <w:p>
      <w:pPr>
        <w:pStyle w:val="3"/>
        <w:numPr>
          <w:ilvl w:val="0"/>
          <w:numId w:val="2"/>
        </w:numPr>
        <w:ind w:firstLineChars="0"/>
        <w:rPr>
          <w:lang w:val="en-US"/>
        </w:rPr>
      </w:pPr>
      <w:r>
        <w:rPr>
          <w:rFonts w:hint="eastAsia"/>
          <w:lang w:val="en-US"/>
        </w:rPr>
        <w:t>《民用建筑设计通则》GB 50352—2005</w:t>
      </w:r>
    </w:p>
    <w:p>
      <w:pPr>
        <w:pStyle w:val="3"/>
        <w:numPr>
          <w:ilvl w:val="0"/>
          <w:numId w:val="2"/>
        </w:numPr>
        <w:ind w:firstLineChars="0"/>
        <w:rPr>
          <w:lang w:val="en-US"/>
        </w:rPr>
      </w:pPr>
      <w:r>
        <w:rPr>
          <w:rFonts w:hint="eastAsia"/>
          <w:lang w:val="en-US"/>
        </w:rPr>
        <w:t>委托方提供的其他相关资料</w:t>
      </w:r>
    </w:p>
    <w:p>
      <w:pPr>
        <w:pStyle w:val="2"/>
      </w:pPr>
      <w:bookmarkStart w:id="19" w:name="_Toc452108763"/>
      <w:bookmarkStart w:id="20" w:name="_Toc60688004"/>
      <w:r>
        <w:rPr>
          <w:rFonts w:hint="eastAsia"/>
        </w:rPr>
        <w:t>参考</w:t>
      </w:r>
      <w:r>
        <w:t>标准</w:t>
      </w:r>
      <w:bookmarkEnd w:id="19"/>
      <w:bookmarkEnd w:id="20"/>
    </w:p>
    <w:p>
      <w:pPr>
        <w:pStyle w:val="3"/>
        <w:ind w:firstLine="420"/>
        <w:rPr>
          <w:lang w:val="en-US"/>
        </w:rPr>
      </w:pPr>
      <w:r>
        <w:rPr>
          <w:rFonts w:hint="eastAsia"/>
          <w:lang w:val="en-US"/>
        </w:rPr>
        <w:t>室外风环境评价依据为《绿色建筑评价标准》（GB/T 50378-2014）中有关室外风环境的条目要求。具体要求如下：</w:t>
      </w:r>
    </w:p>
    <w:p>
      <w:pPr>
        <w:pStyle w:val="3"/>
        <w:ind w:firstLine="420"/>
        <w:rPr>
          <w:lang w:val="en-US"/>
        </w:rPr>
      </w:pPr>
      <w:bookmarkStart w:id="21" w:name="_Toc451698935"/>
      <w:bookmarkStart w:id="22" w:name="_Toc452108764"/>
      <w:bookmarkStart w:id="23" w:name="_Toc451436145"/>
      <w:r>
        <w:rPr>
          <w:rFonts w:hint="eastAsia"/>
          <w:lang w:val="en-US"/>
        </w:rPr>
        <w:t>4.2.6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冬季典型风速和风向条件下，建筑物周围人行区风速低于5m/s，且室外风速放大系数小于2，得2分；除迎风第一排建筑外，建筑迎风面与背风面表面风压差不超过5Pa，再得1分。</w:t>
      </w:r>
    </w:p>
    <w:p>
      <w:pPr>
        <w:pStyle w:val="3"/>
        <w:ind w:firstLine="420"/>
        <w:rPr>
          <w:lang w:val="en-US"/>
        </w:rPr>
      </w:pPr>
      <w:r>
        <w:rPr>
          <w:rFonts w:hint="eastAsia"/>
          <w:lang w:val="en-US"/>
        </w:rPr>
        <w:t>2  过渡季、夏季典型风速和风向条件下，场地内人活动区不出现涡旋或无风区，得2分；50%以上可开启外窗室内外表面的风压差大于0.5Pa，得1分。</w:t>
      </w:r>
    </w:p>
    <w:p>
      <w:pPr>
        <w:pStyle w:val="2"/>
      </w:pPr>
      <w:bookmarkStart w:id="24" w:name="_Toc60688005"/>
      <w:r>
        <w:rPr>
          <w:rFonts w:hint="eastAsia"/>
        </w:rPr>
        <w:t>计算原理</w:t>
      </w:r>
      <w:bookmarkEnd w:id="21"/>
      <w:bookmarkEnd w:id="22"/>
      <w:bookmarkEnd w:id="24"/>
    </w:p>
    <w:p>
      <w:pPr>
        <w:pStyle w:val="4"/>
        <w:numPr>
          <w:ilvl w:val="1"/>
          <w:numId w:val="3"/>
        </w:numPr>
      </w:pPr>
      <w:bookmarkStart w:id="25" w:name="_Toc60688006"/>
      <w:bookmarkStart w:id="26" w:name="_Toc452108765"/>
      <w:bookmarkStart w:id="27" w:name="_Toc451698937"/>
      <w:r>
        <w:rPr>
          <w:rFonts w:hint="eastAsia"/>
        </w:rPr>
        <w:t>湍流模型</w:t>
      </w:r>
      <w:bookmarkEnd w:id="25"/>
      <w:bookmarkEnd w:id="26"/>
      <w:bookmarkEnd w:id="27"/>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420"/>
      </w:pPr>
      <w:r>
        <w:t xml:space="preserve">                   </w:t>
      </w:r>
      <w:r>
        <w:rPr>
          <w:rFonts w:hint="eastAsia"/>
        </w:rPr>
        <w:t>表</w:t>
      </w:r>
      <w:r>
        <w:t xml:space="preserve"> 1  </w:t>
      </w:r>
      <w:r>
        <w:rPr>
          <w:rFonts w:hint="eastAsia"/>
        </w:rPr>
        <w:t>常用湍流模型适用范围</w:t>
      </w:r>
    </w:p>
    <w:tbl>
      <w:tblPr>
        <w:tblStyle w:val="19"/>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28" w:name="_Toc451698938"/>
      <w:bookmarkStart w:id="29" w:name="_Toc60688007"/>
      <w:bookmarkStart w:id="30" w:name="_Toc452108766"/>
      <w:r>
        <w:rPr>
          <w:rFonts w:hint="eastAsia"/>
        </w:rPr>
        <w:t>边界条件</w:t>
      </w:r>
      <w:bookmarkEnd w:id="28"/>
      <w:bookmarkEnd w:id="29"/>
      <w:bookmarkEnd w:id="30"/>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rPr>
          <w:lang w:val="en-US"/>
        </w:rPr>
      </w:pPr>
      <w:r>
        <w:rPr>
          <w:lang w:val="en-US"/>
        </w:rPr>
        <w:object>
          <v:shape id="_x0000_i1025" o:spt="75" type="#_x0000_t75" style="height:45.95pt;width:79.4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Style w:val="3"/>
        <w:ind w:firstLine="420"/>
        <w:rPr>
          <w:lang w:val="en-US"/>
        </w:rPr>
      </w:pPr>
      <w:r>
        <w:rPr>
          <w:rFonts w:hint="eastAsia"/>
          <w:lang w:val="en-US"/>
        </w:rPr>
        <w:t>式中：</w:t>
      </w:r>
    </w:p>
    <w:p>
      <w:pPr>
        <w:pStyle w:val="3"/>
        <w:ind w:firstLine="420"/>
        <w:rPr>
          <w:lang w:val="en-US"/>
        </w:rPr>
      </w:pPr>
      <w:r>
        <w:rPr>
          <w:i/>
          <w:lang w:val="en-US"/>
        </w:rPr>
        <w:t>V, Z</w:t>
      </w:r>
      <w:r>
        <w:rPr>
          <w:rFonts w:hint="eastAsia"/>
          <w:lang w:val="en-US"/>
        </w:rPr>
        <w:t>——任何一点的平均风速和高度；</w:t>
      </w:r>
    </w:p>
    <w:p>
      <w:pPr>
        <w:pStyle w:val="3"/>
        <w:ind w:firstLine="420"/>
        <w:rPr>
          <w:lang w:val="en-US"/>
        </w:rPr>
      </w:pPr>
      <w:r>
        <w:rPr>
          <w:lang w:val="en-US"/>
        </w:rPr>
        <w:t xml:space="preserve"> </w:t>
      </w:r>
      <w:r>
        <w:rPr>
          <w:lang w:val="en-US"/>
        </w:rPr>
        <w:object>
          <v:shape id="_x0000_i1026" o:spt="75" type="#_x0000_t75" style="height:17.4pt;width:13.65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eastAsia"/>
          <w:lang w:val="en-US"/>
        </w:rPr>
        <w:t>、</w:t>
      </w:r>
      <w:r>
        <w:rPr>
          <w:lang w:val="en-US"/>
        </w:rPr>
        <w:t xml:space="preserve"> </w:t>
      </w:r>
      <w:r>
        <w:rPr>
          <w:lang w:val="en-US"/>
        </w:rPr>
        <w:object>
          <v:shape id="_x0000_i1027" o:spt="75" type="#_x0000_t75" style="height:17.4pt;width:13.65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ind w:firstLine="420"/>
        <w:rPr>
          <w:lang w:val="en-US"/>
        </w:rPr>
      </w:pPr>
      <w:r>
        <w:rPr>
          <w:i/>
          <w:lang w:val="en-US"/>
        </w:rPr>
        <w:t xml:space="preserve"> a</w:t>
      </w:r>
      <w:r>
        <w:rPr>
          <w:rFonts w:hint="eastAsia"/>
          <w:lang w:val="en-US"/>
        </w:rPr>
        <w:t>——地面粗糙度指数；</w:t>
      </w:r>
    </w:p>
    <w:p>
      <w:pPr>
        <w:spacing w:before="156" w:beforeLines="50" w:line="240" w:lineRule="auto"/>
      </w:pPr>
      <w:r>
        <w:rPr>
          <w:rFonts w:hint="eastAsia"/>
        </w:rPr>
        <w:t>备注：梯度风公式参考《民用建筑供暖通风与空气调节设计规范》</w:t>
      </w:r>
      <w:r>
        <w:t>GB50736-2012</w:t>
      </w:r>
      <w:r>
        <w:rPr>
          <w:rFonts w:hint="eastAsia"/>
        </w:rPr>
        <w:t>以及《绿色建筑评价技术细则》</w:t>
      </w:r>
    </w:p>
    <w:p>
      <w:pPr>
        <w:spacing w:line="240" w:lineRule="auto"/>
      </w:pPr>
      <w:r>
        <w:t xml:space="preserve"> </w:t>
      </w:r>
    </w:p>
    <w:p>
      <w:pPr>
        <w:pStyle w:val="4"/>
        <w:numPr>
          <w:ilvl w:val="1"/>
          <w:numId w:val="3"/>
        </w:numPr>
      </w:pPr>
      <w:bookmarkStart w:id="31" w:name="_Toc452108767"/>
      <w:bookmarkStart w:id="32" w:name="_Toc451698939"/>
      <w:bookmarkStart w:id="33" w:name="_Toc60688008"/>
      <w:r>
        <w:rPr>
          <w:rFonts w:hint="eastAsia"/>
        </w:rPr>
        <w:t>求解计算</w:t>
      </w:r>
      <w:bookmarkEnd w:id="31"/>
      <w:bookmarkEnd w:id="32"/>
      <w:bookmarkEnd w:id="33"/>
    </w:p>
    <w:p>
      <w:pPr>
        <w:pStyle w:val="3"/>
        <w:numPr>
          <w:ilvl w:val="0"/>
          <w:numId w:val="4"/>
        </w:numPr>
        <w:ind w:firstLineChars="0"/>
        <w:rPr>
          <w:b/>
          <w:lang w:val="en-US"/>
        </w:rPr>
      </w:pPr>
      <w:r>
        <w:rPr>
          <w:rFonts w:hint="eastAsia"/>
          <w:b/>
          <w:lang w:val="en-US"/>
        </w:rPr>
        <w:t>数学模型</w:t>
      </w:r>
    </w:p>
    <w:p>
      <w:pPr>
        <w:pStyle w:val="3"/>
        <w:ind w:left="780" w:firstLine="0" w:firstLineChars="0"/>
        <w:rPr>
          <w:lang w:val="en-US"/>
        </w:rPr>
      </w:pPr>
      <w:r>
        <w:rPr>
          <w:rFonts w:hint="eastAsia"/>
          <w:lang w:val="en-US"/>
        </w:rPr>
        <w:t>本项目采用流体流动的质量守恒、动量守恒和能量守恒建立数学控制方程，其一般形式如下所示：</w:t>
      </w:r>
    </w:p>
    <w:p>
      <w:pPr>
        <w:pStyle w:val="3"/>
        <w:ind w:firstLine="525" w:firstLineChars="250"/>
        <w:rPr>
          <w:lang w:val="en-US"/>
        </w:rPr>
      </w:pPr>
      <w:r>
        <w:rPr>
          <w:lang w:val="en-US"/>
        </w:rPr>
        <w:drawing>
          <wp:inline distT="0" distB="0" distL="114300" distR="114300">
            <wp:extent cx="2380615" cy="394335"/>
            <wp:effectExtent l="0" t="0" r="12065" b="190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2380615" cy="394335"/>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w:t>
      </w:r>
    </w:p>
    <w:p>
      <w:pPr>
        <w:pStyle w:val="3"/>
        <w:numPr>
          <w:ilvl w:val="0"/>
          <w:numId w:val="4"/>
        </w:numPr>
        <w:ind w:firstLineChars="0"/>
        <w:rPr>
          <w:b/>
          <w:lang w:val="en-US"/>
        </w:rPr>
      </w:pPr>
      <w:r>
        <w:rPr>
          <w:rFonts w:hint="eastAsia"/>
          <w:b/>
          <w:lang w:val="en-US"/>
        </w:rPr>
        <w:t>算法说明</w:t>
      </w:r>
    </w:p>
    <w:p>
      <w:pPr>
        <w:pStyle w:val="3"/>
        <w:ind w:left="567" w:firstLine="317" w:firstLineChars="151"/>
        <w:rPr>
          <w:lang w:val="en-US"/>
        </w:rPr>
      </w:pPr>
      <w:r>
        <w:rPr>
          <w:rFonts w:hint="eastAsia"/>
          <w:lang w:val="en-US"/>
        </w:rPr>
        <w:t>本项目采用压强校正法（</w:t>
      </w:r>
      <w:r>
        <w:rPr>
          <w:lang w:val="en-US"/>
        </w:rPr>
        <w:t>SIMPLE</w:t>
      </w:r>
      <w:r>
        <w:rPr>
          <w:rFonts w:hint="eastAsia"/>
          <w:lang w:val="en-US"/>
        </w:rPr>
        <w:t>）处理连续性方程，将运动方程的差分方程代入连续性方程建立起基于连续性方程代数离散的压强联系方程，求解压强量或压强调整量。</w:t>
      </w:r>
    </w:p>
    <w:bookmarkEnd w:id="23"/>
    <w:p>
      <w:pPr>
        <w:pStyle w:val="3"/>
        <w:ind w:left="780" w:firstLine="69" w:firstLineChars="33"/>
        <w:rPr>
          <w:lang w:val="en-US"/>
        </w:rPr>
      </w:pPr>
    </w:p>
    <w:p>
      <w:pPr>
        <w:pStyle w:val="3"/>
        <w:ind w:firstLine="420"/>
        <w:rPr>
          <w:lang w:val="en-US"/>
        </w:rPr>
      </w:pPr>
    </w:p>
    <w:p>
      <w:pPr>
        <w:pStyle w:val="2"/>
        <w:sectPr>
          <w:pgSz w:w="11906" w:h="16838"/>
          <w:pgMar w:top="1440" w:right="1133" w:bottom="993" w:left="1701" w:header="851" w:footer="237" w:gutter="0"/>
          <w:cols w:space="720" w:num="1"/>
          <w:docGrid w:type="lines" w:linePitch="312" w:charSpace="0"/>
        </w:sectPr>
      </w:pPr>
    </w:p>
    <w:p>
      <w:pPr>
        <w:pStyle w:val="2"/>
      </w:pPr>
      <w:bookmarkStart w:id="34" w:name="_Toc60688009"/>
      <w:bookmarkStart w:id="35" w:name="_Toc452108768"/>
      <w:r>
        <w:rPr>
          <w:rFonts w:hint="eastAsia"/>
        </w:rPr>
        <w:t>结果</w:t>
      </w:r>
      <w:r>
        <w:t>分析</w:t>
      </w:r>
      <w:bookmarkEnd w:id="34"/>
      <w:bookmarkEnd w:id="35"/>
    </w:p>
    <w:p>
      <w:pPr>
        <w:rPr>
          <w:szCs w:val="21"/>
        </w:rPr>
      </w:pPr>
      <w:r>
        <w:rPr>
          <w:rFonts w:hint="eastAsia"/>
          <w:szCs w:val="21"/>
        </w:rPr>
        <w:t>本结果基于以下几个工况进行计算：</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705"/>
        <w:gridCol w:w="2753"/>
        <w:gridCol w:w="2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pct"/>
            <w:shd w:val="clear" w:color="auto" w:fill="E6E6E6"/>
          </w:tcPr>
          <w:p>
            <w:pPr>
              <w:jc w:val="center"/>
              <w:rPr>
                <w:rFonts w:ascii="Calibri" w:hAnsi="Calibri"/>
                <w:szCs w:val="21"/>
              </w:rPr>
            </w:pPr>
            <w:bookmarkStart w:id="36" w:name="计算工况表"/>
            <w:r>
              <w:rPr>
                <w:rFonts w:hint="eastAsia" w:ascii="Calibri" w:hAnsi="Calibri"/>
                <w:szCs w:val="21"/>
              </w:rPr>
              <w:t>序号</w:t>
            </w:r>
          </w:p>
        </w:tc>
        <w:tc>
          <w:tcPr>
            <w:tcW w:w="1456" w:type="pct"/>
            <w:shd w:val="clear" w:color="auto" w:fill="E6E6E6"/>
            <w:vAlign w:val="center"/>
          </w:tcPr>
          <w:p>
            <w:pPr>
              <w:jc w:val="center"/>
              <w:rPr>
                <w:rFonts w:ascii="Calibri" w:hAnsi="Calibri"/>
                <w:szCs w:val="21"/>
              </w:rPr>
            </w:pPr>
            <w:r>
              <w:rPr>
                <w:rFonts w:hint="eastAsia" w:ascii="Calibri" w:hAnsi="Calibri"/>
                <w:szCs w:val="21"/>
              </w:rPr>
              <w:t>季节</w:t>
            </w:r>
          </w:p>
        </w:tc>
        <w:tc>
          <w:tcPr>
            <w:tcW w:w="1482" w:type="pct"/>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1241" w:type="pct"/>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r>
              <w:rPr>
                <w:rFonts w:hint="eastAsia" w:ascii="Calibri" w:hAnsi="Calibri"/>
                <w:szCs w:val="21"/>
              </w:rPr>
              <w:t>°</w:t>
            </w:r>
            <w:r>
              <w:rPr>
                <w:rFonts w:ascii="Calibri" w:hAnsi="Calibri"/>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pct"/>
          </w:tcPr>
          <w:p>
            <w:pPr>
              <w:rPr>
                <w:rFonts w:ascii="Calibri" w:hAnsi="Calibri"/>
                <w:szCs w:val="21"/>
              </w:rPr>
            </w:pPr>
            <w:r>
              <w:rPr>
                <w:rFonts w:ascii="Calibri" w:hAnsi="Calibri"/>
                <w:szCs w:val="21"/>
              </w:rPr>
              <w:t>1</w:t>
            </w:r>
          </w:p>
        </w:tc>
        <w:tc>
          <w:tcPr>
            <w:tcW w:w="1456" w:type="pct"/>
            <w:vAlign w:val="center"/>
          </w:tcPr>
          <w:p>
            <w:pPr>
              <w:rPr>
                <w:rFonts w:ascii="Calibri" w:hAnsi="Calibri"/>
                <w:szCs w:val="21"/>
              </w:rPr>
            </w:pPr>
            <w:r>
              <w:rPr>
                <w:rFonts w:hint="eastAsia" w:ascii="Calibri" w:hAnsi="Calibri"/>
                <w:szCs w:val="21"/>
              </w:rPr>
              <w:t>冬季</w:t>
            </w:r>
          </w:p>
        </w:tc>
        <w:tc>
          <w:tcPr>
            <w:tcW w:w="1482" w:type="pct"/>
            <w:vAlign w:val="center"/>
          </w:tcPr>
          <w:p>
            <w:pPr>
              <w:rPr>
                <w:rFonts w:ascii="Calibri" w:hAnsi="Calibri"/>
                <w:szCs w:val="21"/>
              </w:rPr>
            </w:pPr>
            <w:r>
              <w:rPr>
                <w:rFonts w:ascii="Calibri" w:hAnsi="Calibri"/>
                <w:szCs w:val="21"/>
              </w:rPr>
              <w:t>2.80</w:t>
            </w:r>
          </w:p>
        </w:tc>
        <w:tc>
          <w:tcPr>
            <w:tcW w:w="1241" w:type="pct"/>
          </w:tcPr>
          <w:p>
            <w:pPr>
              <w:rPr>
                <w:rFonts w:ascii="Calibri" w:hAnsi="Calibri"/>
                <w:szCs w:val="21"/>
              </w:rPr>
            </w:pPr>
            <w:r>
              <w:rPr>
                <w:rFonts w:ascii="Calibri" w:hAnsi="Calibri"/>
                <w:szCs w:val="21"/>
              </w:rPr>
              <w:t>122.5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1" w:type="pct"/>
          </w:tcPr>
          <w:p>
            <w:pPr>
              <w:rPr>
                <w:rFonts w:ascii="Calibri" w:hAnsi="Calibri"/>
                <w:szCs w:val="21"/>
              </w:rPr>
            </w:pPr>
            <w:r>
              <w:rPr>
                <w:rFonts w:ascii="Calibri" w:hAnsi="Calibri"/>
                <w:szCs w:val="21"/>
              </w:rPr>
              <w:t>2</w:t>
            </w:r>
          </w:p>
        </w:tc>
        <w:tc>
          <w:tcPr>
            <w:tcW w:w="1456" w:type="pct"/>
            <w:vAlign w:val="center"/>
          </w:tcPr>
          <w:p>
            <w:pPr>
              <w:rPr>
                <w:rFonts w:ascii="Calibri" w:hAnsi="Calibri"/>
                <w:szCs w:val="21"/>
              </w:rPr>
            </w:pPr>
            <w:r>
              <w:rPr>
                <w:rFonts w:hint="eastAsia" w:ascii="Calibri" w:hAnsi="Calibri"/>
                <w:szCs w:val="21"/>
              </w:rPr>
              <w:t>夏季</w:t>
            </w:r>
          </w:p>
        </w:tc>
        <w:tc>
          <w:tcPr>
            <w:tcW w:w="1482" w:type="pct"/>
            <w:vAlign w:val="center"/>
          </w:tcPr>
          <w:p>
            <w:pPr>
              <w:rPr>
                <w:rFonts w:ascii="Calibri" w:hAnsi="Calibri"/>
                <w:szCs w:val="21"/>
              </w:rPr>
            </w:pPr>
            <w:r>
              <w:rPr>
                <w:rFonts w:ascii="Calibri" w:hAnsi="Calibri"/>
                <w:szCs w:val="21"/>
              </w:rPr>
              <w:t>3.00</w:t>
            </w:r>
          </w:p>
        </w:tc>
        <w:tc>
          <w:tcPr>
            <w:tcW w:w="1241" w:type="pct"/>
          </w:tcPr>
          <w:p>
            <w:pPr>
              <w:rPr>
                <w:rFonts w:ascii="Calibri" w:hAnsi="Calibri"/>
                <w:szCs w:val="21"/>
              </w:rPr>
            </w:pPr>
            <w:r>
              <w:rPr>
                <w:rFonts w:ascii="Calibri" w:hAnsi="Calibri"/>
                <w:szCs w:val="21"/>
              </w:rPr>
              <w:t>270.0</w:t>
            </w:r>
          </w:p>
        </w:tc>
      </w:tr>
      <w:bookmarkEnd w:id="36"/>
    </w:tbl>
    <w:p>
      <w:pPr>
        <w:rPr>
          <w:kern w:val="2"/>
          <w:szCs w:val="21"/>
        </w:rPr>
        <w:sectPr>
          <w:pgSz w:w="11906" w:h="16838"/>
          <w:pgMar w:top="1440" w:right="1133" w:bottom="993" w:left="1701" w:header="851" w:footer="237" w:gutter="0"/>
          <w:cols w:space="720" w:num="1"/>
          <w:docGrid w:type="lines" w:linePitch="312" w:charSpace="0"/>
        </w:sectPr>
      </w:pPr>
      <w:r>
        <w:rPr>
          <w:rFonts w:hint="eastAsia"/>
          <w:szCs w:val="21"/>
        </w:rPr>
        <w:t>说明：风向逆时针为正，正东为</w:t>
      </w:r>
      <w:r>
        <w:rPr>
          <w:szCs w:val="21"/>
        </w:rPr>
        <w:t>0</w:t>
      </w:r>
      <w:r>
        <w:rPr>
          <w:rFonts w:hint="eastAsia"/>
          <w:szCs w:val="21"/>
        </w:rPr>
        <w:t>°，正北为</w:t>
      </w:r>
      <w:r>
        <w:rPr>
          <w:szCs w:val="21"/>
        </w:rPr>
        <w:t>90</w:t>
      </w:r>
      <w:r>
        <w:rPr>
          <w:rFonts w:hint="eastAsia"/>
          <w:szCs w:val="21"/>
        </w:rPr>
        <w:t>°，正西为</w:t>
      </w:r>
      <w:r>
        <w:rPr>
          <w:szCs w:val="21"/>
        </w:rPr>
        <w:t>180</w:t>
      </w:r>
      <w:r>
        <w:rPr>
          <w:rFonts w:hint="eastAsia"/>
          <w:szCs w:val="21"/>
        </w:rPr>
        <w:t>°，正南为</w:t>
      </w:r>
      <w:r>
        <w:rPr>
          <w:szCs w:val="21"/>
        </w:rPr>
        <w:t>270</w:t>
      </w:r>
      <w:r>
        <w:rPr>
          <w:rFonts w:hint="eastAsia"/>
          <w:szCs w:val="21"/>
        </w:rPr>
        <w:t>°。</w:t>
      </w:r>
    </w:p>
    <w:p>
      <w:pPr>
        <w:pStyle w:val="4"/>
      </w:pPr>
      <w:bookmarkStart w:id="37" w:name="_Toc60688010"/>
      <w:r>
        <w:rPr>
          <w:rFonts w:hint="eastAsia"/>
        </w:rPr>
        <w:t>冬季</w:t>
      </w:r>
      <w:bookmarkEnd w:id="37"/>
    </w:p>
    <w:p>
      <w:pPr>
        <w:pStyle w:val="5"/>
      </w:pPr>
      <w:bookmarkStart w:id="38" w:name="_Toc60688011"/>
      <w:r>
        <w:rPr>
          <w:rFonts w:hint="eastAsia"/>
        </w:rPr>
        <w:t>人行高度处风场分析</w:t>
      </w:r>
      <w:bookmarkEnd w:id="38"/>
      <w:r>
        <w:drawing>
          <wp:inline distT="0" distB="0" distL="114300" distR="114300">
            <wp:extent cx="9664065" cy="5265420"/>
            <wp:effectExtent l="0" t="0" r="13335" b="7620"/>
            <wp:docPr id="5" name="图片 8" descr="速度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速度矢量图"/>
                    <pic:cNvPicPr>
                      <a:picLocks noChangeAspect="1"/>
                    </pic:cNvPicPr>
                  </pic:nvPicPr>
                  <pic:blipFill>
                    <a:blip r:embed="rId14"/>
                    <a:stretch>
                      <a:fillRect/>
                    </a:stretch>
                  </pic:blipFill>
                  <pic:spPr>
                    <a:xfrm>
                      <a:off x="0" y="0"/>
                      <a:ext cx="9664065" cy="5265420"/>
                    </a:xfrm>
                    <a:prstGeom prst="rect">
                      <a:avLst/>
                    </a:prstGeom>
                    <a:noFill/>
                    <a:ln>
                      <a:noFill/>
                    </a:ln>
                  </pic:spPr>
                </pic:pic>
              </a:graphicData>
            </a:graphic>
          </wp:inline>
        </w:drawing>
      </w:r>
    </w:p>
    <w:p>
      <w:pPr>
        <w:pStyle w:val="3"/>
        <w:keepNext/>
        <w:ind w:firstLine="420"/>
        <w:jc w:val="center"/>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1.5米高处风速云图</w:t>
      </w:r>
    </w:p>
    <w:p>
      <w:pPr>
        <w:jc w:val="both"/>
        <w:rPr>
          <w:lang w:val="en-US"/>
        </w:rPr>
        <w:sectPr>
          <w:pgSz w:w="16838" w:h="11906" w:orient="landscape"/>
          <w:pgMar w:top="851" w:right="678" w:bottom="709" w:left="851" w:header="851" w:footer="992" w:gutter="0"/>
          <w:cols w:space="425" w:num="1"/>
          <w:docGrid w:type="linesAndChars" w:linePitch="312" w:charSpace="0"/>
        </w:sectPr>
      </w:pPr>
      <w:r>
        <w:rPr>
          <w:rFonts w:hint="eastAsia"/>
          <w:lang w:val="en-US"/>
        </w:rPr>
        <w:t>结论：人行区面积为220132㎡，其中风速大于5m/s的面积为0㎡，占比0.0%</w:t>
      </w:r>
      <w:r>
        <w:rPr>
          <w:rFonts w:hint="eastAsia"/>
          <w:b/>
          <w:color w:val="0000FF"/>
          <w:lang w:val="en-US"/>
        </w:rPr>
        <w:t>满足</w:t>
      </w:r>
      <w:r>
        <w:rPr>
          <w:rFonts w:hint="eastAsia"/>
          <w:lang w:val="en-US"/>
        </w:rPr>
        <w:t>要求。</w:t>
      </w:r>
      <w:r>
        <w:rPr>
          <w:lang w:val="en-US"/>
        </w:rPr>
        <w:drawing>
          <wp:inline distT="0" distB="0" distL="114300" distR="114300">
            <wp:extent cx="9569450" cy="5202555"/>
            <wp:effectExtent l="0" t="0" r="1270" b="9525"/>
            <wp:docPr id="6" name="图片 9" descr="风速放大系数云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风速放大系数云图1"/>
                    <pic:cNvPicPr>
                      <a:picLocks noChangeAspect="1"/>
                    </pic:cNvPicPr>
                  </pic:nvPicPr>
                  <pic:blipFill>
                    <a:blip r:embed="rId15"/>
                    <a:stretch>
                      <a:fillRect/>
                    </a:stretch>
                  </pic:blipFill>
                  <pic:spPr>
                    <a:xfrm>
                      <a:off x="0" y="0"/>
                      <a:ext cx="9569450" cy="5202555"/>
                    </a:xfrm>
                    <a:prstGeom prst="rect">
                      <a:avLst/>
                    </a:prstGeom>
                    <a:noFill/>
                    <a:ln>
                      <a:noFill/>
                    </a:ln>
                  </pic:spPr>
                </pic:pic>
              </a:graphicData>
            </a:graphic>
          </wp:inline>
        </w:drawing>
      </w:r>
    </w:p>
    <w:p>
      <w:pPr>
        <w:keepNext/>
        <w:jc w:val="center"/>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t xml:space="preserve">  1.5米高处风速放大系数云图</w:t>
      </w:r>
    </w:p>
    <w:p>
      <w:pPr>
        <w:jc w:val="both"/>
        <w:rPr>
          <w:lang w:val="en-US"/>
        </w:rPr>
        <w:sectPr>
          <w:pgSz w:w="16838" w:h="11906" w:orient="landscape"/>
          <w:pgMar w:top="851" w:right="678" w:bottom="709" w:left="851" w:header="851" w:footer="992" w:gutter="0"/>
          <w:cols w:space="425" w:num="1"/>
          <w:docGrid w:type="linesAndChars" w:linePitch="312" w:charSpace="0"/>
        </w:sectPr>
      </w:pPr>
      <w:r>
        <w:rPr>
          <w:rFonts w:hint="eastAsia"/>
          <w:lang w:val="en-US"/>
        </w:rPr>
        <w:t>结论：人行区面积为220132㎡，其中风速放大系数大于2的面积为0㎡，占比0.0%</w:t>
      </w:r>
      <w:r>
        <w:rPr>
          <w:rFonts w:hint="eastAsia"/>
          <w:b/>
          <w:color w:val="0000FF"/>
          <w:lang w:val="en-US"/>
        </w:rPr>
        <w:t>满足</w:t>
      </w:r>
      <w:r>
        <w:rPr>
          <w:rFonts w:hint="eastAsia"/>
          <w:lang w:val="en-US"/>
        </w:rPr>
        <w:t>要求。</w:t>
      </w:r>
    </w:p>
    <w:p>
      <w:pPr>
        <w:pStyle w:val="5"/>
      </w:pPr>
      <w:bookmarkStart w:id="39" w:name="_Toc60688012"/>
      <w:r>
        <w:rPr>
          <w:rFonts w:hint="eastAsia"/>
        </w:rPr>
        <w:t>建筑迎风面和背风面风压分析</w:t>
      </w:r>
      <w:bookmarkEnd w:id="39"/>
      <w:r>
        <w:drawing>
          <wp:inline distT="0" distB="0" distL="114300" distR="114300">
            <wp:extent cx="9538335" cy="5186680"/>
            <wp:effectExtent l="0" t="0" r="1905" b="10160"/>
            <wp:docPr id="7" name="图片 10" descr="压强云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压强云图1"/>
                    <pic:cNvPicPr>
                      <a:picLocks noChangeAspect="1"/>
                    </pic:cNvPicPr>
                  </pic:nvPicPr>
                  <pic:blipFill>
                    <a:blip r:embed="rId16"/>
                    <a:stretch>
                      <a:fillRect/>
                    </a:stretch>
                  </pic:blipFill>
                  <pic:spPr>
                    <a:xfrm>
                      <a:off x="0" y="0"/>
                      <a:ext cx="9538335" cy="5186680"/>
                    </a:xfrm>
                    <a:prstGeom prst="rect">
                      <a:avLst/>
                    </a:prstGeom>
                    <a:noFill/>
                    <a:ln>
                      <a:noFill/>
                    </a:ln>
                  </pic:spPr>
                </pic:pic>
              </a:graphicData>
            </a:graphic>
          </wp:inline>
        </w:drawing>
      </w:r>
    </w:p>
    <w:p>
      <w:pPr>
        <w:pStyle w:val="3"/>
        <w:keepNext/>
        <w:ind w:firstLine="420"/>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t xml:space="preserve">  建筑迎风面风压云图</w:t>
      </w:r>
    </w:p>
    <w:p>
      <w:pPr>
        <w:rPr>
          <w:lang w:val="en-US"/>
        </w:rPr>
        <w:sectPr>
          <w:pgSz w:w="16838" w:h="11906" w:orient="landscape"/>
          <w:pgMar w:top="851" w:right="678" w:bottom="709" w:left="851" w:header="851" w:footer="992" w:gutter="0"/>
          <w:cols w:space="425" w:num="1"/>
          <w:docGrid w:type="linesAndChars" w:linePitch="312" w:charSpace="0"/>
        </w:sectPr>
      </w:pPr>
      <w:r>
        <w:rPr>
          <w:lang w:val="en-US"/>
        </w:rPr>
        <w:drawing>
          <wp:inline distT="0" distB="0" distL="114300" distR="114300">
            <wp:extent cx="9474835" cy="5155565"/>
            <wp:effectExtent l="0" t="0" r="4445" b="10795"/>
            <wp:docPr id="8" name="图片 11" descr="压强云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压强云图2"/>
                    <pic:cNvPicPr>
                      <a:picLocks noChangeAspect="1"/>
                    </pic:cNvPicPr>
                  </pic:nvPicPr>
                  <pic:blipFill>
                    <a:blip r:embed="rId17"/>
                    <a:stretch>
                      <a:fillRect/>
                    </a:stretch>
                  </pic:blipFill>
                  <pic:spPr>
                    <a:xfrm>
                      <a:off x="0" y="0"/>
                      <a:ext cx="9474835" cy="5155565"/>
                    </a:xfrm>
                    <a:prstGeom prst="rect">
                      <a:avLst/>
                    </a:prstGeom>
                    <a:noFill/>
                    <a:ln>
                      <a:noFill/>
                    </a:ln>
                  </pic:spPr>
                </pic:pic>
              </a:graphicData>
            </a:graphic>
          </wp:inline>
        </w:drawing>
      </w:r>
    </w:p>
    <w:p>
      <w:pPr>
        <w:keepNext/>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4</w:t>
      </w:r>
      <w:r>
        <w:fldChar w:fldCharType="end"/>
      </w:r>
      <w:r>
        <w:t xml:space="preserve">  建筑背风面风压云图</w:t>
      </w:r>
    </w:p>
    <w:p>
      <w:pPr>
        <w:rPr>
          <w:lang w:val="en-US"/>
        </w:rPr>
        <w:sectPr>
          <w:pgSz w:w="16838" w:h="11906" w:orient="landscape"/>
          <w:pgMar w:top="851" w:right="678" w:bottom="709" w:left="851" w:header="851" w:footer="992" w:gutter="0"/>
          <w:cols w:space="425" w:num="1"/>
          <w:docGrid w:type="linesAndChars" w:linePitch="312" w:charSpace="0"/>
        </w:sectPr>
      </w:pPr>
    </w:p>
    <w:p>
      <w:pPr>
        <w:pStyle w:val="12"/>
        <w:jc w:val="center"/>
        <w:rPr>
          <w:rFonts w:ascii="Times New Roman" w:hAnsi="Times New Roman" w:eastAsia="宋体"/>
          <w:sz w:val="21"/>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建筑迎风和背风面风压差结论汇总表</w:t>
      </w:r>
    </w:p>
    <w:tbl>
      <w:tblPr>
        <w:tblStyle w:val="19"/>
        <w:tblW w:w="104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1885"/>
        <w:gridCol w:w="1885"/>
        <w:gridCol w:w="2547"/>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建筑编号</w:t>
            </w:r>
          </w:p>
        </w:tc>
        <w:tc>
          <w:tcPr>
            <w:tcW w:w="18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迎风面平均风压(Pa)</w:t>
            </w:r>
          </w:p>
        </w:tc>
        <w:tc>
          <w:tcPr>
            <w:tcW w:w="18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背风面平均风压(Pa)</w:t>
            </w:r>
          </w:p>
        </w:tc>
        <w:tc>
          <w:tcPr>
            <w:tcW w:w="2547"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建筑迎风和背风面风压差(Pa)</w:t>
            </w:r>
          </w:p>
        </w:tc>
        <w:tc>
          <w:tcPr>
            <w:tcW w:w="990"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tcBorders>
            <w:shd w:val="clear" w:color="auto" w:fill="auto"/>
            <w:vAlign w:val="center"/>
          </w:tcPr>
          <w:p>
            <w:pPr>
              <w:jc w:val="center"/>
              <w:rPr>
                <w:lang w:val="en-US"/>
              </w:rPr>
            </w:pPr>
            <w:r>
              <w:rPr>
                <w:rFonts w:hint="eastAsia"/>
                <w:lang w:val="en-US"/>
              </w:rPr>
              <w:t>办公楼</w:t>
            </w:r>
          </w:p>
        </w:tc>
        <w:tc>
          <w:tcPr>
            <w:tcW w:w="1885" w:type="dxa"/>
            <w:tcBorders>
              <w:top w:val="single" w:color="auto" w:sz="4" w:space="0"/>
            </w:tcBorders>
            <w:shd w:val="clear" w:color="auto" w:fill="auto"/>
            <w:vAlign w:val="center"/>
          </w:tcPr>
          <w:p>
            <w:pPr>
              <w:jc w:val="center"/>
              <w:rPr>
                <w:lang w:val="en-US"/>
              </w:rPr>
            </w:pPr>
            <w:r>
              <w:rPr>
                <w:lang w:val="en-US"/>
              </w:rPr>
              <w:t>0.85</w:t>
            </w:r>
          </w:p>
        </w:tc>
        <w:tc>
          <w:tcPr>
            <w:tcW w:w="1885" w:type="dxa"/>
            <w:tcBorders>
              <w:top w:val="single" w:color="auto" w:sz="4" w:space="0"/>
            </w:tcBorders>
            <w:shd w:val="clear" w:color="auto" w:fill="auto"/>
            <w:vAlign w:val="center"/>
          </w:tcPr>
          <w:p>
            <w:pPr>
              <w:jc w:val="center"/>
              <w:rPr>
                <w:lang w:val="en-US"/>
              </w:rPr>
            </w:pPr>
            <w:r>
              <w:rPr>
                <w:lang w:val="en-US"/>
              </w:rPr>
              <w:t>0.20</w:t>
            </w:r>
          </w:p>
        </w:tc>
        <w:tc>
          <w:tcPr>
            <w:tcW w:w="2547" w:type="dxa"/>
            <w:tcBorders>
              <w:top w:val="single" w:color="auto" w:sz="4" w:space="0"/>
            </w:tcBorders>
            <w:shd w:val="clear" w:color="auto" w:fill="auto"/>
            <w:vAlign w:val="center"/>
          </w:tcPr>
          <w:p>
            <w:pPr>
              <w:jc w:val="center"/>
              <w:rPr>
                <w:lang w:val="en-US"/>
              </w:rPr>
            </w:pPr>
            <w:r>
              <w:rPr>
                <w:lang w:val="en-US"/>
              </w:rPr>
              <w:t>0.65</w:t>
            </w:r>
          </w:p>
        </w:tc>
        <w:tc>
          <w:tcPr>
            <w:tcW w:w="990" w:type="dxa"/>
            <w:tcBorders>
              <w:top w:val="single" w:color="auto" w:sz="4" w:space="0"/>
            </w:tcBorders>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二教</w:t>
            </w:r>
          </w:p>
        </w:tc>
        <w:tc>
          <w:tcPr>
            <w:tcW w:w="1885" w:type="dxa"/>
            <w:shd w:val="clear" w:color="auto" w:fill="auto"/>
            <w:vAlign w:val="center"/>
          </w:tcPr>
          <w:p>
            <w:pPr>
              <w:jc w:val="center"/>
              <w:rPr>
                <w:lang w:val="en-US"/>
              </w:rPr>
            </w:pPr>
            <w:r>
              <w:rPr>
                <w:lang w:val="en-US"/>
              </w:rPr>
              <w:t>1.33</w:t>
            </w:r>
          </w:p>
        </w:tc>
        <w:tc>
          <w:tcPr>
            <w:tcW w:w="1885" w:type="dxa"/>
            <w:shd w:val="clear" w:color="auto" w:fill="auto"/>
            <w:vAlign w:val="center"/>
          </w:tcPr>
          <w:p>
            <w:pPr>
              <w:jc w:val="center"/>
              <w:rPr>
                <w:lang w:val="en-US"/>
              </w:rPr>
            </w:pPr>
            <w:r>
              <w:rPr>
                <w:lang w:val="en-US"/>
              </w:rPr>
              <w:t>-0.13</w:t>
            </w:r>
          </w:p>
        </w:tc>
        <w:tc>
          <w:tcPr>
            <w:tcW w:w="2547" w:type="dxa"/>
            <w:shd w:val="clear" w:color="auto" w:fill="auto"/>
            <w:vAlign w:val="center"/>
          </w:tcPr>
          <w:p>
            <w:pPr>
              <w:jc w:val="center"/>
              <w:rPr>
                <w:lang w:val="en-US"/>
              </w:rPr>
            </w:pPr>
            <w:r>
              <w:rPr>
                <w:lang w:val="en-US"/>
              </w:rPr>
              <w:t>1.46</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门卫室</w:t>
            </w:r>
          </w:p>
        </w:tc>
        <w:tc>
          <w:tcPr>
            <w:tcW w:w="1885" w:type="dxa"/>
            <w:shd w:val="clear" w:color="auto" w:fill="auto"/>
            <w:vAlign w:val="center"/>
          </w:tcPr>
          <w:p>
            <w:pPr>
              <w:jc w:val="center"/>
              <w:rPr>
                <w:lang w:val="en-US"/>
              </w:rPr>
            </w:pPr>
            <w:r>
              <w:rPr>
                <w:lang w:val="en-US"/>
              </w:rPr>
              <w:t>1.52</w:t>
            </w:r>
          </w:p>
        </w:tc>
        <w:tc>
          <w:tcPr>
            <w:tcW w:w="1885" w:type="dxa"/>
            <w:shd w:val="clear" w:color="auto" w:fill="auto"/>
            <w:vAlign w:val="center"/>
          </w:tcPr>
          <w:p>
            <w:pPr>
              <w:jc w:val="center"/>
              <w:rPr>
                <w:lang w:val="en-US"/>
              </w:rPr>
            </w:pPr>
            <w:r>
              <w:rPr>
                <w:lang w:val="en-US"/>
              </w:rPr>
              <w:t>1.24</w:t>
            </w:r>
          </w:p>
        </w:tc>
        <w:tc>
          <w:tcPr>
            <w:tcW w:w="2547" w:type="dxa"/>
            <w:shd w:val="clear" w:color="auto" w:fill="auto"/>
            <w:vAlign w:val="center"/>
          </w:tcPr>
          <w:p>
            <w:pPr>
              <w:jc w:val="center"/>
              <w:rPr>
                <w:lang w:val="en-US"/>
              </w:rPr>
            </w:pPr>
            <w:r>
              <w:rPr>
                <w:lang w:val="en-US"/>
              </w:rPr>
              <w:t>0.28</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三教和图书馆</w:t>
            </w:r>
          </w:p>
        </w:tc>
        <w:tc>
          <w:tcPr>
            <w:tcW w:w="1885" w:type="dxa"/>
            <w:shd w:val="clear" w:color="auto" w:fill="auto"/>
            <w:vAlign w:val="center"/>
          </w:tcPr>
          <w:p>
            <w:pPr>
              <w:jc w:val="center"/>
              <w:rPr>
                <w:lang w:val="en-US"/>
              </w:rPr>
            </w:pPr>
            <w:r>
              <w:rPr>
                <w:lang w:val="en-US"/>
              </w:rPr>
              <w:t>-1.47</w:t>
            </w:r>
          </w:p>
        </w:tc>
        <w:tc>
          <w:tcPr>
            <w:tcW w:w="1885" w:type="dxa"/>
            <w:shd w:val="clear" w:color="auto" w:fill="auto"/>
            <w:vAlign w:val="center"/>
          </w:tcPr>
          <w:p>
            <w:pPr>
              <w:jc w:val="center"/>
              <w:rPr>
                <w:lang w:val="en-US"/>
              </w:rPr>
            </w:pPr>
            <w:r>
              <w:rPr>
                <w:lang w:val="en-US"/>
              </w:rPr>
              <w:t>-1.78</w:t>
            </w:r>
          </w:p>
        </w:tc>
        <w:tc>
          <w:tcPr>
            <w:tcW w:w="2547" w:type="dxa"/>
            <w:shd w:val="clear" w:color="auto" w:fill="auto"/>
            <w:vAlign w:val="center"/>
          </w:tcPr>
          <w:p>
            <w:pPr>
              <w:jc w:val="center"/>
              <w:rPr>
                <w:lang w:val="en-US"/>
              </w:rPr>
            </w:pPr>
            <w:r>
              <w:rPr>
                <w:lang w:val="en-US"/>
              </w:rPr>
              <w:t>0.32</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设备系教学楼</w:t>
            </w:r>
          </w:p>
        </w:tc>
        <w:tc>
          <w:tcPr>
            <w:tcW w:w="1885" w:type="dxa"/>
            <w:shd w:val="clear" w:color="auto" w:fill="auto"/>
            <w:vAlign w:val="center"/>
          </w:tcPr>
          <w:p>
            <w:pPr>
              <w:jc w:val="center"/>
              <w:rPr>
                <w:lang w:val="en-US"/>
              </w:rPr>
            </w:pPr>
            <w:r>
              <w:rPr>
                <w:lang w:val="en-US"/>
              </w:rPr>
              <w:t>1.31</w:t>
            </w:r>
          </w:p>
        </w:tc>
        <w:tc>
          <w:tcPr>
            <w:tcW w:w="1885" w:type="dxa"/>
            <w:shd w:val="clear" w:color="auto" w:fill="auto"/>
            <w:vAlign w:val="center"/>
          </w:tcPr>
          <w:p>
            <w:pPr>
              <w:jc w:val="center"/>
              <w:rPr>
                <w:lang w:val="en-US"/>
              </w:rPr>
            </w:pPr>
            <w:r>
              <w:rPr>
                <w:lang w:val="en-US"/>
              </w:rPr>
              <w:t>0.01</w:t>
            </w:r>
          </w:p>
        </w:tc>
        <w:tc>
          <w:tcPr>
            <w:tcW w:w="2547" w:type="dxa"/>
            <w:shd w:val="clear" w:color="auto" w:fill="auto"/>
            <w:vAlign w:val="center"/>
          </w:tcPr>
          <w:p>
            <w:pPr>
              <w:jc w:val="center"/>
              <w:rPr>
                <w:lang w:val="en-US"/>
              </w:rPr>
            </w:pPr>
            <w:r>
              <w:rPr>
                <w:lang w:val="en-US"/>
              </w:rPr>
              <w:t>1.31</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宿七</w:t>
            </w:r>
          </w:p>
        </w:tc>
        <w:tc>
          <w:tcPr>
            <w:tcW w:w="1885" w:type="dxa"/>
            <w:shd w:val="clear" w:color="auto" w:fill="auto"/>
            <w:vAlign w:val="center"/>
          </w:tcPr>
          <w:p>
            <w:pPr>
              <w:jc w:val="center"/>
              <w:rPr>
                <w:lang w:val="en-US"/>
              </w:rPr>
            </w:pPr>
            <w:r>
              <w:rPr>
                <w:lang w:val="en-US"/>
              </w:rPr>
              <w:t>-0.41</w:t>
            </w:r>
          </w:p>
        </w:tc>
        <w:tc>
          <w:tcPr>
            <w:tcW w:w="1885" w:type="dxa"/>
            <w:shd w:val="clear" w:color="auto" w:fill="auto"/>
            <w:vAlign w:val="center"/>
          </w:tcPr>
          <w:p>
            <w:pPr>
              <w:jc w:val="center"/>
              <w:rPr>
                <w:lang w:val="en-US"/>
              </w:rPr>
            </w:pPr>
            <w:r>
              <w:rPr>
                <w:lang w:val="en-US"/>
              </w:rPr>
              <w:t>-1.76</w:t>
            </w:r>
          </w:p>
        </w:tc>
        <w:tc>
          <w:tcPr>
            <w:tcW w:w="2547" w:type="dxa"/>
            <w:shd w:val="clear" w:color="auto" w:fill="auto"/>
            <w:vAlign w:val="center"/>
          </w:tcPr>
          <w:p>
            <w:pPr>
              <w:jc w:val="center"/>
              <w:rPr>
                <w:lang w:val="en-US"/>
              </w:rPr>
            </w:pPr>
            <w:r>
              <w:rPr>
                <w:lang w:val="en-US"/>
              </w:rPr>
              <w:t>1.35</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宿四</w:t>
            </w:r>
          </w:p>
        </w:tc>
        <w:tc>
          <w:tcPr>
            <w:tcW w:w="1885" w:type="dxa"/>
            <w:shd w:val="clear" w:color="auto" w:fill="auto"/>
            <w:vAlign w:val="center"/>
          </w:tcPr>
          <w:p>
            <w:pPr>
              <w:jc w:val="center"/>
              <w:rPr>
                <w:lang w:val="en-US"/>
              </w:rPr>
            </w:pPr>
            <w:r>
              <w:rPr>
                <w:lang w:val="en-US"/>
              </w:rPr>
              <w:t>0.96</w:t>
            </w:r>
          </w:p>
        </w:tc>
        <w:tc>
          <w:tcPr>
            <w:tcW w:w="1885" w:type="dxa"/>
            <w:shd w:val="clear" w:color="auto" w:fill="auto"/>
            <w:vAlign w:val="center"/>
          </w:tcPr>
          <w:p>
            <w:pPr>
              <w:jc w:val="center"/>
              <w:rPr>
                <w:lang w:val="en-US"/>
              </w:rPr>
            </w:pPr>
            <w:r>
              <w:rPr>
                <w:lang w:val="en-US"/>
              </w:rPr>
              <w:t>-1.71</w:t>
            </w:r>
          </w:p>
        </w:tc>
        <w:tc>
          <w:tcPr>
            <w:tcW w:w="2547" w:type="dxa"/>
            <w:shd w:val="clear" w:color="auto" w:fill="auto"/>
            <w:vAlign w:val="center"/>
          </w:tcPr>
          <w:p>
            <w:pPr>
              <w:jc w:val="center"/>
              <w:rPr>
                <w:lang w:val="en-US"/>
              </w:rPr>
            </w:pPr>
            <w:r>
              <w:rPr>
                <w:lang w:val="en-US"/>
              </w:rPr>
              <w:t>2.68</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 xml:space="preserve">宿一  </w:t>
            </w:r>
          </w:p>
        </w:tc>
        <w:tc>
          <w:tcPr>
            <w:tcW w:w="1885" w:type="dxa"/>
            <w:shd w:val="clear" w:color="auto" w:fill="auto"/>
            <w:vAlign w:val="center"/>
          </w:tcPr>
          <w:p>
            <w:pPr>
              <w:jc w:val="center"/>
              <w:rPr>
                <w:lang w:val="en-US"/>
              </w:rPr>
            </w:pPr>
            <w:r>
              <w:rPr>
                <w:lang w:val="en-US"/>
              </w:rPr>
              <w:t>0.50</w:t>
            </w:r>
          </w:p>
        </w:tc>
        <w:tc>
          <w:tcPr>
            <w:tcW w:w="1885" w:type="dxa"/>
            <w:shd w:val="clear" w:color="auto" w:fill="auto"/>
            <w:vAlign w:val="center"/>
          </w:tcPr>
          <w:p>
            <w:pPr>
              <w:jc w:val="center"/>
              <w:rPr>
                <w:lang w:val="en-US"/>
              </w:rPr>
            </w:pPr>
            <w:r>
              <w:rPr>
                <w:lang w:val="en-US"/>
              </w:rPr>
              <w:t>-1.13</w:t>
            </w:r>
          </w:p>
        </w:tc>
        <w:tc>
          <w:tcPr>
            <w:tcW w:w="2547" w:type="dxa"/>
            <w:shd w:val="clear" w:color="auto" w:fill="auto"/>
            <w:vAlign w:val="center"/>
          </w:tcPr>
          <w:p>
            <w:pPr>
              <w:jc w:val="center"/>
              <w:rPr>
                <w:lang w:val="en-US"/>
              </w:rPr>
            </w:pPr>
            <w:r>
              <w:rPr>
                <w:lang w:val="en-US"/>
              </w:rPr>
              <w:t>1.63</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一号办公楼</w:t>
            </w:r>
          </w:p>
        </w:tc>
        <w:tc>
          <w:tcPr>
            <w:tcW w:w="1885" w:type="dxa"/>
            <w:shd w:val="clear" w:color="auto" w:fill="auto"/>
            <w:vAlign w:val="center"/>
          </w:tcPr>
          <w:p>
            <w:pPr>
              <w:jc w:val="center"/>
              <w:rPr>
                <w:lang w:val="en-US"/>
              </w:rPr>
            </w:pPr>
            <w:r>
              <w:rPr>
                <w:lang w:val="en-US"/>
              </w:rPr>
              <w:t>0.33</w:t>
            </w:r>
          </w:p>
        </w:tc>
        <w:tc>
          <w:tcPr>
            <w:tcW w:w="1885" w:type="dxa"/>
            <w:shd w:val="clear" w:color="auto" w:fill="auto"/>
            <w:vAlign w:val="center"/>
          </w:tcPr>
          <w:p>
            <w:pPr>
              <w:jc w:val="center"/>
              <w:rPr>
                <w:lang w:val="en-US"/>
              </w:rPr>
            </w:pPr>
            <w:r>
              <w:rPr>
                <w:lang w:val="en-US"/>
              </w:rPr>
              <w:t>-1.89</w:t>
            </w:r>
          </w:p>
        </w:tc>
        <w:tc>
          <w:tcPr>
            <w:tcW w:w="2547" w:type="dxa"/>
            <w:shd w:val="clear" w:color="auto" w:fill="auto"/>
            <w:vAlign w:val="center"/>
          </w:tcPr>
          <w:p>
            <w:pPr>
              <w:jc w:val="center"/>
              <w:rPr>
                <w:lang w:val="en-US"/>
              </w:rPr>
            </w:pPr>
            <w:r>
              <w:rPr>
                <w:lang w:val="en-US"/>
              </w:rPr>
              <w:t>2.22</w:t>
            </w:r>
          </w:p>
        </w:tc>
        <w:tc>
          <w:tcPr>
            <w:tcW w:w="990"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shd w:val="clear" w:color="auto" w:fill="auto"/>
            <w:vAlign w:val="center"/>
          </w:tcPr>
          <w:p>
            <w:pPr>
              <w:jc w:val="center"/>
              <w:rPr>
                <w:lang w:val="en-US"/>
              </w:rPr>
            </w:pPr>
            <w:r>
              <w:rPr>
                <w:rFonts w:hint="eastAsia"/>
                <w:lang w:val="en-US"/>
              </w:rPr>
              <w:t>一教</w:t>
            </w:r>
          </w:p>
        </w:tc>
        <w:tc>
          <w:tcPr>
            <w:tcW w:w="1885" w:type="dxa"/>
            <w:shd w:val="clear" w:color="auto" w:fill="auto"/>
            <w:vAlign w:val="center"/>
          </w:tcPr>
          <w:p>
            <w:pPr>
              <w:jc w:val="center"/>
              <w:rPr>
                <w:lang w:val="en-US"/>
              </w:rPr>
            </w:pPr>
            <w:r>
              <w:rPr>
                <w:lang w:val="en-US"/>
              </w:rPr>
              <w:t>1.23</w:t>
            </w:r>
          </w:p>
        </w:tc>
        <w:tc>
          <w:tcPr>
            <w:tcW w:w="1885" w:type="dxa"/>
            <w:shd w:val="clear" w:color="auto" w:fill="auto"/>
            <w:vAlign w:val="center"/>
          </w:tcPr>
          <w:p>
            <w:pPr>
              <w:jc w:val="center"/>
              <w:rPr>
                <w:lang w:val="en-US"/>
              </w:rPr>
            </w:pPr>
            <w:r>
              <w:rPr>
                <w:lang w:val="en-US"/>
              </w:rPr>
              <w:t>-1.27</w:t>
            </w:r>
          </w:p>
        </w:tc>
        <w:tc>
          <w:tcPr>
            <w:tcW w:w="2547" w:type="dxa"/>
            <w:shd w:val="clear" w:color="auto" w:fill="auto"/>
            <w:vAlign w:val="center"/>
          </w:tcPr>
          <w:p>
            <w:pPr>
              <w:jc w:val="center"/>
              <w:rPr>
                <w:lang w:val="en-US"/>
              </w:rPr>
            </w:pPr>
            <w:r>
              <w:rPr>
                <w:lang w:val="en-US"/>
              </w:rPr>
              <w:t>2.50</w:t>
            </w:r>
          </w:p>
        </w:tc>
        <w:tc>
          <w:tcPr>
            <w:tcW w:w="990" w:type="dxa"/>
            <w:shd w:val="clear" w:color="auto" w:fill="auto"/>
            <w:vAlign w:val="center"/>
          </w:tcPr>
          <w:p>
            <w:pPr>
              <w:jc w:val="center"/>
              <w:rPr>
                <w:lang w:val="en-US"/>
              </w:rPr>
            </w:pPr>
            <w:r>
              <w:rPr>
                <w:rFonts w:hint="eastAsia"/>
                <w:lang w:val="en-US"/>
              </w:rPr>
              <w:t>是</w:t>
            </w:r>
          </w:p>
        </w:tc>
      </w:tr>
    </w:tbl>
    <w:p>
      <w:pPr>
        <w:rPr>
          <w:lang w:val="en-US"/>
        </w:rPr>
      </w:pPr>
      <w:r>
        <w:rPr>
          <w:rFonts w:hint="eastAsia"/>
          <w:lang w:val="en-US"/>
        </w:rPr>
        <w:t>结论：本项目中所有参评建筑</w:t>
      </w:r>
      <w:r>
        <w:rPr>
          <w:rFonts w:hint="eastAsia"/>
          <w:b/>
          <w:color w:val="0000FF"/>
          <w:lang w:val="en-US"/>
        </w:rPr>
        <w:t>满足</w:t>
      </w:r>
      <w:r>
        <w:rPr>
          <w:rFonts w:hint="eastAsia"/>
          <w:lang w:val="en-US"/>
        </w:rPr>
        <w:t>“除迎风第一排建筑外，建筑迎风面与背风面表面风压差不超过5Pa”的要求。</w:t>
      </w:r>
    </w:p>
    <w:p>
      <w:pPr>
        <w:rPr>
          <w:lang w:val="en-US"/>
        </w:rPr>
        <w:sectPr>
          <w:pgSz w:w="11906" w:h="16838"/>
          <w:pgMar w:top="678" w:right="709" w:bottom="851" w:left="851" w:header="851" w:footer="992" w:gutter="0"/>
          <w:cols w:space="425" w:num="1"/>
          <w:docGrid w:type="linesAndChars" w:linePitch="312" w:charSpace="0"/>
        </w:sectPr>
      </w:pPr>
    </w:p>
    <w:p>
      <w:pPr>
        <w:pStyle w:val="4"/>
      </w:pPr>
      <w:bookmarkStart w:id="40" w:name="_Toc60688013"/>
      <w:r>
        <w:rPr>
          <w:rFonts w:hint="eastAsia"/>
        </w:rPr>
        <w:t>夏季</w:t>
      </w:r>
      <w:bookmarkEnd w:id="40"/>
    </w:p>
    <w:p>
      <w:pPr>
        <w:pStyle w:val="5"/>
      </w:pPr>
      <w:bookmarkStart w:id="41" w:name="_Toc60688014"/>
      <w:r>
        <w:rPr>
          <w:rFonts w:hint="eastAsia"/>
        </w:rPr>
        <w:t>人行高度处风场分析</w:t>
      </w:r>
      <w:bookmarkEnd w:id="41"/>
      <w:r>
        <w:drawing>
          <wp:inline distT="0" distB="0" distL="114300" distR="114300">
            <wp:extent cx="7772400" cy="5502275"/>
            <wp:effectExtent l="0" t="0" r="0" b="14605"/>
            <wp:docPr id="9" name="图片 12" descr="速度云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速度云图1"/>
                    <pic:cNvPicPr>
                      <a:picLocks noChangeAspect="1"/>
                    </pic:cNvPicPr>
                  </pic:nvPicPr>
                  <pic:blipFill>
                    <a:blip r:embed="rId18"/>
                    <a:srcRect r="20450" b="471"/>
                    <a:stretch>
                      <a:fillRect/>
                    </a:stretch>
                  </pic:blipFill>
                  <pic:spPr>
                    <a:xfrm>
                      <a:off x="0" y="0"/>
                      <a:ext cx="7772400" cy="5502275"/>
                    </a:xfrm>
                    <a:prstGeom prst="rect">
                      <a:avLst/>
                    </a:prstGeom>
                    <a:noFill/>
                    <a:ln>
                      <a:noFill/>
                    </a:ln>
                  </pic:spPr>
                </pic:pic>
              </a:graphicData>
            </a:graphic>
          </wp:inline>
        </w:drawing>
      </w:r>
    </w:p>
    <w:p>
      <w:pPr>
        <w:pStyle w:val="3"/>
        <w:keepNext/>
        <w:ind w:firstLine="420"/>
        <w:jc w:val="center"/>
      </w:pP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t xml:space="preserve">  1.5米高处风速云图</w:t>
      </w:r>
    </w:p>
    <w:p>
      <w:pPr>
        <w:jc w:val="both"/>
        <w:rPr>
          <w:lang w:val="en-US"/>
        </w:rPr>
        <w:sectPr>
          <w:pgSz w:w="16838" w:h="11906" w:orient="landscape"/>
          <w:pgMar w:top="851" w:right="678" w:bottom="709" w:left="851" w:header="851" w:footer="992" w:gutter="0"/>
          <w:cols w:space="425" w:num="1"/>
          <w:docGrid w:type="linesAndChars" w:linePitch="312" w:charSpace="0"/>
        </w:sectPr>
      </w:pPr>
      <w:r>
        <w:rPr>
          <w:rFonts w:hint="eastAsia"/>
          <w:lang w:val="en-US"/>
        </w:rPr>
        <w:t>结论：人行区面积为169090㎡，其中风速小于0.2m/s的面积为1881㎡，占比1.1%</w:t>
      </w:r>
      <w:r>
        <w:rPr>
          <w:rFonts w:hint="eastAsia"/>
          <w:b/>
          <w:color w:val="0000FF"/>
          <w:lang w:val="en-US"/>
        </w:rPr>
        <w:t>满足</w:t>
      </w:r>
      <w:r>
        <w:rPr>
          <w:rFonts w:hint="eastAsia"/>
          <w:lang w:val="en-US"/>
        </w:rPr>
        <w:t>要求。</w:t>
      </w:r>
    </w:p>
    <w:p>
      <w:pPr>
        <w:keepNext/>
        <w:jc w:val="center"/>
      </w:pPr>
      <w:r>
        <w:rPr>
          <w:lang w:val="en-US"/>
        </w:rPr>
        <w:drawing>
          <wp:inline distT="0" distB="0" distL="114300" distR="114300">
            <wp:extent cx="9632950" cy="4902835"/>
            <wp:effectExtent l="0" t="0" r="13970" b="4445"/>
            <wp:docPr id="10" name="图片 13" descr="v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ven1"/>
                    <pic:cNvPicPr>
                      <a:picLocks noChangeAspect="1"/>
                    </pic:cNvPicPr>
                  </pic:nvPicPr>
                  <pic:blipFill>
                    <a:blip r:embed="rId19"/>
                    <a:stretch>
                      <a:fillRect/>
                    </a:stretch>
                  </pic:blipFill>
                  <pic:spPr>
                    <a:xfrm>
                      <a:off x="0" y="0"/>
                      <a:ext cx="9632950" cy="4902835"/>
                    </a:xfrm>
                    <a:prstGeom prst="rect">
                      <a:avLst/>
                    </a:prstGeom>
                    <a:noFill/>
                    <a:ln>
                      <a:noFill/>
                    </a:ln>
                  </pic:spPr>
                </pic:pic>
              </a:graphicData>
            </a:graphic>
          </wp:inline>
        </w:drawing>
      </w: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2</w:t>
      </w:r>
      <w:r>
        <w:fldChar w:fldCharType="end"/>
      </w:r>
      <w:r>
        <w:t xml:space="preserve">  1.5米高处风速矢量图</w:t>
      </w:r>
    </w:p>
    <w:p>
      <w:pPr>
        <w:rPr>
          <w:lang w:val="en-US"/>
        </w:rPr>
        <w:sectPr>
          <w:pgSz w:w="16838" w:h="11906" w:orient="landscape"/>
          <w:pgMar w:top="851" w:right="678" w:bottom="709" w:left="851" w:header="851" w:footer="992" w:gutter="0"/>
          <w:cols w:space="425" w:num="1"/>
          <w:docGrid w:type="linesAndChars" w:linePitch="312" w:charSpace="0"/>
        </w:sectPr>
      </w:pPr>
    </w:p>
    <w:p>
      <w:pPr>
        <w:pStyle w:val="5"/>
      </w:pPr>
      <w:bookmarkStart w:id="42" w:name="_Toc60688015"/>
      <w:r>
        <w:rPr>
          <w:rFonts w:hint="eastAsia"/>
        </w:rPr>
        <w:t>外窗内外风压分析</w:t>
      </w:r>
      <w:bookmarkEnd w:id="42"/>
    </w:p>
    <w:p>
      <w:pPr>
        <w:pStyle w:val="3"/>
        <w:keepNext/>
        <w:ind w:firstLine="420"/>
        <w:jc w:val="center"/>
      </w:pPr>
      <w:r>
        <w:rPr>
          <w:lang w:val="en-US"/>
        </w:rPr>
        <w:drawing>
          <wp:inline distT="0" distB="0" distL="114300" distR="114300">
            <wp:extent cx="9632950" cy="4902835"/>
            <wp:effectExtent l="0" t="0" r="13970" b="4445"/>
            <wp:docPr id="11" name="图片 14" descr="v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ven1"/>
                    <pic:cNvPicPr>
                      <a:picLocks noChangeAspect="1"/>
                    </pic:cNvPicPr>
                  </pic:nvPicPr>
                  <pic:blipFill>
                    <a:blip r:embed="rId20"/>
                    <a:stretch>
                      <a:fillRect/>
                    </a:stretch>
                  </pic:blipFill>
                  <pic:spPr>
                    <a:xfrm>
                      <a:off x="0" y="0"/>
                      <a:ext cx="9632950" cy="4902835"/>
                    </a:xfrm>
                    <a:prstGeom prst="rect">
                      <a:avLst/>
                    </a:prstGeom>
                    <a:noFill/>
                    <a:ln>
                      <a:noFill/>
                    </a:ln>
                  </pic:spPr>
                </pic:pic>
              </a:graphicData>
            </a:graphic>
          </wp:inline>
        </w:drawing>
      </w:r>
    </w:p>
    <w:p>
      <w:pPr>
        <w:pStyle w:val="12"/>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3</w:t>
      </w:r>
      <w:r>
        <w:fldChar w:fldCharType="end"/>
      </w:r>
      <w:r>
        <w:t xml:space="preserve">  1.5米高处风压云图</w:t>
      </w:r>
    </w:p>
    <w:p>
      <w:pPr>
        <w:jc w:val="both"/>
        <w:rPr>
          <w:lang w:val="en-US"/>
        </w:rPr>
        <w:sectPr>
          <w:pgSz w:w="16838" w:h="11906" w:orient="landscape"/>
          <w:pgMar w:top="851" w:right="678" w:bottom="709" w:left="851" w:header="851" w:footer="992" w:gutter="0"/>
          <w:cols w:space="425" w:num="1"/>
          <w:docGrid w:type="linesAndChars" w:linePitch="312" w:charSpace="0"/>
        </w:sectPr>
      </w:pPr>
    </w:p>
    <w:p>
      <w:pPr>
        <w:jc w:val="both"/>
        <w:rPr>
          <w:lang w:val="en-US"/>
        </w:rPr>
      </w:pPr>
    </w:p>
    <w:p>
      <w:pPr>
        <w:pStyle w:val="12"/>
        <w:jc w:val="center"/>
        <w:rPr>
          <w:rFonts w:ascii="Times New Roman" w:hAnsi="Times New Roman" w:eastAsia="宋体"/>
          <w:sz w:val="21"/>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建筑室内外风压差达标判定表</w:t>
      </w:r>
    </w:p>
    <w:tbl>
      <w:tblPr>
        <w:tblStyle w:val="19"/>
        <w:tblW w:w="105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641"/>
        <w:gridCol w:w="3554"/>
        <w:gridCol w:w="1472"/>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建筑编号</w:t>
            </w:r>
          </w:p>
        </w:tc>
        <w:tc>
          <w:tcPr>
            <w:tcW w:w="164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建筑表面积（㎡）</w:t>
            </w:r>
          </w:p>
        </w:tc>
        <w:tc>
          <w:tcPr>
            <w:tcW w:w="3554"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室内外风压差大于0.5Pa的建筑表面积（㎡）</w:t>
            </w:r>
          </w:p>
        </w:tc>
        <w:tc>
          <w:tcPr>
            <w:tcW w:w="1472"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达标比例（%）</w:t>
            </w:r>
          </w:p>
        </w:tc>
        <w:tc>
          <w:tcPr>
            <w:tcW w:w="1019"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tcBorders>
            <w:shd w:val="clear" w:color="auto" w:fill="auto"/>
            <w:vAlign w:val="center"/>
          </w:tcPr>
          <w:p>
            <w:pPr>
              <w:jc w:val="center"/>
              <w:rPr>
                <w:lang w:val="en-US"/>
              </w:rPr>
            </w:pPr>
            <w:r>
              <w:rPr>
                <w:rFonts w:hint="eastAsia"/>
                <w:lang w:val="en-US"/>
              </w:rPr>
              <w:t>办公楼</w:t>
            </w:r>
          </w:p>
        </w:tc>
        <w:tc>
          <w:tcPr>
            <w:tcW w:w="1641" w:type="dxa"/>
            <w:tcBorders>
              <w:top w:val="single" w:color="auto" w:sz="4" w:space="0"/>
            </w:tcBorders>
            <w:shd w:val="clear" w:color="auto" w:fill="auto"/>
            <w:vAlign w:val="center"/>
          </w:tcPr>
          <w:p>
            <w:pPr>
              <w:jc w:val="center"/>
              <w:rPr>
                <w:lang w:val="en-US"/>
              </w:rPr>
            </w:pPr>
            <w:r>
              <w:rPr>
                <w:lang w:val="en-US"/>
              </w:rPr>
              <w:t>3063.79</w:t>
            </w:r>
          </w:p>
        </w:tc>
        <w:tc>
          <w:tcPr>
            <w:tcW w:w="3554" w:type="dxa"/>
            <w:tcBorders>
              <w:top w:val="single" w:color="auto" w:sz="4" w:space="0"/>
            </w:tcBorders>
            <w:shd w:val="clear" w:color="auto" w:fill="auto"/>
            <w:vAlign w:val="center"/>
          </w:tcPr>
          <w:p>
            <w:pPr>
              <w:jc w:val="center"/>
              <w:rPr>
                <w:lang w:val="en-US"/>
              </w:rPr>
            </w:pPr>
            <w:r>
              <w:rPr>
                <w:lang w:val="en-US"/>
              </w:rPr>
              <w:t>2937.69</w:t>
            </w:r>
          </w:p>
        </w:tc>
        <w:tc>
          <w:tcPr>
            <w:tcW w:w="1472" w:type="dxa"/>
            <w:tcBorders>
              <w:top w:val="single" w:color="auto" w:sz="4" w:space="0"/>
            </w:tcBorders>
            <w:shd w:val="clear" w:color="auto" w:fill="auto"/>
            <w:vAlign w:val="center"/>
          </w:tcPr>
          <w:p>
            <w:pPr>
              <w:jc w:val="center"/>
              <w:rPr>
                <w:lang w:val="en-US"/>
              </w:rPr>
            </w:pPr>
            <w:r>
              <w:rPr>
                <w:lang w:val="en-US"/>
              </w:rPr>
              <w:t>95.88</w:t>
            </w:r>
          </w:p>
        </w:tc>
        <w:tc>
          <w:tcPr>
            <w:tcW w:w="1019" w:type="dxa"/>
            <w:tcBorders>
              <w:top w:val="single" w:color="auto" w:sz="4" w:space="0"/>
            </w:tcBorders>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二教</w:t>
            </w:r>
          </w:p>
        </w:tc>
        <w:tc>
          <w:tcPr>
            <w:tcW w:w="1641" w:type="dxa"/>
            <w:shd w:val="clear" w:color="auto" w:fill="auto"/>
            <w:vAlign w:val="center"/>
          </w:tcPr>
          <w:p>
            <w:pPr>
              <w:jc w:val="center"/>
              <w:rPr>
                <w:lang w:val="en-US"/>
              </w:rPr>
            </w:pPr>
            <w:r>
              <w:rPr>
                <w:lang w:val="en-US"/>
              </w:rPr>
              <w:t>4009.53</w:t>
            </w:r>
          </w:p>
        </w:tc>
        <w:tc>
          <w:tcPr>
            <w:tcW w:w="3554" w:type="dxa"/>
            <w:shd w:val="clear" w:color="auto" w:fill="auto"/>
            <w:vAlign w:val="center"/>
          </w:tcPr>
          <w:p>
            <w:pPr>
              <w:jc w:val="center"/>
              <w:rPr>
                <w:lang w:val="en-US"/>
              </w:rPr>
            </w:pPr>
            <w:r>
              <w:rPr>
                <w:lang w:val="en-US"/>
              </w:rPr>
              <w:t>3539.61</w:t>
            </w:r>
          </w:p>
        </w:tc>
        <w:tc>
          <w:tcPr>
            <w:tcW w:w="1472" w:type="dxa"/>
            <w:shd w:val="clear" w:color="auto" w:fill="auto"/>
            <w:vAlign w:val="center"/>
          </w:tcPr>
          <w:p>
            <w:pPr>
              <w:jc w:val="center"/>
              <w:rPr>
                <w:lang w:val="en-US"/>
              </w:rPr>
            </w:pPr>
            <w:r>
              <w:rPr>
                <w:lang w:val="en-US"/>
              </w:rPr>
              <w:t>88.28</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门卫室</w:t>
            </w:r>
          </w:p>
        </w:tc>
        <w:tc>
          <w:tcPr>
            <w:tcW w:w="1641" w:type="dxa"/>
            <w:shd w:val="clear" w:color="auto" w:fill="auto"/>
            <w:vAlign w:val="center"/>
          </w:tcPr>
          <w:p>
            <w:pPr>
              <w:jc w:val="center"/>
              <w:rPr>
                <w:lang w:val="en-US"/>
              </w:rPr>
            </w:pPr>
            <w:r>
              <w:rPr>
                <w:lang w:val="en-US"/>
              </w:rPr>
              <w:t>656.14</w:t>
            </w:r>
          </w:p>
        </w:tc>
        <w:tc>
          <w:tcPr>
            <w:tcW w:w="3554" w:type="dxa"/>
            <w:shd w:val="clear" w:color="auto" w:fill="auto"/>
            <w:vAlign w:val="center"/>
          </w:tcPr>
          <w:p>
            <w:pPr>
              <w:jc w:val="center"/>
              <w:rPr>
                <w:lang w:val="en-US"/>
              </w:rPr>
            </w:pPr>
            <w:r>
              <w:rPr>
                <w:lang w:val="en-US"/>
              </w:rPr>
              <w:t>633.88</w:t>
            </w:r>
          </w:p>
        </w:tc>
        <w:tc>
          <w:tcPr>
            <w:tcW w:w="1472" w:type="dxa"/>
            <w:shd w:val="clear" w:color="auto" w:fill="auto"/>
            <w:vAlign w:val="center"/>
          </w:tcPr>
          <w:p>
            <w:pPr>
              <w:jc w:val="center"/>
              <w:rPr>
                <w:lang w:val="en-US"/>
              </w:rPr>
            </w:pPr>
            <w:r>
              <w:rPr>
                <w:lang w:val="en-US"/>
              </w:rPr>
              <w:t>96.61</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三教和图书馆</w:t>
            </w:r>
          </w:p>
        </w:tc>
        <w:tc>
          <w:tcPr>
            <w:tcW w:w="1641" w:type="dxa"/>
            <w:shd w:val="clear" w:color="auto" w:fill="auto"/>
            <w:vAlign w:val="center"/>
          </w:tcPr>
          <w:p>
            <w:pPr>
              <w:jc w:val="center"/>
              <w:rPr>
                <w:lang w:val="en-US"/>
              </w:rPr>
            </w:pPr>
            <w:r>
              <w:rPr>
                <w:lang w:val="en-US"/>
              </w:rPr>
              <w:t>6501.83</w:t>
            </w:r>
          </w:p>
        </w:tc>
        <w:tc>
          <w:tcPr>
            <w:tcW w:w="3554" w:type="dxa"/>
            <w:shd w:val="clear" w:color="auto" w:fill="auto"/>
            <w:vAlign w:val="center"/>
          </w:tcPr>
          <w:p>
            <w:pPr>
              <w:jc w:val="center"/>
              <w:rPr>
                <w:lang w:val="en-US"/>
              </w:rPr>
            </w:pPr>
            <w:r>
              <w:rPr>
                <w:lang w:val="en-US"/>
              </w:rPr>
              <w:t>6085.71</w:t>
            </w:r>
          </w:p>
        </w:tc>
        <w:tc>
          <w:tcPr>
            <w:tcW w:w="1472" w:type="dxa"/>
            <w:shd w:val="clear" w:color="auto" w:fill="auto"/>
            <w:vAlign w:val="center"/>
          </w:tcPr>
          <w:p>
            <w:pPr>
              <w:jc w:val="center"/>
              <w:rPr>
                <w:lang w:val="en-US"/>
              </w:rPr>
            </w:pPr>
            <w:r>
              <w:rPr>
                <w:lang w:val="en-US"/>
              </w:rPr>
              <w:t>93.60</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设备系教学楼</w:t>
            </w:r>
          </w:p>
        </w:tc>
        <w:tc>
          <w:tcPr>
            <w:tcW w:w="1641" w:type="dxa"/>
            <w:shd w:val="clear" w:color="auto" w:fill="auto"/>
            <w:vAlign w:val="center"/>
          </w:tcPr>
          <w:p>
            <w:pPr>
              <w:jc w:val="center"/>
              <w:rPr>
                <w:lang w:val="en-US"/>
              </w:rPr>
            </w:pPr>
            <w:r>
              <w:rPr>
                <w:lang w:val="en-US"/>
              </w:rPr>
              <w:t>2377.02</w:t>
            </w:r>
          </w:p>
        </w:tc>
        <w:tc>
          <w:tcPr>
            <w:tcW w:w="3554" w:type="dxa"/>
            <w:shd w:val="clear" w:color="auto" w:fill="auto"/>
            <w:vAlign w:val="center"/>
          </w:tcPr>
          <w:p>
            <w:pPr>
              <w:jc w:val="center"/>
              <w:rPr>
                <w:lang w:val="en-US"/>
              </w:rPr>
            </w:pPr>
            <w:r>
              <w:rPr>
                <w:lang w:val="en-US"/>
              </w:rPr>
              <w:t>2357.06</w:t>
            </w:r>
          </w:p>
        </w:tc>
        <w:tc>
          <w:tcPr>
            <w:tcW w:w="1472" w:type="dxa"/>
            <w:shd w:val="clear" w:color="auto" w:fill="auto"/>
            <w:vAlign w:val="center"/>
          </w:tcPr>
          <w:p>
            <w:pPr>
              <w:jc w:val="center"/>
              <w:rPr>
                <w:lang w:val="en-US"/>
              </w:rPr>
            </w:pPr>
            <w:r>
              <w:rPr>
                <w:lang w:val="en-US"/>
              </w:rPr>
              <w:t>99.16</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宿七</w:t>
            </w:r>
          </w:p>
        </w:tc>
        <w:tc>
          <w:tcPr>
            <w:tcW w:w="1641" w:type="dxa"/>
            <w:shd w:val="clear" w:color="auto" w:fill="auto"/>
            <w:vAlign w:val="center"/>
          </w:tcPr>
          <w:p>
            <w:pPr>
              <w:jc w:val="center"/>
              <w:rPr>
                <w:lang w:val="en-US"/>
              </w:rPr>
            </w:pPr>
            <w:r>
              <w:rPr>
                <w:lang w:val="en-US"/>
              </w:rPr>
              <w:t>7610.44</w:t>
            </w:r>
          </w:p>
        </w:tc>
        <w:tc>
          <w:tcPr>
            <w:tcW w:w="3554" w:type="dxa"/>
            <w:shd w:val="clear" w:color="auto" w:fill="auto"/>
            <w:vAlign w:val="center"/>
          </w:tcPr>
          <w:p>
            <w:pPr>
              <w:jc w:val="center"/>
              <w:rPr>
                <w:lang w:val="en-US"/>
              </w:rPr>
            </w:pPr>
            <w:r>
              <w:rPr>
                <w:lang w:val="en-US"/>
              </w:rPr>
              <w:t>7511.01</w:t>
            </w:r>
          </w:p>
        </w:tc>
        <w:tc>
          <w:tcPr>
            <w:tcW w:w="1472" w:type="dxa"/>
            <w:shd w:val="clear" w:color="auto" w:fill="auto"/>
            <w:vAlign w:val="center"/>
          </w:tcPr>
          <w:p>
            <w:pPr>
              <w:jc w:val="center"/>
              <w:rPr>
                <w:lang w:val="en-US"/>
              </w:rPr>
            </w:pPr>
            <w:r>
              <w:rPr>
                <w:lang w:val="en-US"/>
              </w:rPr>
              <w:t>98.69</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宿四</w:t>
            </w:r>
          </w:p>
        </w:tc>
        <w:tc>
          <w:tcPr>
            <w:tcW w:w="1641" w:type="dxa"/>
            <w:shd w:val="clear" w:color="auto" w:fill="auto"/>
            <w:vAlign w:val="center"/>
          </w:tcPr>
          <w:p>
            <w:pPr>
              <w:jc w:val="center"/>
              <w:rPr>
                <w:lang w:val="en-US"/>
              </w:rPr>
            </w:pPr>
            <w:r>
              <w:rPr>
                <w:lang w:val="en-US"/>
              </w:rPr>
              <w:t>1566.73</w:t>
            </w:r>
          </w:p>
        </w:tc>
        <w:tc>
          <w:tcPr>
            <w:tcW w:w="3554" w:type="dxa"/>
            <w:shd w:val="clear" w:color="auto" w:fill="auto"/>
            <w:vAlign w:val="center"/>
          </w:tcPr>
          <w:p>
            <w:pPr>
              <w:jc w:val="center"/>
              <w:rPr>
                <w:lang w:val="en-US"/>
              </w:rPr>
            </w:pPr>
            <w:r>
              <w:rPr>
                <w:lang w:val="en-US"/>
              </w:rPr>
              <w:t>1513.72</w:t>
            </w:r>
          </w:p>
        </w:tc>
        <w:tc>
          <w:tcPr>
            <w:tcW w:w="1472" w:type="dxa"/>
            <w:shd w:val="clear" w:color="auto" w:fill="auto"/>
            <w:vAlign w:val="center"/>
          </w:tcPr>
          <w:p>
            <w:pPr>
              <w:jc w:val="center"/>
              <w:rPr>
                <w:lang w:val="en-US"/>
              </w:rPr>
            </w:pPr>
            <w:r>
              <w:rPr>
                <w:lang w:val="en-US"/>
              </w:rPr>
              <w:t>96.62</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 xml:space="preserve">宿一  </w:t>
            </w:r>
          </w:p>
        </w:tc>
        <w:tc>
          <w:tcPr>
            <w:tcW w:w="1641" w:type="dxa"/>
            <w:shd w:val="clear" w:color="auto" w:fill="auto"/>
            <w:vAlign w:val="center"/>
          </w:tcPr>
          <w:p>
            <w:pPr>
              <w:jc w:val="center"/>
              <w:rPr>
                <w:lang w:val="en-US"/>
              </w:rPr>
            </w:pPr>
            <w:r>
              <w:rPr>
                <w:lang w:val="en-US"/>
              </w:rPr>
              <w:t>4807.68</w:t>
            </w:r>
          </w:p>
        </w:tc>
        <w:tc>
          <w:tcPr>
            <w:tcW w:w="3554" w:type="dxa"/>
            <w:shd w:val="clear" w:color="auto" w:fill="auto"/>
            <w:vAlign w:val="center"/>
          </w:tcPr>
          <w:p>
            <w:pPr>
              <w:jc w:val="center"/>
              <w:rPr>
                <w:lang w:val="en-US"/>
              </w:rPr>
            </w:pPr>
            <w:r>
              <w:rPr>
                <w:lang w:val="en-US"/>
              </w:rPr>
              <w:t>4606.50</w:t>
            </w:r>
          </w:p>
        </w:tc>
        <w:tc>
          <w:tcPr>
            <w:tcW w:w="1472" w:type="dxa"/>
            <w:shd w:val="clear" w:color="auto" w:fill="auto"/>
            <w:vAlign w:val="center"/>
          </w:tcPr>
          <w:p>
            <w:pPr>
              <w:jc w:val="center"/>
              <w:rPr>
                <w:lang w:val="en-US"/>
              </w:rPr>
            </w:pPr>
            <w:r>
              <w:rPr>
                <w:lang w:val="en-US"/>
              </w:rPr>
              <w:t>95.82</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一号办公楼</w:t>
            </w:r>
          </w:p>
        </w:tc>
        <w:tc>
          <w:tcPr>
            <w:tcW w:w="1641" w:type="dxa"/>
            <w:shd w:val="clear" w:color="auto" w:fill="auto"/>
            <w:vAlign w:val="center"/>
          </w:tcPr>
          <w:p>
            <w:pPr>
              <w:jc w:val="center"/>
              <w:rPr>
                <w:lang w:val="en-US"/>
              </w:rPr>
            </w:pPr>
            <w:r>
              <w:rPr>
                <w:lang w:val="en-US"/>
              </w:rPr>
              <w:t>3720.65</w:t>
            </w:r>
          </w:p>
        </w:tc>
        <w:tc>
          <w:tcPr>
            <w:tcW w:w="3554" w:type="dxa"/>
            <w:shd w:val="clear" w:color="auto" w:fill="auto"/>
            <w:vAlign w:val="center"/>
          </w:tcPr>
          <w:p>
            <w:pPr>
              <w:jc w:val="center"/>
              <w:rPr>
                <w:lang w:val="en-US"/>
              </w:rPr>
            </w:pPr>
            <w:r>
              <w:rPr>
                <w:lang w:val="en-US"/>
              </w:rPr>
              <w:t>3673.96</w:t>
            </w:r>
          </w:p>
        </w:tc>
        <w:tc>
          <w:tcPr>
            <w:tcW w:w="1472" w:type="dxa"/>
            <w:shd w:val="clear" w:color="auto" w:fill="auto"/>
            <w:vAlign w:val="center"/>
          </w:tcPr>
          <w:p>
            <w:pPr>
              <w:jc w:val="center"/>
              <w:rPr>
                <w:lang w:val="en-US"/>
              </w:rPr>
            </w:pPr>
            <w:r>
              <w:rPr>
                <w:lang w:val="en-US"/>
              </w:rPr>
              <w:t>98.75</w:t>
            </w:r>
          </w:p>
        </w:tc>
        <w:tc>
          <w:tcPr>
            <w:tcW w:w="1019" w:type="dxa"/>
            <w:shd w:val="clear" w:color="auto" w:fill="auto"/>
            <w:vAlign w:val="center"/>
          </w:tcPr>
          <w:p>
            <w:pPr>
              <w:jc w:val="center"/>
              <w:rPr>
                <w:lang w:val="en-US"/>
              </w:rPr>
            </w:pPr>
            <w:r>
              <w:rPr>
                <w:rFonts w:hint="eastAsia"/>
                <w:lang w:val="en-US"/>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vAlign w:val="center"/>
          </w:tcPr>
          <w:p>
            <w:pPr>
              <w:jc w:val="center"/>
              <w:rPr>
                <w:lang w:val="en-US"/>
              </w:rPr>
            </w:pPr>
            <w:r>
              <w:rPr>
                <w:rFonts w:hint="eastAsia"/>
                <w:lang w:val="en-US"/>
              </w:rPr>
              <w:t>一教</w:t>
            </w:r>
          </w:p>
        </w:tc>
        <w:tc>
          <w:tcPr>
            <w:tcW w:w="1641" w:type="dxa"/>
            <w:shd w:val="clear" w:color="auto" w:fill="auto"/>
            <w:vAlign w:val="center"/>
          </w:tcPr>
          <w:p>
            <w:pPr>
              <w:jc w:val="center"/>
              <w:rPr>
                <w:lang w:val="en-US"/>
              </w:rPr>
            </w:pPr>
            <w:r>
              <w:rPr>
                <w:lang w:val="en-US"/>
              </w:rPr>
              <w:t>5085.63</w:t>
            </w:r>
          </w:p>
        </w:tc>
        <w:tc>
          <w:tcPr>
            <w:tcW w:w="3554" w:type="dxa"/>
            <w:shd w:val="clear" w:color="auto" w:fill="auto"/>
            <w:vAlign w:val="center"/>
          </w:tcPr>
          <w:p>
            <w:pPr>
              <w:jc w:val="center"/>
              <w:rPr>
                <w:lang w:val="en-US"/>
              </w:rPr>
            </w:pPr>
            <w:r>
              <w:rPr>
                <w:lang w:val="en-US"/>
              </w:rPr>
              <w:t>5050.15</w:t>
            </w:r>
          </w:p>
        </w:tc>
        <w:tc>
          <w:tcPr>
            <w:tcW w:w="1472" w:type="dxa"/>
            <w:shd w:val="clear" w:color="auto" w:fill="auto"/>
            <w:vAlign w:val="center"/>
          </w:tcPr>
          <w:p>
            <w:pPr>
              <w:jc w:val="center"/>
              <w:rPr>
                <w:lang w:val="en-US"/>
              </w:rPr>
            </w:pPr>
            <w:r>
              <w:rPr>
                <w:lang w:val="en-US"/>
              </w:rPr>
              <w:t>99.30</w:t>
            </w:r>
          </w:p>
        </w:tc>
        <w:tc>
          <w:tcPr>
            <w:tcW w:w="1019" w:type="dxa"/>
            <w:shd w:val="clear" w:color="auto" w:fill="auto"/>
            <w:vAlign w:val="center"/>
          </w:tcPr>
          <w:p>
            <w:pPr>
              <w:jc w:val="center"/>
              <w:rPr>
                <w:lang w:val="en-US"/>
              </w:rPr>
            </w:pPr>
            <w:r>
              <w:rPr>
                <w:rFonts w:hint="eastAsia"/>
                <w:lang w:val="en-US"/>
              </w:rPr>
              <w:t>是</w:t>
            </w:r>
          </w:p>
        </w:tc>
      </w:tr>
    </w:tbl>
    <w:p>
      <w:pPr>
        <w:rPr>
          <w:lang w:val="en-US"/>
        </w:rPr>
      </w:pPr>
      <w:r>
        <w:rPr>
          <w:rFonts w:hint="eastAsia"/>
          <w:lang w:val="en-US"/>
        </w:rPr>
        <w:t>说明：达标比例＝（室内外风压差大于0.5Pa的建筑表面积/建筑表面积）*100％</w:t>
      </w:r>
    </w:p>
    <w:p>
      <w:pPr>
        <w:rPr>
          <w:lang w:val="en-US"/>
        </w:rPr>
      </w:pPr>
      <w:r>
        <w:rPr>
          <w:rFonts w:hint="eastAsia"/>
          <w:lang w:val="en-US"/>
        </w:rPr>
        <w:t>结论：本项目中所有建筑均</w:t>
      </w:r>
      <w:r>
        <w:rPr>
          <w:rFonts w:hint="eastAsia"/>
          <w:b/>
          <w:color w:val="0000FF"/>
          <w:lang w:val="en-US"/>
        </w:rPr>
        <w:t>满足</w:t>
      </w:r>
      <w:r>
        <w:rPr>
          <w:rFonts w:hint="eastAsia"/>
          <w:lang w:val="en-US"/>
        </w:rPr>
        <w:t>“50%以上可开启外窗室内外表面的风压差大于0.5Pa”的要求。</w:t>
      </w:r>
    </w:p>
    <w:p>
      <w:pPr>
        <w:rPr>
          <w:lang w:val="en-US"/>
        </w:rPr>
      </w:pPr>
    </w:p>
    <w:p>
      <w:pPr>
        <w:pStyle w:val="4"/>
      </w:pPr>
      <w:bookmarkStart w:id="43" w:name="_Toc60688016"/>
      <w:r>
        <w:rPr>
          <w:rFonts w:hint="eastAsia"/>
        </w:rPr>
        <w:t>结论</w:t>
      </w:r>
      <w:bookmarkEnd w:id="43"/>
    </w:p>
    <w:p>
      <w:pPr>
        <w:pStyle w:val="5"/>
      </w:pPr>
      <w:bookmarkStart w:id="44" w:name="_Toc60688017"/>
      <w:r>
        <w:rPr>
          <w:rFonts w:hint="eastAsia"/>
        </w:rPr>
        <w:t>冬季</w:t>
      </w:r>
      <w:bookmarkEnd w:id="44"/>
    </w:p>
    <w:p>
      <w:pPr>
        <w:pStyle w:val="3"/>
        <w:ind w:firstLine="420"/>
        <w:rPr>
          <w:lang w:val="en-US"/>
        </w:rPr>
      </w:pPr>
      <w:r>
        <w:rPr>
          <w:rFonts w:hint="eastAsia"/>
          <w:lang w:val="en-US"/>
        </w:rPr>
        <w:t>本项目人行区风速小于5m/s，且人行区风速放大系数小于2，</w:t>
      </w:r>
      <w:r>
        <w:rPr>
          <w:rFonts w:hint="eastAsia"/>
          <w:b/>
          <w:color w:val="0000FF"/>
          <w:lang w:val="en-US"/>
        </w:rPr>
        <w:t>满足</w:t>
      </w:r>
      <w:r>
        <w:rPr>
          <w:rFonts w:hint="eastAsia"/>
          <w:lang w:val="en-US"/>
        </w:rPr>
        <w:t>标准要求，得2分。</w:t>
      </w:r>
    </w:p>
    <w:p>
      <w:pPr>
        <w:pStyle w:val="3"/>
        <w:ind w:firstLine="420"/>
        <w:rPr>
          <w:lang w:val="en-US"/>
        </w:rPr>
      </w:pPr>
      <w:r>
        <w:rPr>
          <w:rFonts w:hint="eastAsia"/>
          <w:lang w:val="en-US"/>
        </w:rPr>
        <w:t>本项目</w:t>
      </w:r>
      <w:r>
        <w:rPr>
          <w:rFonts w:hint="eastAsia"/>
          <w:b/>
          <w:color w:val="0000FF"/>
          <w:lang w:val="en-US"/>
        </w:rPr>
        <w:t>满足</w:t>
      </w:r>
      <w:r>
        <w:rPr>
          <w:rFonts w:hint="eastAsia"/>
          <w:lang w:val="en-US"/>
        </w:rPr>
        <w:t>“除迎风第一排建筑外，建筑迎风面与背风面表面风压差不超过5Pa”的要求，得1分。</w:t>
      </w:r>
    </w:p>
    <w:p>
      <w:pPr>
        <w:pStyle w:val="5"/>
      </w:pPr>
      <w:bookmarkStart w:id="45" w:name="_Toc60688018"/>
      <w:r>
        <w:rPr>
          <w:rFonts w:hint="eastAsia"/>
        </w:rPr>
        <w:t>夏季</w:t>
      </w:r>
      <w:bookmarkEnd w:id="45"/>
    </w:p>
    <w:p>
      <w:pPr>
        <w:pStyle w:val="3"/>
        <w:ind w:firstLine="420"/>
        <w:rPr>
          <w:lang w:val="en-US"/>
        </w:rPr>
      </w:pPr>
      <w:r>
        <w:rPr>
          <w:rFonts w:hint="eastAsia"/>
          <w:lang w:val="en-US"/>
        </w:rPr>
        <w:t>本项目场地内人活动区内没有无风区，</w:t>
      </w:r>
      <w:r>
        <w:rPr>
          <w:rFonts w:hint="eastAsia"/>
          <w:b/>
          <w:color w:val="0000FF"/>
          <w:lang w:val="en-US"/>
        </w:rPr>
        <w:t>满足</w:t>
      </w:r>
      <w:r>
        <w:rPr>
          <w:rFonts w:hint="eastAsia"/>
          <w:lang w:val="en-US"/>
        </w:rPr>
        <w:t>标准要求，得2分。</w:t>
      </w:r>
    </w:p>
    <w:p>
      <w:pPr>
        <w:pStyle w:val="3"/>
        <w:ind w:firstLine="420"/>
        <w:rPr>
          <w:lang w:val="en-US"/>
        </w:rPr>
      </w:pPr>
      <w:r>
        <w:rPr>
          <w:rFonts w:hint="eastAsia"/>
          <w:lang w:val="en-US"/>
        </w:rPr>
        <w:t>本项目</w:t>
      </w:r>
      <w:r>
        <w:rPr>
          <w:rFonts w:hint="eastAsia"/>
          <w:b/>
          <w:color w:val="0000FF"/>
          <w:lang w:val="en-US"/>
        </w:rPr>
        <w:t>满足</w:t>
      </w:r>
      <w:r>
        <w:rPr>
          <w:rFonts w:hint="eastAsia"/>
          <w:lang w:val="en-US"/>
        </w:rPr>
        <w:t>“50%以上可开启外窗室内外表面的风压差大于0.5Pa”的要求，得1分。</w:t>
      </w:r>
    </w:p>
    <w:p>
      <w:pPr>
        <w:pStyle w:val="3"/>
        <w:ind w:firstLine="420"/>
        <w:rPr>
          <w:lang w:val="en-US"/>
        </w:rPr>
      </w:pPr>
    </w:p>
    <w:sectPr>
      <w:pgSz w:w="11906" w:h="16838"/>
      <w:pgMar w:top="678" w:right="709" w:bottom="851" w:left="851"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B9E"/>
    <w:rsid w:val="0000578F"/>
    <w:rsid w:val="00037A4C"/>
    <w:rsid w:val="00070047"/>
    <w:rsid w:val="00073958"/>
    <w:rsid w:val="000C1855"/>
    <w:rsid w:val="000D16B8"/>
    <w:rsid w:val="000F14F7"/>
    <w:rsid w:val="000F63BF"/>
    <w:rsid w:val="000F7EF2"/>
    <w:rsid w:val="00101EBF"/>
    <w:rsid w:val="00106871"/>
    <w:rsid w:val="001105DA"/>
    <w:rsid w:val="00112DC5"/>
    <w:rsid w:val="00122AE1"/>
    <w:rsid w:val="00124E90"/>
    <w:rsid w:val="001428A7"/>
    <w:rsid w:val="0014776A"/>
    <w:rsid w:val="001570B9"/>
    <w:rsid w:val="0016330F"/>
    <w:rsid w:val="00184656"/>
    <w:rsid w:val="001A7C37"/>
    <w:rsid w:val="001B7C87"/>
    <w:rsid w:val="001C1C39"/>
    <w:rsid w:val="00201812"/>
    <w:rsid w:val="00203163"/>
    <w:rsid w:val="00203A7D"/>
    <w:rsid w:val="00215EBC"/>
    <w:rsid w:val="00217F09"/>
    <w:rsid w:val="002555B8"/>
    <w:rsid w:val="0029328A"/>
    <w:rsid w:val="00295D20"/>
    <w:rsid w:val="002A1AF2"/>
    <w:rsid w:val="002A60F5"/>
    <w:rsid w:val="002B090C"/>
    <w:rsid w:val="002B2E78"/>
    <w:rsid w:val="002E702B"/>
    <w:rsid w:val="0030437C"/>
    <w:rsid w:val="0031135A"/>
    <w:rsid w:val="003121F7"/>
    <w:rsid w:val="0031365D"/>
    <w:rsid w:val="00314D29"/>
    <w:rsid w:val="00315CFC"/>
    <w:rsid w:val="00316B5F"/>
    <w:rsid w:val="00317F3B"/>
    <w:rsid w:val="00340177"/>
    <w:rsid w:val="0034506B"/>
    <w:rsid w:val="0037000B"/>
    <w:rsid w:val="003747B9"/>
    <w:rsid w:val="003A50E3"/>
    <w:rsid w:val="003A6A7F"/>
    <w:rsid w:val="003C51B9"/>
    <w:rsid w:val="003C5F3A"/>
    <w:rsid w:val="003D123E"/>
    <w:rsid w:val="00412ACB"/>
    <w:rsid w:val="00413DB8"/>
    <w:rsid w:val="004169B3"/>
    <w:rsid w:val="00453246"/>
    <w:rsid w:val="004556B5"/>
    <w:rsid w:val="0047200C"/>
    <w:rsid w:val="00483193"/>
    <w:rsid w:val="00494ADE"/>
    <w:rsid w:val="004A0D3B"/>
    <w:rsid w:val="004D230F"/>
    <w:rsid w:val="004D449D"/>
    <w:rsid w:val="004F0639"/>
    <w:rsid w:val="005215FB"/>
    <w:rsid w:val="00537E4B"/>
    <w:rsid w:val="00540765"/>
    <w:rsid w:val="005725E0"/>
    <w:rsid w:val="005755BA"/>
    <w:rsid w:val="005A1031"/>
    <w:rsid w:val="005A21DB"/>
    <w:rsid w:val="005A317A"/>
    <w:rsid w:val="005B7445"/>
    <w:rsid w:val="005E2482"/>
    <w:rsid w:val="005F4F73"/>
    <w:rsid w:val="006105F7"/>
    <w:rsid w:val="0062338D"/>
    <w:rsid w:val="006254D5"/>
    <w:rsid w:val="006348C3"/>
    <w:rsid w:val="00634E08"/>
    <w:rsid w:val="00642309"/>
    <w:rsid w:val="00662EF0"/>
    <w:rsid w:val="0067336D"/>
    <w:rsid w:val="00694FCA"/>
    <w:rsid w:val="0069542D"/>
    <w:rsid w:val="006D02D6"/>
    <w:rsid w:val="006F289F"/>
    <w:rsid w:val="006F3036"/>
    <w:rsid w:val="007064C5"/>
    <w:rsid w:val="00751D7B"/>
    <w:rsid w:val="00762314"/>
    <w:rsid w:val="007A20AF"/>
    <w:rsid w:val="007A5318"/>
    <w:rsid w:val="007B61C5"/>
    <w:rsid w:val="007C15B9"/>
    <w:rsid w:val="007C4F93"/>
    <w:rsid w:val="007D02FB"/>
    <w:rsid w:val="007E5D0D"/>
    <w:rsid w:val="007E6E69"/>
    <w:rsid w:val="00815874"/>
    <w:rsid w:val="00821D1E"/>
    <w:rsid w:val="00823CD7"/>
    <w:rsid w:val="00823E9B"/>
    <w:rsid w:val="0086632A"/>
    <w:rsid w:val="0087011E"/>
    <w:rsid w:val="00883D6C"/>
    <w:rsid w:val="00886207"/>
    <w:rsid w:val="008870D0"/>
    <w:rsid w:val="008A48E6"/>
    <w:rsid w:val="008B49CE"/>
    <w:rsid w:val="008C231A"/>
    <w:rsid w:val="008E5E54"/>
    <w:rsid w:val="00902A4F"/>
    <w:rsid w:val="00920203"/>
    <w:rsid w:val="00920FEB"/>
    <w:rsid w:val="00972F40"/>
    <w:rsid w:val="009A4F1F"/>
    <w:rsid w:val="009C1CEB"/>
    <w:rsid w:val="009E2DE9"/>
    <w:rsid w:val="00A23D26"/>
    <w:rsid w:val="00A32590"/>
    <w:rsid w:val="00A327ED"/>
    <w:rsid w:val="00A355BD"/>
    <w:rsid w:val="00A41C1F"/>
    <w:rsid w:val="00A70236"/>
    <w:rsid w:val="00A7462A"/>
    <w:rsid w:val="00A8181B"/>
    <w:rsid w:val="00A8393F"/>
    <w:rsid w:val="00AA26C7"/>
    <w:rsid w:val="00AA47FE"/>
    <w:rsid w:val="00AB00F6"/>
    <w:rsid w:val="00AC7C9E"/>
    <w:rsid w:val="00AC7EEF"/>
    <w:rsid w:val="00AE0FC4"/>
    <w:rsid w:val="00AE5F8F"/>
    <w:rsid w:val="00B07B9E"/>
    <w:rsid w:val="00B11FE8"/>
    <w:rsid w:val="00B14131"/>
    <w:rsid w:val="00B27308"/>
    <w:rsid w:val="00B41640"/>
    <w:rsid w:val="00B44806"/>
    <w:rsid w:val="00B51A2D"/>
    <w:rsid w:val="00B55B22"/>
    <w:rsid w:val="00B5736D"/>
    <w:rsid w:val="00B60841"/>
    <w:rsid w:val="00B67401"/>
    <w:rsid w:val="00B71B30"/>
    <w:rsid w:val="00B73C41"/>
    <w:rsid w:val="00B7457E"/>
    <w:rsid w:val="00BE4681"/>
    <w:rsid w:val="00BE75B4"/>
    <w:rsid w:val="00C03066"/>
    <w:rsid w:val="00C15B1A"/>
    <w:rsid w:val="00C3112C"/>
    <w:rsid w:val="00C63237"/>
    <w:rsid w:val="00C67778"/>
    <w:rsid w:val="00C86FAA"/>
    <w:rsid w:val="00C878F0"/>
    <w:rsid w:val="00C87AC6"/>
    <w:rsid w:val="00C97E25"/>
    <w:rsid w:val="00CA1378"/>
    <w:rsid w:val="00CB0266"/>
    <w:rsid w:val="00CB0F5E"/>
    <w:rsid w:val="00CB2732"/>
    <w:rsid w:val="00CE28AA"/>
    <w:rsid w:val="00CF421E"/>
    <w:rsid w:val="00D13ABE"/>
    <w:rsid w:val="00D24F54"/>
    <w:rsid w:val="00D32543"/>
    <w:rsid w:val="00D40158"/>
    <w:rsid w:val="00D43C46"/>
    <w:rsid w:val="00D45C26"/>
    <w:rsid w:val="00D51770"/>
    <w:rsid w:val="00D56084"/>
    <w:rsid w:val="00D62A9A"/>
    <w:rsid w:val="00D65980"/>
    <w:rsid w:val="00D9645E"/>
    <w:rsid w:val="00DA4173"/>
    <w:rsid w:val="00DC73AD"/>
    <w:rsid w:val="00DD16C4"/>
    <w:rsid w:val="00DF470C"/>
    <w:rsid w:val="00E05025"/>
    <w:rsid w:val="00E14637"/>
    <w:rsid w:val="00E14A0C"/>
    <w:rsid w:val="00E1693B"/>
    <w:rsid w:val="00E25620"/>
    <w:rsid w:val="00E263C0"/>
    <w:rsid w:val="00E52B53"/>
    <w:rsid w:val="00E60BFC"/>
    <w:rsid w:val="00E660D6"/>
    <w:rsid w:val="00E81ACD"/>
    <w:rsid w:val="00E90F14"/>
    <w:rsid w:val="00EA5DEE"/>
    <w:rsid w:val="00EB1BD1"/>
    <w:rsid w:val="00EB67C0"/>
    <w:rsid w:val="00EE1BA7"/>
    <w:rsid w:val="00EE68A9"/>
    <w:rsid w:val="00EF3DA5"/>
    <w:rsid w:val="00EF7114"/>
    <w:rsid w:val="00F30C12"/>
    <w:rsid w:val="00F67DF1"/>
    <w:rsid w:val="00F75DD1"/>
    <w:rsid w:val="00FA4B87"/>
    <w:rsid w:val="00FF2243"/>
    <w:rsid w:val="1FE2216C"/>
    <w:rsid w:val="448F28B6"/>
    <w:rsid w:val="69AD7DAE"/>
    <w:rsid w:val="6B164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3"/>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4"/>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caption"/>
    <w:basedOn w:val="1"/>
    <w:next w:val="1"/>
    <w:unhideWhenUsed/>
    <w:qFormat/>
    <w:uiPriority w:val="0"/>
    <w:rPr>
      <w:rFonts w:ascii="等线 Light" w:hAnsi="等线 Light" w:eastAsia="黑体"/>
      <w:sz w:val="20"/>
    </w:rPr>
  </w:style>
  <w:style w:type="paragraph" w:styleId="13">
    <w:name w:val="Document Map"/>
    <w:basedOn w:val="1"/>
    <w:semiHidden/>
    <w:uiPriority w:val="0"/>
    <w:pPr>
      <w:shd w:val="clear" w:color="auto" w:fill="000080"/>
    </w:pPr>
  </w:style>
  <w:style w:type="paragraph" w:styleId="14">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5">
    <w:name w:val="footer"/>
    <w:basedOn w:val="1"/>
    <w:uiPriority w:val="0"/>
    <w:pPr>
      <w:tabs>
        <w:tab w:val="center" w:pos="4153"/>
        <w:tab w:val="right" w:pos="8306"/>
      </w:tabs>
      <w:snapToGrid w:val="0"/>
    </w:pPr>
    <w:rPr>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Cs w:val="18"/>
    </w:rPr>
  </w:style>
  <w:style w:type="paragraph" w:styleId="17">
    <w:name w:val="toc 1"/>
    <w:basedOn w:val="1"/>
    <w:next w:val="1"/>
    <w:qFormat/>
    <w:uiPriority w:val="39"/>
    <w:pPr>
      <w:tabs>
        <w:tab w:val="left" w:leader="dot" w:pos="180"/>
        <w:tab w:val="left" w:pos="420"/>
        <w:tab w:val="right" w:leader="dot" w:pos="9360"/>
      </w:tabs>
    </w:pPr>
    <w:rPr>
      <w:b/>
      <w:bCs/>
      <w:kern w:val="2"/>
      <w:szCs w:val="24"/>
      <w:lang w:val="en-US"/>
    </w:rPr>
  </w:style>
  <w:style w:type="paragraph" w:styleId="18">
    <w:name w:val="toc 2"/>
    <w:basedOn w:val="1"/>
    <w:next w:val="1"/>
    <w:qFormat/>
    <w:uiPriority w:val="39"/>
    <w:pPr>
      <w:tabs>
        <w:tab w:val="left" w:pos="540"/>
        <w:tab w:val="left" w:pos="840"/>
        <w:tab w:val="right" w:leader="dot" w:pos="9360"/>
      </w:tabs>
      <w:ind w:left="200"/>
    </w:pPr>
    <w:rPr>
      <w:kern w:val="2"/>
      <w:szCs w:val="24"/>
      <w:lang w:val="en-US"/>
    </w:rPr>
  </w:style>
  <w:style w:type="table" w:styleId="20">
    <w:name w:val="Table Grid"/>
    <w:basedOn w:val="19"/>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iPriority w:val="99"/>
    <w:rPr>
      <w:color w:val="0000FF"/>
      <w:u w:val="single"/>
    </w:rPr>
  </w:style>
  <w:style w:type="character" w:customStyle="1" w:styleId="23">
    <w:name w:val="标题 1 字符"/>
    <w:link w:val="2"/>
    <w:uiPriority w:val="0"/>
    <w:rPr>
      <w:b/>
      <w:bCs/>
      <w:kern w:val="32"/>
      <w:sz w:val="28"/>
      <w:szCs w:val="28"/>
    </w:rPr>
  </w:style>
  <w:style w:type="character" w:customStyle="1" w:styleId="24">
    <w:name w:val="标题 2 字符"/>
    <w:link w:val="4"/>
    <w:uiPriority w:val="0"/>
    <w:rPr>
      <w:rFonts w:ascii="宋体" w:cs="Arial"/>
      <w:b/>
      <w:bCs/>
      <w:iCs/>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4.w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oleObject" Target="embeddings/oleObject3.bin"/><Relationship Id="rId10" Type="http://schemas.openxmlformats.org/officeDocument/2006/relationships/image" Target="media/image5.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26031;&#32500;&#23572;\vent2016\sys\Templates\&#23460;&#22806;&#39118;&#29615;&#22659;&#27169;&#25311;&#20998;&#26512;&#25253;&#21578;.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室外风环境模拟分析报告.dot</Template>
  <Company>ths</Company>
  <Pages>20</Pages>
  <Words>723</Words>
  <Characters>4123</Characters>
  <Lines>34</Lines>
  <Paragraphs>9</Paragraphs>
  <TotalTime>0</TotalTime>
  <ScaleCrop>false</ScaleCrop>
  <LinksUpToDate>false</LinksUpToDate>
  <CharactersWithSpaces>4837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2021-01-04T13:35:00Z</dcterms:created>
  <dc:creator>微软用户</dc:creator>
  <cp:lastModifiedBy>Bad guy</cp:lastModifiedBy>
  <cp:lastPrinted>2411-12-31T16:00:00Z</cp:lastPrinted>
  <dcterms:modified xsi:type="dcterms:W3CDTF">2021-01-05T10:28:29Z</dcterms:modified>
  <dc:title>室外风环境模拟分析报告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