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sz w:val="48"/>
          <w:szCs w:val="48"/>
          <w:lang w:eastAsia="zh-CN"/>
        </w:rPr>
      </w:pPr>
      <w:bookmarkStart w:id="0" w:name="_Toc4443508"/>
      <w:r>
        <w:rPr>
          <w:rFonts w:ascii="宋体" w:hAnsi="宋体"/>
          <w:sz w:val="48"/>
          <w:szCs w:val="48"/>
        </w:rPr>
        <w:t>一、</w:t>
      </w:r>
      <w:r>
        <w:rPr>
          <w:rFonts w:hint="eastAsia"/>
          <w:sz w:val="48"/>
          <w:szCs w:val="48"/>
        </w:rPr>
        <w:t>项目概况</w:t>
      </w:r>
      <w:bookmarkEnd w:id="0"/>
    </w:p>
    <w:p>
      <w:pPr>
        <w:pStyle w:val="13"/>
        <w:rPr>
          <w:rFonts w:hint="eastAsia"/>
          <w:lang w:eastAsia="zh-CN"/>
        </w:rPr>
      </w:pPr>
    </w:p>
    <w:p>
      <w:pPr>
        <w:pStyle w:val="3"/>
        <w:rPr>
          <w:rFonts w:hint="eastAsia"/>
        </w:rPr>
      </w:pPr>
      <w:r>
        <w:rPr>
          <w:rFonts w:hint="eastAsia"/>
        </w:rPr>
        <w:t>1.项目简介</w:t>
      </w:r>
    </w:p>
    <w:p>
      <w:pPr>
        <w:pStyle w:val="14"/>
        <w:ind w:firstLine="480"/>
        <w:rPr>
          <w:rStyle w:val="15"/>
          <w:rFonts w:hint="eastAsia" w:ascii="Times New Roman" w:eastAsia="宋体"/>
          <w:lang w:eastAsia="zh-CN"/>
        </w:rPr>
      </w:pPr>
      <w:r>
        <w:rPr>
          <w:rStyle w:val="15"/>
          <w:rFonts w:hint="default" w:ascii="Times New Roman"/>
        </w:rPr>
        <w:t>本项目为</w:t>
      </w:r>
      <w:r>
        <w:rPr>
          <w:rStyle w:val="15"/>
          <w:rFonts w:hint="eastAsia" w:ascii="Times New Roman"/>
          <w:lang w:val="en-US" w:eastAsia="zh-CN"/>
        </w:rPr>
        <w:t>湖南城建职业技术学院壹号办公楼</w:t>
      </w:r>
      <w:r>
        <w:rPr>
          <w:rStyle w:val="15"/>
          <w:rFonts w:hint="default" w:ascii="Times New Roman"/>
        </w:rPr>
        <w:t>，位于湖南省</w:t>
      </w:r>
      <w:r>
        <w:rPr>
          <w:rStyle w:val="15"/>
          <w:rFonts w:hint="eastAsia" w:ascii="Times New Roman"/>
          <w:lang w:val="en-US" w:eastAsia="zh-CN"/>
        </w:rPr>
        <w:t>湘潭</w:t>
      </w:r>
      <w:r>
        <w:rPr>
          <w:rStyle w:val="15"/>
          <w:rFonts w:hint="default" w:ascii="Times New Roman"/>
        </w:rPr>
        <w:t>市</w:t>
      </w:r>
      <w:r>
        <w:rPr>
          <w:rStyle w:val="15"/>
          <w:rFonts w:hint="eastAsia" w:ascii="Times New Roman"/>
          <w:lang w:val="en-US" w:eastAsia="zh-CN"/>
        </w:rPr>
        <w:t>岳塘区湖南城建职业技术学院中</w:t>
      </w:r>
      <w:r>
        <w:rPr>
          <w:rStyle w:val="15"/>
          <w:rFonts w:hint="default" w:ascii="Times New Roman"/>
        </w:rPr>
        <w:t>，</w:t>
      </w:r>
      <w:r>
        <w:rPr>
          <w:rStyle w:val="15"/>
          <w:rFonts w:hint="eastAsia" w:ascii="Times New Roman"/>
          <w:lang w:val="en-US" w:eastAsia="zh-CN"/>
        </w:rPr>
        <w:t>北有明德湖</w:t>
      </w:r>
      <w:r>
        <w:rPr>
          <w:rStyle w:val="15"/>
          <w:rFonts w:hint="default" w:ascii="Times New Roman"/>
        </w:rPr>
        <w:t>，</w:t>
      </w:r>
      <w:r>
        <w:rPr>
          <w:rStyle w:val="15"/>
          <w:rFonts w:hint="eastAsia" w:ascii="Times New Roman"/>
          <w:lang w:val="en-US" w:eastAsia="zh-CN"/>
        </w:rPr>
        <w:t>西临厚德路</w:t>
      </w:r>
      <w:r>
        <w:rPr>
          <w:rStyle w:val="15"/>
          <w:rFonts w:hint="eastAsia" w:ascii="Times New Roman"/>
          <w:lang w:eastAsia="zh-CN"/>
        </w:rPr>
        <w:t>，</w:t>
      </w:r>
      <w:r>
        <w:rPr>
          <w:rStyle w:val="15"/>
          <w:rFonts w:hint="eastAsia" w:ascii="Times New Roman"/>
          <w:lang w:val="en-US" w:eastAsia="zh-CN"/>
        </w:rPr>
        <w:t>周边还有多栋教学楼，处于学校的中心位置</w:t>
      </w:r>
      <w:r>
        <w:rPr>
          <w:rStyle w:val="15"/>
          <w:rFonts w:hint="default" w:ascii="Times New Roman"/>
        </w:rPr>
        <w:t>，路网发达，交通便利。</w:t>
      </w:r>
      <w:r>
        <w:rPr>
          <w:rStyle w:val="15"/>
          <w:rFonts w:hint="eastAsia" w:ascii="Times New Roman"/>
          <w:lang w:val="en-US" w:eastAsia="zh-CN"/>
        </w:rPr>
        <w:t>项目共五层地上四层地下一层总</w:t>
      </w:r>
      <w:r>
        <w:rPr>
          <w:rFonts w:hint="eastAsia" w:ascii="宋体" w:hAnsi="宋体"/>
          <w:lang w:val="en-US"/>
        </w:rPr>
        <w:t>建筑面积</w:t>
      </w:r>
      <w:r>
        <w:rPr>
          <w:rFonts w:hint="eastAsia"/>
          <w:lang w:val="en-US" w:eastAsia="zh-CN"/>
        </w:rPr>
        <w:t>为2061.41平方米，</w:t>
      </w:r>
      <w:bookmarkStart w:id="1" w:name="_GoBack"/>
      <w:bookmarkEnd w:id="1"/>
      <w:r>
        <w:rPr>
          <w:rStyle w:val="15"/>
          <w:rFonts w:hint="default" w:ascii="Times New Roman"/>
        </w:rPr>
        <w:t>本项目三期工程整体按《湖南省绿色建筑工程设计要点》（试行）、《湖南省绿色建筑工程技术审查要点》（试行）进行绿色建筑设计，其总平面图及效果图如下图。</w:t>
      </w:r>
      <w:r>
        <w:rPr>
          <w:rStyle w:val="15"/>
          <w:rFonts w:hint="eastAsia" w:ascii="Times New Roman" w:eastAsia="宋体"/>
          <w:lang w:eastAsia="zh-CN"/>
        </w:rPr>
        <w:drawing>
          <wp:inline distT="0" distB="0" distL="114300" distR="114300">
            <wp:extent cx="5273040" cy="3729990"/>
            <wp:effectExtent l="0" t="0" r="0" b="3810"/>
            <wp:docPr id="1" name="图片 1" descr="总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总平1"/>
                    <pic:cNvPicPr>
                      <a:picLocks noChangeAspect="1"/>
                    </pic:cNvPicPr>
                  </pic:nvPicPr>
                  <pic:blipFill>
                    <a:blip r:embed="rId4"/>
                    <a:stretch>
                      <a:fillRect/>
                    </a:stretch>
                  </pic:blipFill>
                  <pic:spPr>
                    <a:xfrm>
                      <a:off x="0" y="0"/>
                      <a:ext cx="5273040" cy="3729990"/>
                    </a:xfrm>
                    <a:prstGeom prst="rect">
                      <a:avLst/>
                    </a:prstGeom>
                  </pic:spPr>
                </pic:pic>
              </a:graphicData>
            </a:graphic>
          </wp:inline>
        </w:drawing>
      </w:r>
    </w:p>
    <w:p>
      <w:pPr>
        <w:pStyle w:val="14"/>
        <w:ind w:firstLine="0" w:firstLineChars="0"/>
        <w:jc w:val="center"/>
        <w:rPr>
          <w:rFonts w:ascii="Times New Roman" w:hAnsi="Times New Roman"/>
        </w:rPr>
      </w:pPr>
    </w:p>
    <w:p>
      <w:pPr>
        <w:pStyle w:val="12"/>
        <w:rPr>
          <w:rFonts w:hint="eastAsia"/>
        </w:rPr>
      </w:pPr>
      <w:r>
        <w:rPr>
          <w:rFonts w:hint="eastAsia"/>
        </w:rPr>
        <w:t>项目总平面图</w:t>
      </w:r>
    </w:p>
    <w:p>
      <w:pPr>
        <w:pStyle w:val="12"/>
        <w:rPr>
          <w:rFonts w:hint="eastAsia"/>
        </w:rPr>
      </w:pPr>
      <w:r>
        <w:rPr>
          <w:rFonts w:hint="eastAsia"/>
        </w:rPr>
        <w:drawing>
          <wp:inline distT="0" distB="0" distL="114300" distR="114300">
            <wp:extent cx="5273040" cy="2966085"/>
            <wp:effectExtent l="0" t="0" r="0" b="5715"/>
            <wp:docPr id="3" name="图片 3" descr="院长办公楼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长办公楼11"/>
                    <pic:cNvPicPr>
                      <a:picLocks noChangeAspect="1"/>
                    </pic:cNvPicPr>
                  </pic:nvPicPr>
                  <pic:blipFill>
                    <a:blip r:embed="rId5"/>
                    <a:stretch>
                      <a:fillRect/>
                    </a:stretch>
                  </pic:blipFill>
                  <pic:spPr>
                    <a:xfrm>
                      <a:off x="0" y="0"/>
                      <a:ext cx="5273040" cy="2966085"/>
                    </a:xfrm>
                    <a:prstGeom prst="rect">
                      <a:avLst/>
                    </a:prstGeom>
                  </pic:spPr>
                </pic:pic>
              </a:graphicData>
            </a:graphic>
          </wp:inline>
        </w:drawing>
      </w:r>
    </w:p>
    <w:p>
      <w:pPr>
        <w:pStyle w:val="12"/>
        <w:rPr>
          <w:rFonts w:hint="eastAsia"/>
        </w:rPr>
      </w:pPr>
      <w:r>
        <w:rPr>
          <w:rFonts w:hint="eastAsia"/>
        </w:rPr>
        <w:t>项目效果图</w:t>
      </w:r>
    </w:p>
    <w:p>
      <w:pPr>
        <w:pStyle w:val="3"/>
        <w:rPr>
          <w:rFonts w:hint="eastAsia"/>
        </w:rPr>
      </w:pPr>
      <w:r>
        <w:rPr>
          <w:rFonts w:hint="eastAsia"/>
        </w:rPr>
        <w:t>2.设计理念及依据</w:t>
      </w:r>
    </w:p>
    <w:p>
      <w:pPr>
        <w:pStyle w:val="4"/>
        <w:rPr>
          <w:rFonts w:hint="eastAsia"/>
        </w:rPr>
      </w:pPr>
      <w:r>
        <w:rPr>
          <w:rFonts w:hint="eastAsia"/>
        </w:rPr>
        <w:t>2.1设计理念</w:t>
      </w:r>
    </w:p>
    <w:p>
      <w:pPr>
        <w:pStyle w:val="11"/>
        <w:ind w:firstLine="480"/>
        <w:rPr>
          <w:rFonts w:hint="eastAsia"/>
        </w:rPr>
      </w:pPr>
      <w:r>
        <w:rPr>
          <w:rFonts w:hint="eastAsia"/>
        </w:rPr>
        <w:t>本项目的绿色建筑设计过程基于</w:t>
      </w:r>
      <w:r>
        <w:rPr>
          <w:rFonts w:hint="eastAsia"/>
          <w:lang w:val="en-US" w:eastAsia="zh-CN"/>
        </w:rPr>
        <w:t>湘潭</w:t>
      </w:r>
      <w:r>
        <w:rPr>
          <w:rFonts w:hint="eastAsia"/>
        </w:rPr>
        <w:t>本地区气候、资源条件，尊重自然、循法自然和利用自然，秉承绿色建筑的核心原则——因地制宜、整体设计、统筹考虑、集成的设计观，将“四节一环保”的绿色理念贯穿于建筑的设计、施工及后期运营各阶段的建筑全生命周期内；而具体的技术选择过程中，始终坚持“被动式设计优先、主动式技术优化、可再生能源补充”的基本原则。</w:t>
      </w:r>
    </w:p>
    <w:p>
      <w:pPr>
        <w:pStyle w:val="4"/>
        <w:rPr>
          <w:rFonts w:hint="eastAsia"/>
        </w:rPr>
      </w:pPr>
      <w:r>
        <w:rPr>
          <w:rFonts w:hint="eastAsia"/>
        </w:rPr>
        <w:t>2.2设计依据</w:t>
      </w:r>
    </w:p>
    <w:p>
      <w:pPr>
        <w:pStyle w:val="11"/>
        <w:ind w:firstLine="480"/>
        <w:rPr>
          <w:rFonts w:hint="eastAsia"/>
        </w:rPr>
      </w:pPr>
      <w:r>
        <w:rPr>
          <w:rFonts w:hint="eastAsia"/>
        </w:rPr>
        <w:t>《湖南省绿色建筑工程设计要点》（试行）；</w:t>
      </w:r>
    </w:p>
    <w:p>
      <w:pPr>
        <w:pStyle w:val="11"/>
        <w:ind w:firstLine="480"/>
        <w:rPr>
          <w:rFonts w:hint="eastAsia"/>
        </w:rPr>
      </w:pPr>
      <w:r>
        <w:rPr>
          <w:rFonts w:hint="eastAsia"/>
        </w:rPr>
        <w:t>《湖南省绿色建筑工程技术审查要点》（试行）；</w:t>
      </w:r>
    </w:p>
    <w:p>
      <w:pPr>
        <w:pStyle w:val="11"/>
        <w:ind w:firstLine="480"/>
        <w:rPr>
          <w:rFonts w:hint="eastAsia"/>
        </w:rPr>
      </w:pPr>
      <w:r>
        <w:rPr>
          <w:rFonts w:hint="eastAsia"/>
        </w:rPr>
        <w:t>《湖南省绿色建筑评价标准》（DBJ43/T357-2020）；</w:t>
      </w:r>
    </w:p>
    <w:p>
      <w:pPr>
        <w:pStyle w:val="11"/>
        <w:ind w:firstLine="480"/>
        <w:rPr>
          <w:rFonts w:hint="eastAsia"/>
        </w:rPr>
      </w:pPr>
      <w:r>
        <w:rPr>
          <w:rFonts w:hint="eastAsia"/>
        </w:rPr>
        <w:t>《民用建筑热工设计规范》（GB50176-2016）；</w:t>
      </w:r>
    </w:p>
    <w:p>
      <w:pPr>
        <w:pStyle w:val="11"/>
        <w:ind w:firstLine="480"/>
        <w:rPr>
          <w:rFonts w:hint="eastAsia"/>
        </w:rPr>
      </w:pPr>
      <w:r>
        <w:rPr>
          <w:rFonts w:hint="eastAsia"/>
        </w:rPr>
        <w:t>《湖南省公共建筑节能设计标准》（DBJ43/003-2017）；</w:t>
      </w:r>
    </w:p>
    <w:p>
      <w:pPr>
        <w:pStyle w:val="11"/>
        <w:ind w:firstLine="480"/>
        <w:rPr>
          <w:rFonts w:hint="eastAsia"/>
        </w:rPr>
      </w:pPr>
      <w:r>
        <w:rPr>
          <w:rFonts w:hint="eastAsia"/>
        </w:rPr>
        <w:t>《湖南省居住建筑节能设计标准》（DBJ43/001-2017）；</w:t>
      </w:r>
    </w:p>
    <w:p>
      <w:pPr>
        <w:pStyle w:val="11"/>
        <w:ind w:firstLine="480"/>
        <w:rPr>
          <w:rFonts w:hint="eastAsia"/>
        </w:rPr>
      </w:pPr>
      <w:r>
        <w:rPr>
          <w:rFonts w:hint="eastAsia"/>
        </w:rPr>
        <w:t>《建筑采光设计标准》（GB50033-2013）；</w:t>
      </w:r>
    </w:p>
    <w:p>
      <w:pPr>
        <w:pStyle w:val="11"/>
        <w:ind w:firstLine="480"/>
        <w:rPr>
          <w:rFonts w:hint="eastAsia"/>
        </w:rPr>
      </w:pPr>
      <w:r>
        <w:rPr>
          <w:rFonts w:hint="eastAsia"/>
        </w:rPr>
        <w:t>《声环境质量标准》（GB3096-2008）；</w:t>
      </w:r>
    </w:p>
    <w:p>
      <w:pPr>
        <w:pStyle w:val="11"/>
        <w:ind w:firstLine="480"/>
        <w:rPr>
          <w:rFonts w:hint="eastAsia"/>
        </w:rPr>
      </w:pPr>
      <w:r>
        <w:rPr>
          <w:rFonts w:hint="eastAsia"/>
        </w:rPr>
        <w:t>《民用建筑隔声设计规范》（GB50118-2010）；</w:t>
      </w:r>
    </w:p>
    <w:p>
      <w:pPr>
        <w:pStyle w:val="11"/>
        <w:ind w:firstLine="480"/>
        <w:rPr>
          <w:rFonts w:hint="eastAsia"/>
        </w:rPr>
      </w:pPr>
      <w:r>
        <w:rPr>
          <w:rFonts w:hint="eastAsia"/>
        </w:rPr>
        <w:t>《民用建筑节水设计标准》（GB50555-2010）；</w:t>
      </w:r>
    </w:p>
    <w:p>
      <w:pPr>
        <w:pStyle w:val="11"/>
        <w:ind w:firstLine="480"/>
        <w:rPr>
          <w:rFonts w:hint="eastAsia"/>
        </w:rPr>
      </w:pPr>
      <w:r>
        <w:rPr>
          <w:rFonts w:hint="eastAsia"/>
        </w:rPr>
        <w:t>《建筑照明设计标准》（GB50034-2013）；</w:t>
      </w:r>
    </w:p>
    <w:p>
      <w:pPr>
        <w:pStyle w:val="11"/>
        <w:ind w:firstLine="480"/>
        <w:rPr>
          <w:rFonts w:hint="eastAsia"/>
        </w:rPr>
      </w:pPr>
      <w:r>
        <w:rPr>
          <w:rStyle w:val="7"/>
          <w:b w:val="0"/>
          <w:bCs w:val="0"/>
        </w:rPr>
        <w:t>《湖南省住房和城乡建设厅关于加强我省民用建筑节能与绿色建筑相关管理工作的通知》</w:t>
      </w:r>
      <w:r>
        <w:rPr>
          <w:rFonts w:hint="eastAsia"/>
        </w:rPr>
        <w:t>（</w:t>
      </w:r>
      <w:r>
        <w:rPr>
          <w:rStyle w:val="7"/>
          <w:b w:val="0"/>
          <w:bCs w:val="0"/>
          <w:shd w:val="clear" w:color="auto" w:fill="FFFFFF"/>
        </w:rPr>
        <w:t>湘建科〔2019〕244号</w:t>
      </w:r>
      <w:r>
        <w:rPr>
          <w:rFonts w:hint="eastAsia"/>
        </w:rPr>
        <w:t>）；</w:t>
      </w:r>
    </w:p>
    <w:p>
      <w:pPr>
        <w:pStyle w:val="11"/>
        <w:ind w:firstLine="480"/>
        <w:rPr>
          <w:rFonts w:hint="eastAsia"/>
        </w:rPr>
      </w:pPr>
      <w:r>
        <w:rPr>
          <w:rFonts w:hint="eastAsia"/>
        </w:rPr>
        <w:t>本工程其他专业提供的设计资料；</w:t>
      </w:r>
    </w:p>
    <w:p>
      <w:pPr>
        <w:pStyle w:val="11"/>
        <w:ind w:firstLine="480"/>
        <w:rPr>
          <w:rFonts w:hint="eastAsia"/>
        </w:rPr>
      </w:pPr>
      <w:r>
        <w:rPr>
          <w:rFonts w:hint="eastAsia"/>
        </w:rPr>
        <w:t>其它国家、地方相关规范标准等。</w:t>
      </w:r>
    </w:p>
    <w:p>
      <w:pPr>
        <w:pStyle w:val="3"/>
        <w:rPr>
          <w:rFonts w:hint="eastAsia"/>
        </w:rPr>
      </w:pPr>
      <w:r>
        <w:rPr>
          <w:rFonts w:hint="eastAsia"/>
        </w:rPr>
        <w:t>3.主要设计策略及技术</w:t>
      </w:r>
    </w:p>
    <w:p>
      <w:pPr>
        <w:pStyle w:val="4"/>
        <w:rPr>
          <w:rFonts w:hint="eastAsia"/>
        </w:rPr>
      </w:pPr>
      <w:r>
        <w:rPr>
          <w:rFonts w:hint="eastAsia"/>
        </w:rPr>
        <w:t>3.1建筑专业</w:t>
      </w:r>
    </w:p>
    <w:p>
      <w:pPr>
        <w:pStyle w:val="11"/>
        <w:ind w:firstLine="480"/>
        <w:rPr>
          <w:rFonts w:hint="eastAsia"/>
        </w:rPr>
      </w:pPr>
      <w:r>
        <w:rPr>
          <w:rFonts w:hint="eastAsia"/>
        </w:rPr>
        <w:t>（1）本工程场地内不存在洪涝、滑坡、泥石流等自然灾害的威胁，无危险化学品、易燃易爆危险源的威胁，无电磁辐射、含氡土壤等危害，详见地勘报告、检测报告。</w:t>
      </w:r>
    </w:p>
    <w:p>
      <w:pPr>
        <w:pStyle w:val="11"/>
        <w:ind w:firstLine="480"/>
        <w:rPr>
          <w:rFonts w:hint="eastAsia"/>
        </w:rPr>
      </w:pPr>
      <w:r>
        <w:rPr>
          <w:rFonts w:hint="eastAsia"/>
        </w:rPr>
        <w:t>（2）本工程建设场地内不存在未达标排放或者超标排放的气态、液态或固态的污染源。</w:t>
      </w:r>
    </w:p>
    <w:p>
      <w:pPr>
        <w:pStyle w:val="11"/>
        <w:ind w:firstLine="480"/>
        <w:jc w:val="both"/>
        <w:rPr>
          <w:rFonts w:hint="eastAsia"/>
        </w:rPr>
      </w:pPr>
      <w:r>
        <w:rPr>
          <w:rFonts w:hint="eastAsia"/>
        </w:rPr>
        <w:t>（3）本工程场地内环境噪声符合现行国家标准《声环境质量标准》GB 3096-2008的相关规定，详见环境噪声模拟分析报告。</w:t>
      </w:r>
    </w:p>
    <w:p>
      <w:pPr>
        <w:pStyle w:val="11"/>
        <w:ind w:firstLine="480"/>
        <w:rPr>
          <w:rFonts w:hint="eastAsia"/>
        </w:rPr>
      </w:pPr>
      <w:r>
        <w:rPr>
          <w:rFonts w:hint="eastAsia"/>
        </w:rPr>
        <w:t>（4）本工程主要功能房间的采光系数符合现行国家标准《建筑采光设计标准》GB 50033-2013的规定，详见主要功能房间室内采光模拟分析报告。</w:t>
      </w:r>
    </w:p>
    <w:p>
      <w:pPr>
        <w:pStyle w:val="11"/>
        <w:ind w:firstLine="480"/>
        <w:rPr>
          <w:rFonts w:hint="eastAsia"/>
        </w:rPr>
      </w:pPr>
      <w:r>
        <w:rPr>
          <w:rFonts w:hint="eastAsia"/>
        </w:rPr>
        <w:t>（5）本工程内表面温度计算结果不低于室内空气露点温度，详见结露检查报告书。</w:t>
      </w:r>
    </w:p>
    <w:p>
      <w:pPr>
        <w:pStyle w:val="11"/>
        <w:ind w:firstLine="480"/>
        <w:rPr>
          <w:rFonts w:hint="eastAsia"/>
        </w:rPr>
      </w:pPr>
      <w:r>
        <w:rPr>
          <w:rFonts w:hint="eastAsia"/>
        </w:rPr>
        <w:t>（6）本工程公建部分纯装饰性构件造价比例不大于5‰，居建部分纯装饰性构件造价比例不大于2%，详见纯装饰性构件造价比例计算书。</w:t>
      </w:r>
    </w:p>
    <w:p>
      <w:pPr>
        <w:pStyle w:val="11"/>
        <w:ind w:firstLine="480"/>
        <w:rPr>
          <w:rFonts w:hint="eastAsia"/>
        </w:rPr>
      </w:pPr>
      <w:r>
        <w:rPr>
          <w:rFonts w:hint="eastAsia"/>
        </w:rPr>
        <w:t>（7）本工程主要功能房间的室内噪声级符合现行国家标准《民用建筑隔声设计规范》GB 50118-2010中的低限标准规定，详见室内噪声分析报告。</w:t>
      </w:r>
    </w:p>
    <w:p>
      <w:pPr>
        <w:pStyle w:val="11"/>
        <w:ind w:firstLine="480"/>
        <w:rPr>
          <w:rFonts w:hint="eastAsia"/>
        </w:rPr>
      </w:pPr>
      <w:r>
        <w:rPr>
          <w:rFonts w:hint="eastAsia"/>
        </w:rPr>
        <w:t>（8）本工程主要功能房间的外墙、隔墙、楼板和门窗的隔声性能符合现行国家标准《民用建筑隔声设计规范》GB 50118-2010中的低限标准规定，详见构件隔声计算报告。</w:t>
      </w:r>
    </w:p>
    <w:p>
      <w:pPr>
        <w:pStyle w:val="4"/>
        <w:rPr>
          <w:rFonts w:hint="eastAsia"/>
        </w:rPr>
      </w:pPr>
      <w:r>
        <w:rPr>
          <w:rFonts w:hint="eastAsia"/>
        </w:rPr>
        <w:t>3.2结构专业</w:t>
      </w:r>
    </w:p>
    <w:p>
      <w:pPr>
        <w:pStyle w:val="11"/>
        <w:ind w:firstLine="480"/>
        <w:rPr>
          <w:rFonts w:hint="eastAsia"/>
        </w:rPr>
      </w:pPr>
      <w:r>
        <w:rPr>
          <w:rFonts w:hint="eastAsia"/>
        </w:rPr>
        <w:t>（1）本工程不得采用国家及地方禁止和限制使用的建筑材料及制品。</w:t>
      </w:r>
    </w:p>
    <w:p>
      <w:pPr>
        <w:pStyle w:val="11"/>
        <w:ind w:firstLine="480"/>
        <w:rPr>
          <w:rFonts w:hint="eastAsia"/>
        </w:rPr>
      </w:pPr>
      <w:r>
        <w:rPr>
          <w:rFonts w:hint="eastAsia"/>
        </w:rPr>
        <w:t>（2）本工程公共建筑纯装饰性构件造价比例不大于5‰，居建部分纯装饰性构件造价比例不大于2%，详见纯装饰性构件造价比例计算书。</w:t>
      </w:r>
    </w:p>
    <w:p>
      <w:pPr>
        <w:pStyle w:val="11"/>
        <w:ind w:firstLine="480"/>
        <w:rPr>
          <w:rFonts w:hint="eastAsia"/>
        </w:rPr>
      </w:pPr>
      <w:r>
        <w:rPr>
          <w:rFonts w:hint="eastAsia"/>
        </w:rPr>
        <w:t>（3）本工程梁、柱和斜撑构件（含梯段）的纵向受力普通钢筋采用不低于400MPa 级热轧带肋钢筋。</w:t>
      </w:r>
    </w:p>
    <w:p>
      <w:pPr>
        <w:pStyle w:val="11"/>
        <w:ind w:firstLine="480"/>
        <w:rPr>
          <w:rFonts w:hint="eastAsia"/>
        </w:rPr>
      </w:pPr>
      <w:r>
        <w:rPr>
          <w:rFonts w:hint="eastAsia"/>
        </w:rPr>
        <w:t>（4）本工程受力普通钢筋使用不低于400MPa级钢筋的用量占受力普通钢筋总使用量的比例不应低于30%。</w:t>
      </w:r>
    </w:p>
    <w:p>
      <w:pPr>
        <w:pStyle w:val="11"/>
        <w:ind w:firstLine="480"/>
        <w:rPr>
          <w:rFonts w:hint="eastAsia"/>
        </w:rPr>
      </w:pPr>
      <w:r>
        <w:rPr>
          <w:rFonts w:hint="eastAsia"/>
        </w:rPr>
        <w:t>（5）本工程生产产地距施工现场500km以内的建筑材料占总建筑材料用量比例不应低于90%。</w:t>
      </w:r>
    </w:p>
    <w:p>
      <w:pPr>
        <w:pStyle w:val="11"/>
        <w:ind w:firstLine="480"/>
        <w:rPr>
          <w:rFonts w:hint="eastAsia"/>
        </w:rPr>
      </w:pPr>
      <w:r>
        <w:rPr>
          <w:rFonts w:hint="eastAsia"/>
        </w:rPr>
        <w:t>（6）现浇混凝土全部采用预拌混凝土。</w:t>
      </w:r>
    </w:p>
    <w:p>
      <w:pPr>
        <w:pStyle w:val="11"/>
        <w:ind w:firstLine="480"/>
        <w:rPr>
          <w:rFonts w:hint="eastAsia"/>
        </w:rPr>
      </w:pPr>
      <w:r>
        <w:rPr>
          <w:rFonts w:hint="eastAsia"/>
        </w:rPr>
        <w:t>（7）本工程使用可再利用材料和可再循环材料重量占建筑材料总重量的比例不应低于10%。</w:t>
      </w:r>
    </w:p>
    <w:p>
      <w:pPr>
        <w:pStyle w:val="4"/>
        <w:rPr>
          <w:rFonts w:hint="eastAsia"/>
        </w:rPr>
      </w:pPr>
      <w:r>
        <w:rPr>
          <w:rFonts w:hint="eastAsia"/>
        </w:rPr>
        <w:t>3.3给排水专业</w:t>
      </w:r>
    </w:p>
    <w:p>
      <w:pPr>
        <w:pStyle w:val="11"/>
        <w:ind w:firstLine="480"/>
        <w:rPr>
          <w:rFonts w:hint="eastAsia"/>
        </w:rPr>
      </w:pPr>
      <w:r>
        <w:rPr>
          <w:rFonts w:hint="eastAsia"/>
        </w:rPr>
        <w:t>（1）本工程选用的水泵效率不低于现行国家标准《清水离心泵能效限定值及节能评价值》GB19762-2007规定的节能评价值。</w:t>
      </w:r>
    </w:p>
    <w:p>
      <w:pPr>
        <w:pStyle w:val="11"/>
        <w:ind w:firstLine="480"/>
        <w:rPr>
          <w:rFonts w:hint="eastAsia"/>
        </w:rPr>
      </w:pPr>
      <w:r>
        <w:rPr>
          <w:rFonts w:hint="eastAsia"/>
        </w:rPr>
        <w:t>（2）本工程选用的卫生器具及其配件符合现行国家标准《节水型产品通用技术条件》GB/T 18870-2016的有关规定。</w:t>
      </w:r>
    </w:p>
    <w:p>
      <w:pPr>
        <w:pStyle w:val="11"/>
        <w:ind w:firstLine="480"/>
        <w:rPr>
          <w:rFonts w:hint="eastAsia"/>
        </w:rPr>
      </w:pPr>
      <w:r>
        <w:rPr>
          <w:rFonts w:hint="eastAsia"/>
        </w:rPr>
        <w:t>（3）本工程根据不同使用性质及计费标准分类分别设置水表。</w:t>
      </w:r>
    </w:p>
    <w:p>
      <w:pPr>
        <w:pStyle w:val="11"/>
        <w:ind w:firstLine="480"/>
        <w:rPr>
          <w:rFonts w:hint="eastAsia"/>
        </w:rPr>
      </w:pPr>
      <w:r>
        <w:rPr>
          <w:rFonts w:hint="eastAsia"/>
        </w:rPr>
        <w:t>（4）本工程给水系统充分利用城镇给水管网水压直接供水。</w:t>
      </w:r>
    </w:p>
    <w:p>
      <w:pPr>
        <w:pStyle w:val="11"/>
        <w:ind w:firstLine="480"/>
        <w:rPr>
          <w:rFonts w:hint="eastAsia"/>
        </w:rPr>
      </w:pPr>
      <w:r>
        <w:rPr>
          <w:rFonts w:hint="eastAsia"/>
        </w:rPr>
        <w:t xml:space="preserve">（5）本工程卫生间采用节水控制方式，如脚踏开关、红外感应水嘴和感应式冲洗阀小便器。 </w:t>
      </w:r>
    </w:p>
    <w:p>
      <w:pPr>
        <w:pStyle w:val="4"/>
        <w:rPr>
          <w:rFonts w:hint="eastAsia"/>
        </w:rPr>
      </w:pPr>
      <w:r>
        <w:rPr>
          <w:rFonts w:hint="eastAsia"/>
        </w:rPr>
        <w:t>3.4电气专业</w:t>
      </w:r>
    </w:p>
    <w:p>
      <w:pPr>
        <w:pStyle w:val="11"/>
        <w:ind w:firstLine="480"/>
        <w:rPr>
          <w:rFonts w:hint="eastAsia"/>
        </w:rPr>
      </w:pPr>
      <w:r>
        <w:rPr>
          <w:rFonts w:hint="eastAsia"/>
        </w:rPr>
        <w:t>（1）本工程各类照明场所的照明功率密度值不高于现行国家标准《建筑照明设计标准》GB 50034 规定的现行值，详见照明计算书。</w:t>
      </w:r>
    </w:p>
    <w:p>
      <w:pPr>
        <w:pStyle w:val="11"/>
        <w:ind w:firstLine="480"/>
        <w:rPr>
          <w:rFonts w:hint="eastAsia"/>
        </w:rPr>
      </w:pPr>
      <w:r>
        <w:rPr>
          <w:rFonts w:hint="eastAsia"/>
        </w:rPr>
        <w:t>（2）本工程走廊、楼梯间、门厅、</w:t>
      </w:r>
      <w:r>
        <w:rPr>
          <w:rFonts w:hint="eastAsia"/>
          <w:lang w:val="en-US" w:eastAsia="zh-CN"/>
        </w:rPr>
        <w:t>报告厅</w:t>
      </w:r>
      <w:r>
        <w:rPr>
          <w:rFonts w:hint="eastAsia"/>
        </w:rPr>
        <w:t>、</w:t>
      </w:r>
      <w:r>
        <w:rPr>
          <w:rFonts w:hint="eastAsia"/>
          <w:lang w:val="en-US" w:eastAsia="zh-CN"/>
        </w:rPr>
        <w:t>会议室</w:t>
      </w:r>
      <w:r>
        <w:rPr>
          <w:rFonts w:hint="eastAsia"/>
        </w:rPr>
        <w:t>等区域采取集中或分区控制、声控、光控、延时等节能控制措施。</w:t>
      </w:r>
    </w:p>
    <w:p>
      <w:pPr>
        <w:pStyle w:val="4"/>
        <w:rPr>
          <w:rFonts w:hint="eastAsia"/>
        </w:rPr>
      </w:pPr>
      <w:r>
        <w:rPr>
          <w:rFonts w:hint="eastAsia"/>
        </w:rPr>
        <w:t>3.5暖通空调专业</w:t>
      </w:r>
    </w:p>
    <w:p>
      <w:pPr>
        <w:pStyle w:val="11"/>
        <w:ind w:firstLine="480"/>
        <w:rPr>
          <w:rFonts w:hint="eastAsia"/>
        </w:rPr>
      </w:pPr>
      <w:r>
        <w:rPr>
          <w:rFonts w:hint="eastAsia"/>
        </w:rPr>
        <w:t>（1）分散式空调器能效等级达到GB 12021.3 或GB 21455 中二级及以上能效。</w:t>
      </w:r>
    </w:p>
    <w:p>
      <w:pPr>
        <w:pStyle w:val="11"/>
        <w:ind w:firstLine="480"/>
        <w:rPr>
          <w:rFonts w:hint="eastAsia"/>
        </w:rPr>
      </w:pPr>
      <w:r>
        <w:rPr>
          <w:rFonts w:hint="eastAsia" w:ascii="宋体" w:hAnsi="宋体"/>
        </w:rPr>
        <w:t>（2）本工程建筑设计中统一规划分体机室外机的安装位置，便于室外机的安装和检修，且设置室外机遮阳，避免气流短路、保证通风良好。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98"/>
    <w:rsid w:val="000B594A"/>
    <w:rsid w:val="00300832"/>
    <w:rsid w:val="00630018"/>
    <w:rsid w:val="00704298"/>
    <w:rsid w:val="1B30235F"/>
    <w:rsid w:val="47C04FBD"/>
    <w:rsid w:val="4B386620"/>
    <w:rsid w:val="74AD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0"/>
    <w:pPr>
      <w:keepNext/>
      <w:keepLines/>
      <w:spacing w:line="416" w:lineRule="auto"/>
      <w:outlineLvl w:val="1"/>
    </w:pPr>
    <w:rPr>
      <w:rFonts w:ascii="Times New Roman" w:hAnsi="Times New Roman" w:eastAsia="黑体" w:cs="Times New Roman"/>
      <w:bCs/>
      <w:sz w:val="32"/>
      <w:szCs w:val="32"/>
      <w:lang w:val="zh-CN" w:eastAsia="zh-CN"/>
    </w:rPr>
  </w:style>
  <w:style w:type="paragraph" w:styleId="4">
    <w:name w:val="heading 3"/>
    <w:basedOn w:val="1"/>
    <w:next w:val="1"/>
    <w:link w:val="17"/>
    <w:unhideWhenUsed/>
    <w:qFormat/>
    <w:uiPriority w:val="9"/>
    <w:pPr>
      <w:keepNext/>
      <w:keepLines/>
      <w:spacing w:line="360" w:lineRule="auto"/>
      <w:outlineLvl w:val="2"/>
    </w:pPr>
    <w:rPr>
      <w:rFonts w:ascii="Times New Roman" w:hAnsi="Times New Roman" w:eastAsia="黑体" w:cs="Times New Roman"/>
      <w:bCs/>
      <w:sz w:val="28"/>
      <w:szCs w:val="32"/>
      <w:lang w:val="zh-CN" w:eastAsia="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22"/>
    <w:rPr>
      <w:b/>
      <w:bCs/>
    </w:rPr>
  </w:style>
  <w:style w:type="character" w:customStyle="1" w:styleId="8">
    <w:name w:val="标题 2 字符"/>
    <w:basedOn w:val="6"/>
    <w:semiHidden/>
    <w:uiPriority w:val="9"/>
    <w:rPr>
      <w:rFonts w:asciiTheme="majorHAnsi" w:hAnsiTheme="majorHAnsi" w:eastAsiaTheme="majorEastAsia" w:cstheme="majorBidi"/>
      <w:b/>
      <w:bCs/>
      <w:sz w:val="32"/>
      <w:szCs w:val="32"/>
    </w:rPr>
  </w:style>
  <w:style w:type="character" w:customStyle="1" w:styleId="9">
    <w:name w:val="标题 3 字符"/>
    <w:basedOn w:val="6"/>
    <w:semiHidden/>
    <w:uiPriority w:val="9"/>
    <w:rPr>
      <w:b/>
      <w:bCs/>
      <w:sz w:val="32"/>
      <w:szCs w:val="32"/>
    </w:rPr>
  </w:style>
  <w:style w:type="character" w:customStyle="1" w:styleId="10">
    <w:name w:val="标题 2 Char"/>
    <w:link w:val="3"/>
    <w:qFormat/>
    <w:uiPriority w:val="0"/>
    <w:rPr>
      <w:rFonts w:ascii="Times New Roman" w:hAnsi="Times New Roman" w:eastAsia="黑体" w:cs="Times New Roman"/>
      <w:bCs/>
      <w:sz w:val="32"/>
      <w:szCs w:val="32"/>
      <w:lang w:val="zh-CN" w:eastAsia="zh-CN"/>
    </w:rPr>
  </w:style>
  <w:style w:type="paragraph" w:customStyle="1" w:styleId="11">
    <w:name w:val="@正文"/>
    <w:basedOn w:val="1"/>
    <w:qFormat/>
    <w:uiPriority w:val="0"/>
    <w:pPr>
      <w:spacing w:line="360" w:lineRule="auto"/>
      <w:ind w:firstLine="200" w:firstLineChars="200"/>
      <w:jc w:val="left"/>
    </w:pPr>
    <w:rPr>
      <w:rFonts w:ascii="Times New Roman" w:hAnsi="Times New Roman" w:eastAsia="宋体" w:cs="Times New Roman"/>
      <w:sz w:val="24"/>
      <w:szCs w:val="24"/>
    </w:rPr>
  </w:style>
  <w:style w:type="paragraph" w:customStyle="1" w:styleId="12">
    <w:name w:val="@图名"/>
    <w:basedOn w:val="1"/>
    <w:qFormat/>
    <w:uiPriority w:val="0"/>
    <w:pPr>
      <w:jc w:val="center"/>
    </w:pPr>
    <w:rPr>
      <w:rFonts w:ascii="Times New Roman" w:hAnsi="Times New Roman" w:eastAsia="黑体" w:cs="Times New Roman"/>
      <w:sz w:val="24"/>
    </w:rPr>
  </w:style>
  <w:style w:type="paragraph" w:customStyle="1" w:styleId="13">
    <w:name w:val="@标题大"/>
    <w:basedOn w:val="2"/>
    <w:qFormat/>
    <w:uiPriority w:val="0"/>
    <w:pPr>
      <w:adjustRightInd w:val="0"/>
      <w:spacing w:before="0" w:after="0" w:line="578" w:lineRule="atLeast"/>
      <w:jc w:val="center"/>
      <w:textAlignment w:val="baseline"/>
    </w:pPr>
    <w:rPr>
      <w:rFonts w:ascii="黑体" w:hAnsi="黑体" w:eastAsia="黑体" w:cs="Times New Roman"/>
      <w:b w:val="0"/>
      <w:bCs w:val="0"/>
      <w:sz w:val="36"/>
      <w:szCs w:val="30"/>
      <w:lang w:val="zh-CN" w:eastAsia="zh-CN"/>
    </w:rPr>
  </w:style>
  <w:style w:type="paragraph" w:customStyle="1" w:styleId="14">
    <w:name w:val="lj正文"/>
    <w:qFormat/>
    <w:uiPriority w:val="0"/>
    <w:pPr>
      <w:shd w:val="clear" w:color="auto" w:fill="FFFFFF"/>
      <w:spacing w:line="360" w:lineRule="auto"/>
      <w:ind w:firstLine="200" w:firstLineChars="200"/>
    </w:pPr>
    <w:rPr>
      <w:rFonts w:ascii="宋体" w:hAnsi="宋体" w:eastAsia="宋体" w:cs="Times New Roman"/>
      <w:color w:val="000000"/>
      <w:kern w:val="0"/>
      <w:sz w:val="24"/>
      <w:szCs w:val="24"/>
      <w:lang w:val="en-US" w:eastAsia="zh-CN" w:bidi="ar-SA"/>
    </w:rPr>
  </w:style>
  <w:style w:type="character" w:customStyle="1" w:styleId="15">
    <w:name w:val="fontstyle01"/>
    <w:uiPriority w:val="0"/>
    <w:rPr>
      <w:rFonts w:hint="eastAsia" w:ascii="宋体" w:hAnsi="宋体" w:eastAsia="宋体"/>
      <w:color w:val="000000"/>
      <w:sz w:val="24"/>
      <w:szCs w:val="24"/>
    </w:rPr>
  </w:style>
  <w:style w:type="character" w:customStyle="1" w:styleId="16">
    <w:name w:val="fontstyle21"/>
    <w:uiPriority w:val="0"/>
    <w:rPr>
      <w:rFonts w:hint="default" w:ascii="Times New Roman" w:hAnsi="Times New Roman" w:cs="Times New Roman"/>
      <w:color w:val="000000"/>
      <w:sz w:val="24"/>
      <w:szCs w:val="24"/>
    </w:rPr>
  </w:style>
  <w:style w:type="character" w:customStyle="1" w:styleId="17">
    <w:name w:val="标题 3 Char"/>
    <w:link w:val="4"/>
    <w:qFormat/>
    <w:uiPriority w:val="9"/>
    <w:rPr>
      <w:rFonts w:ascii="Times New Roman" w:hAnsi="Times New Roman" w:eastAsia="黑体" w:cs="Times New Roman"/>
      <w:bCs/>
      <w:sz w:val="28"/>
      <w:szCs w:val="32"/>
      <w:lang w:val="zh-CN" w:eastAsia="zh-CN"/>
    </w:rPr>
  </w:style>
  <w:style w:type="character" w:customStyle="1" w:styleId="18">
    <w:name w:val="标题 1 字符"/>
    <w:basedOn w:val="6"/>
    <w:link w:val="2"/>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333</Words>
  <Characters>1904</Characters>
  <Lines>15</Lines>
  <Paragraphs>4</Paragraphs>
  <TotalTime>17</TotalTime>
  <ScaleCrop>false</ScaleCrop>
  <LinksUpToDate>false</LinksUpToDate>
  <CharactersWithSpaces>2233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2021-01-05T11:00:00Z</dcterms:created>
  <dc:creator>微软用户</dc:creator>
  <cp:lastModifiedBy>Bad guy</cp:lastModifiedBy>
  <dcterms:modified xsi:type="dcterms:W3CDTF">2021-01-05T13:17:34Z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