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崇明楼改造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新疆-乌鲁木齐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2021年1月4日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20190909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T13699974501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_Toc10668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_Toc15822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_Toc15822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_Toc518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_Toc27187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_Toc12058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_Toc21583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_Toc1127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_Toc25257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_Toc21304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_Toc6842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_Toc1809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_Toc3622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_Toc5776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_Toc24199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_Toc29809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_Toc29941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_Toc18835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_Toc12911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_Toc18472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3.9.1 </w:t>
      </w:r>
      <w:r>
        <w:rPr>
          <w:kern w:val="2"/>
          <w:szCs w:val="24"/>
          <w:lang w:val="en-US"/>
        </w:rPr>
        <w:t>底面接触室外空气的架空或外挑楼板构造一</w:t>
      </w:r>
      <w:r>
        <w:tab/>
      </w:r>
      <w:r>
        <w:fldChar w:fldCharType="begin"/>
      </w:r>
      <w:r>
        <w:instrText xml:space="preserve"> PAGEREF _Toc18630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_Toc10624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3.10.1 </w:t>
      </w:r>
      <w:r>
        <w:rPr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_Toc10181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3.10.2 </w:t>
      </w:r>
      <w:r>
        <w:rPr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_Toc13068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_Toc2212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_Toc17543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_Toc12809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_Toc16495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_Toc8488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_Toc26927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_Toc26811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_Toc24741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_Toc23788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_Toc9461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_Toc7021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_Toc31936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_Toc14659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_Toc5685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_Toc27676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_Toc30622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_Toc29479 </w:instrText>
      </w:r>
      <w:r>
        <w:fldChar w:fldCharType="separate"/>
      </w:r>
      <w:r>
        <w:rPr>
          <w:rFonts w:hint="eastAsia"/>
        </w:rPr>
        <w:t xml:space="preserve">4 </w:t>
      </w:r>
      <w:r>
        <w:t>热工性能权衡判断</w:t>
      </w:r>
      <w:r>
        <w:tab/>
      </w:r>
      <w:r>
        <w:fldChar w:fldCharType="begin"/>
      </w:r>
      <w:r>
        <w:instrText xml:space="preserve"> PAGEREF _Toc29479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_Toc5454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说明</w:t>
      </w:r>
      <w:r>
        <w:tab/>
      </w:r>
      <w:r>
        <w:fldChar w:fldCharType="begin"/>
      </w:r>
      <w:r>
        <w:instrText xml:space="preserve"> PAGEREF _Toc5454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t>屋顶构造</w:t>
      </w:r>
      <w:r>
        <w:tab/>
      </w:r>
      <w:r>
        <w:fldChar w:fldCharType="begin"/>
      </w:r>
      <w:r>
        <w:instrText xml:space="preserve"> PAGEREF _Toc25536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t>屋顶构造一</w:t>
      </w:r>
      <w:r>
        <w:tab/>
      </w:r>
      <w:r>
        <w:fldChar w:fldCharType="begin"/>
      </w:r>
      <w:r>
        <w:instrText xml:space="preserve"> PAGEREF _Toc16422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_Toc24691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t>外墙构造</w:t>
      </w:r>
      <w:r>
        <w:tab/>
      </w:r>
      <w:r>
        <w:fldChar w:fldCharType="begin"/>
      </w:r>
      <w:r>
        <w:instrText xml:space="preserve"> PAGEREF _Toc24691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t>外墙构造一</w:t>
      </w:r>
      <w:r>
        <w:tab/>
      </w:r>
      <w:r>
        <w:fldChar w:fldCharType="begin"/>
      </w:r>
      <w:r>
        <w:instrText xml:space="preserve"> PAGEREF _Toc30978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_Toc13602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_Toc22734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t>外窗热工</w:t>
      </w:r>
      <w:r>
        <w:tab/>
      </w:r>
      <w:r>
        <w:fldChar w:fldCharType="begin"/>
      </w:r>
      <w:r>
        <w:instrText xml:space="preserve"> PAGEREF _Toc22734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t>外窗构造</w:t>
      </w:r>
      <w:r>
        <w:tab/>
      </w:r>
      <w:r>
        <w:fldChar w:fldCharType="begin"/>
      </w:r>
      <w:r>
        <w:instrText xml:space="preserve"> PAGEREF _Toc26963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4.4.2 </w:t>
      </w:r>
      <w:r>
        <w:t>平均传热系数</w:t>
      </w:r>
      <w:r>
        <w:tab/>
      </w:r>
      <w:r>
        <w:fldChar w:fldCharType="begin"/>
      </w:r>
      <w:r>
        <w:instrText xml:space="preserve"> PAGEREF _Toc31259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4.4.3 </w:t>
      </w:r>
      <w:r>
        <w:t>总体热工性能</w:t>
      </w:r>
      <w:r>
        <w:tab/>
      </w:r>
      <w:r>
        <w:fldChar w:fldCharType="begin"/>
      </w:r>
      <w:r>
        <w:instrText xml:space="preserve"> PAGEREF _Toc8686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_Toc30816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综合权衡</w:t>
      </w:r>
      <w:r>
        <w:tab/>
      </w:r>
      <w:r>
        <w:fldChar w:fldCharType="begin"/>
      </w:r>
      <w:r>
        <w:instrText xml:space="preserve"> PAGEREF _Toc30816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4.5.1 </w:t>
      </w:r>
      <w:r>
        <w:t>计算条件</w:t>
      </w:r>
      <w:r>
        <w:tab/>
      </w:r>
      <w:r>
        <w:fldChar w:fldCharType="begin"/>
      </w:r>
      <w:r>
        <w:instrText xml:space="preserve"> PAGEREF _Toc13816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4.5.2 </w:t>
      </w:r>
      <w:r>
        <w:t>房间类型</w:t>
      </w:r>
      <w:r>
        <w:tab/>
      </w:r>
      <w:r>
        <w:fldChar w:fldCharType="begin"/>
      </w:r>
      <w:r>
        <w:instrText xml:space="preserve"> PAGEREF _Toc31316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4.5.3 </w:t>
      </w:r>
      <w:r>
        <w:t>综合权衡</w:t>
      </w:r>
      <w:r>
        <w:tab/>
      </w:r>
      <w:r>
        <w:fldChar w:fldCharType="begin"/>
      </w:r>
      <w:r>
        <w:instrText xml:space="preserve"> PAGEREF _Toc13833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结论</w:t>
      </w:r>
      <w:r>
        <w:tab/>
      </w:r>
      <w:r>
        <w:fldChar w:fldCharType="begin"/>
      </w:r>
      <w:r>
        <w:instrText xml:space="preserve"> PAGEREF _Toc10239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_Toc25744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附录</w:t>
      </w:r>
      <w:r>
        <w:tab/>
      </w:r>
      <w:r>
        <w:fldChar w:fldCharType="begin"/>
      </w:r>
      <w:r>
        <w:instrText xml:space="preserve"> PAGEREF _Toc25744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4.7.1 </w:t>
      </w:r>
      <w:r>
        <w:t>工作日/节假日室内空调温度时间表(℃)</w:t>
      </w:r>
      <w:r>
        <w:tab/>
      </w:r>
      <w:r>
        <w:fldChar w:fldCharType="begin"/>
      </w:r>
      <w:r>
        <w:instrText xml:space="preserve"> PAGEREF _Toc12918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4.7.2 </w:t>
      </w:r>
      <w:r>
        <w:t>工作日/节假日室内供暖温度时间表(℃)</w:t>
      </w:r>
      <w:r>
        <w:tab/>
      </w:r>
      <w:r>
        <w:fldChar w:fldCharType="begin"/>
      </w:r>
      <w:r>
        <w:instrText xml:space="preserve"> PAGEREF _Toc19748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4.7.3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_Toc613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4.7.4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_Toc23413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4.7.5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_Toc3010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4.7.6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_Toc5778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0668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崇明楼改造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新疆-乌鲁木齐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44.00°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87.61°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18854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3129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3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16.9m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94597.98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12903.06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砖混结构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0.72</w:t>
            </w:r>
          </w:p>
        </w:tc>
      </w:tr>
    </w:tbl>
    <w:p>
      <w:pPr>
        <w:pStyle w:val="2"/>
      </w:pPr>
      <w:bookmarkStart w:id="31" w:name="_Toc15822"/>
      <w:bookmarkStart w:id="32" w:name="TitleFormat"/>
      <w:r>
        <w:rPr>
          <w:rFonts w:hint="eastAsia"/>
        </w:rPr>
        <w:t>设计依据</w:t>
      </w:r>
      <w:bookmarkEnd w:id="31"/>
    </w:p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518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718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430.0</w:t>
            </w:r>
          </w:p>
        </w:tc>
        <w:tc>
          <w:tcPr>
            <w:vAlign w:val="center"/>
          </w:tcPr>
          <w:p>
            <w:r>
              <w:t>462.1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1670.3</w:t>
            </w:r>
          </w:p>
        </w:tc>
        <w:tc>
          <w:tcPr>
            <w:vAlign w:val="center"/>
          </w:tcPr>
          <w:p>
            <w:r>
              <w:t>0.1050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C15细石混凝土垫层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加气混凝土砌块(1)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素土夯实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13.054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2058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30mm＋保温砂浆 30mm＋粘土陶粒混凝土 30mm＋</w:t>
      </w:r>
      <w:r>
        <w:rPr>
          <w:color w:val="800000"/>
          <w:kern w:val="2"/>
          <w:szCs w:val="24"/>
          <w:lang w:val="en-US"/>
        </w:rPr>
        <w:t>建筑用真空绝热板 100mm</w:t>
      </w:r>
      <w:r>
        <w:rPr>
          <w:color w:val="000000"/>
          <w:kern w:val="2"/>
          <w:szCs w:val="24"/>
          <w:lang w:val="en-US"/>
        </w:rPr>
        <w:t>＋钢筋混凝土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</w:t>
      </w:r>
      <w:r>
        <w:rPr>
          <w:color w:val="800000"/>
          <w:kern w:val="2"/>
          <w:szCs w:val="24"/>
          <w:lang w:val="en-US"/>
        </w:rPr>
        <w:t>建筑用真空绝热板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灰砂砖 370mm</w:t>
      </w:r>
      <w:r>
        <w:rPr>
          <w:color w:val="000000"/>
          <w:kern w:val="2"/>
          <w:szCs w:val="24"/>
          <w:lang w:val="en-US"/>
        </w:rPr>
        <w:t>＋建筑用真空绝热板 50mm＋保温砂浆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底面接触室外空气的架空或外挑楼板构造一：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水泥砂浆楼面面层 30mm＋C15细石混凝土垫层 50mm＋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＋10厚1：3水泥砂浆找平层 10mm＋</w:t>
      </w:r>
      <w:r>
        <w:rPr>
          <w:color w:val="800080"/>
          <w:kern w:val="2"/>
          <w:szCs w:val="24"/>
          <w:lang w:val="en-US"/>
        </w:rPr>
        <w:t>钢筋混凝土楼板 120mm</w:t>
      </w:r>
      <w:r>
        <w:rPr>
          <w:color w:val="000000"/>
          <w:kern w:val="2"/>
          <w:szCs w:val="24"/>
          <w:lang w:val="en-US"/>
        </w:rPr>
        <w:t>＋建筑用真空绝热板 50mm＋薄抹灰饰面层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控温与非控温隔墙：</w:t>
      </w:r>
      <w:r>
        <w:rPr>
          <w:color w:val="0000FF"/>
          <w:kern w:val="2"/>
          <w:sz w:val="21"/>
          <w:szCs w:val="21"/>
          <w:lang w:val="en-US"/>
        </w:rPr>
        <w:t>非供暖房间与供暖房间之间的隔墙构造一：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室内抹灰 20mm＋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灰砂砖 240mm</w:t>
      </w:r>
      <w:r>
        <w:rPr>
          <w:color w:val="000000"/>
          <w:kern w:val="2"/>
          <w:szCs w:val="24"/>
          <w:lang w:val="en-US"/>
        </w:rPr>
        <w:t>＋建筑用真空绝热板 50mm＋薄抹灰饰面层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室内抹灰 20mm＋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灰砂砖 240mm</w:t>
      </w:r>
      <w:r>
        <w:rPr>
          <w:color w:val="000000"/>
          <w:kern w:val="2"/>
          <w:szCs w:val="24"/>
          <w:lang w:val="en-US"/>
        </w:rPr>
        <w:t>＋建筑用真空绝热板 50mm＋薄抹灰饰面层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地下车库与供暖房间之间的楼板：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水泥砂浆楼面面层 20mm＋粉煤灰陶粒砼隔音层 60mm＋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＋10厚1：3水泥砂浆找平层 10mm＋钢筋混凝土楼板 100mm＋建筑用真空绝热板 50mm＋薄抹灰饰面层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天窗：</w:t>
      </w:r>
      <w:r>
        <w:rPr>
          <w:color w:val="0000FF"/>
          <w:kern w:val="2"/>
          <w:sz w:val="21"/>
          <w:szCs w:val="21"/>
          <w:lang w:val="en-US"/>
        </w:rPr>
        <w:t>下限+PA断桥铝合金窗框+双银Low-E中空玻璃+空气层厚12mm：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传热系数0.843W/m^2.K，自身遮阳系数0.300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 w:val="21"/>
          <w:szCs w:val="21"/>
          <w:lang w:val="en-US"/>
        </w:rPr>
        <w:t>下限+PA断桥铝合金窗框+双银Low-E中空玻璃+空气层厚12mm：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传热系数0.843W/m^2.K，自身遮阳系数0.300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幕墙：</w:t>
      </w:r>
      <w:r>
        <w:rPr>
          <w:color w:val="0000FF"/>
          <w:kern w:val="2"/>
          <w:sz w:val="21"/>
          <w:szCs w:val="21"/>
          <w:lang w:val="en-US"/>
        </w:rPr>
        <w:t>下限+PA断桥铝合金窗框+双银Low-E中空玻璃+空气层厚12mm：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传热系数0.843W/m^2.K，自身遮阳系数0.300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胶粉聚苯颗粒保温浆料 20mm＋碎石、卵石混凝土 40mm＋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  <w:r>
        <w:rPr>
          <w:color w:val="000000"/>
          <w:kern w:val="2"/>
          <w:szCs w:val="24"/>
          <w:lang w:val="en-US"/>
        </w:rPr>
        <w:t>＋碎石、卵石混凝土 50mm＋</w:t>
      </w:r>
      <w:r>
        <w:rPr>
          <w:color w:val="800080"/>
          <w:kern w:val="2"/>
          <w:szCs w:val="24"/>
          <w:lang w:val="en-US"/>
        </w:rPr>
        <w:t>素土夯实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1583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12903.06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94597.98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127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5257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1522.52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1522.52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1490.75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1578.50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1304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232.31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135.72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83.20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1.70×2.60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8.84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1.75×2.60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248.17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67.86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158.08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1.70×2.60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17.68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1.75×2.60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724.86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6.85×3.40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</w:t>
            </w:r>
          </w:p>
        </w:tc>
        <w:tc>
          <w:tcPr>
            <w:vAlign w:val="center"/>
          </w:tcPr>
          <w:p>
            <w:r>
              <w:t>23.30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</w:t>
            </w:r>
          </w:p>
        </w:tc>
        <w:tc>
          <w:tcPr>
            <w:vAlign w:val="center"/>
          </w:tcPr>
          <w:p>
            <w:r>
              <w:t>31.46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5.15×3.40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17.51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79.04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6.85×3.40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</w:t>
            </w:r>
          </w:p>
        </w:tc>
        <w:tc>
          <w:tcPr>
            <w:vAlign w:val="center"/>
          </w:tcPr>
          <w:p>
            <w:r>
              <w:t>23.30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3.25×3.40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0.61×3.40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1.50×1.30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9.25×3.40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</w:t>
            </w:r>
          </w:p>
        </w:tc>
        <w:tc>
          <w:tcPr>
            <w:vAlign w:val="center"/>
          </w:tcPr>
          <w:p>
            <w:r>
              <w:t>31.46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5.15×3.40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17.51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5.71×3.70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21.13</w:t>
            </w:r>
          </w:p>
        </w:tc>
        <w:tc>
          <w:tcPr>
            <w:vAlign w:val="center"/>
          </w:tcPr>
          <w:p>
            <w:r>
              <w:t>42.25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9.25×3.70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34.24</w:t>
            </w:r>
          </w:p>
        </w:tc>
        <w:tc>
          <w:tcPr>
            <w:vAlign w:val="center"/>
          </w:tcPr>
          <w:p>
            <w:r>
              <w:t>68.48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6.85×3.70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25.36</w:t>
            </w:r>
          </w:p>
        </w:tc>
        <w:tc>
          <w:tcPr>
            <w:vAlign w:val="center"/>
          </w:tcPr>
          <w:p>
            <w:r>
              <w:t>50.72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3.25×3.70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</w:t>
            </w:r>
          </w:p>
        </w:tc>
        <w:tc>
          <w:tcPr>
            <w:vAlign w:val="center"/>
          </w:tcPr>
          <w:p>
            <w:r>
              <w:t>24.03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5.15×3.70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19.06</w:t>
            </w:r>
          </w:p>
        </w:tc>
        <w:tc>
          <w:tcPr>
            <w:vAlign w:val="center"/>
          </w:tcPr>
          <w:p>
            <w:r>
              <w:t>38.12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5.71×3.90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22.27</w:t>
            </w:r>
          </w:p>
        </w:tc>
        <w:tc>
          <w:tcPr>
            <w:vAlign w:val="center"/>
          </w:tcPr>
          <w:p>
            <w:r>
              <w:t>44.53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9.25×3.90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36.09</w:t>
            </w:r>
          </w:p>
        </w:tc>
        <w:tc>
          <w:tcPr>
            <w:vAlign w:val="center"/>
          </w:tcPr>
          <w:p>
            <w:r>
              <w:t>72.18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6.85×3.90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53.46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3.25×3.90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</w:t>
            </w:r>
          </w:p>
        </w:tc>
        <w:tc>
          <w:tcPr>
            <w:vAlign w:val="center"/>
          </w:tcPr>
          <w:p>
            <w:r>
              <w:t>25.33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5.15×3.90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40.18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219.18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52.78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116.48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1.80×2.60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18.72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2.00×2.60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31.20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6842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09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622"/>
      <w:r>
        <w:rPr>
          <w:color w:val="000000"/>
          <w:kern w:val="2"/>
          <w:szCs w:val="24"/>
          <w:lang w:val="en-US"/>
        </w:rPr>
        <w:t>天窗屋顶比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4003</w:t>
            </w:r>
          </w:p>
        </w:tc>
        <w:tc>
          <w:tcPr>
            <w:vAlign w:val="center"/>
          </w:tcPr>
          <w:p>
            <w:r>
              <w:t>7,1,7,6,6,4,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4004</w:t>
            </w:r>
          </w:p>
        </w:tc>
        <w:tc>
          <w:tcPr>
            <w:vAlign w:val="center"/>
          </w:tcPr>
          <w:p>
            <w:r>
              <w:t>7,1,7,6,6,4,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5,4,1,5,7,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5,4,1,5,7,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4014</w:t>
            </w:r>
          </w:p>
        </w:tc>
        <w:tc>
          <w:tcPr>
            <w:vAlign w:val="center"/>
          </w:tcPr>
          <w:p>
            <w:r>
              <w:t>7,6,6,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4015</w:t>
            </w:r>
          </w:p>
        </w:tc>
        <w:tc>
          <w:tcPr>
            <w:vAlign w:val="center"/>
          </w:tcPr>
          <w:p>
            <w:r>
              <w:t>7,6,6,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4039</w:t>
            </w:r>
          </w:p>
        </w:tc>
        <w:tc>
          <w:tcPr>
            <w:vAlign w:val="center"/>
          </w:tcPr>
          <w:p>
            <w:r>
              <w:t>4,1,4,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4040</w:t>
            </w:r>
          </w:p>
        </w:tc>
        <w:tc>
          <w:tcPr>
            <w:vAlign w:val="center"/>
          </w:tcPr>
          <w:p>
            <w:r>
              <w:t>4,4,1,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4050</w:t>
            </w:r>
          </w:p>
        </w:tc>
        <w:tc>
          <w:tcPr>
            <w:vAlign w:val="center"/>
          </w:tcPr>
          <w:p>
            <w:r>
              <w:t>3,2,1,2,3,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4051</w:t>
            </w:r>
          </w:p>
        </w:tc>
        <w:tc>
          <w:tcPr>
            <w:vAlign w:val="center"/>
          </w:tcPr>
          <w:p>
            <w:r>
              <w:t>3,2,1,2,3,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2197.15</w:t>
            </w:r>
          </w:p>
        </w:tc>
        <w:tc>
          <w:tcPr>
            <w:vAlign w:val="center"/>
          </w:tcPr>
          <w:p>
            <w:r>
              <w:t>9006.19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5776"/>
      <w:r>
        <w:rPr>
          <w:color w:val="000000"/>
          <w:kern w:val="2"/>
          <w:szCs w:val="24"/>
          <w:lang w:val="en-US"/>
        </w:rPr>
        <w:t>天窗类型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199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809"/>
      <w:r>
        <w:rPr>
          <w:color w:val="000000"/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0.049</w:t>
            </w:r>
          </w:p>
        </w:tc>
        <w:tc>
          <w:tcPr>
            <w:vAlign w:val="center"/>
          </w:tcPr>
          <w:p>
            <w:r>
              <w:t>0.410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10.417</w:t>
            </w:r>
          </w:p>
        </w:tc>
        <w:tc>
          <w:tcPr>
            <w:vAlign w:val="center"/>
          </w:tcPr>
          <w:p>
            <w:r>
              <w:t>4.250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10.659</w:t>
            </w:r>
          </w:p>
        </w:tc>
        <w:tc>
          <w:tcPr>
            <w:vAlign w:val="center"/>
          </w:tcPr>
          <w:p>
            <w:r>
              <w:t>6.451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K≤0.35,S≤0.3或K≤0.28,0.3&lt;S≤0.50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9941"/>
      <w:r>
        <w:rPr>
          <w:color w:val="000000"/>
          <w:kern w:val="2"/>
          <w:szCs w:val="24"/>
          <w:lang w:val="en-US"/>
        </w:rPr>
        <w:t>外墙构造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8835"/>
      <w:r>
        <w:rPr>
          <w:color w:val="000000"/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8.333</w:t>
            </w:r>
          </w:p>
        </w:tc>
        <w:tc>
          <w:tcPr>
            <w:vAlign w:val="center"/>
          </w:tcPr>
          <w:p>
            <w:r>
              <w:t>3.400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6.360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14.180</w:t>
            </w:r>
          </w:p>
        </w:tc>
        <w:tc>
          <w:tcPr>
            <w:vAlign w:val="center"/>
          </w:tcPr>
          <w:p>
            <w:r>
              <w:t>12.466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K≤0.43,S≤0.30或K≤0.38,0.30&lt;S≤0.50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91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472"/>
      <w:r>
        <w:rPr>
          <w:color w:val="000000"/>
          <w:kern w:val="2"/>
          <w:szCs w:val="24"/>
          <w:lang w:val="en-US"/>
        </w:rPr>
        <w:t>挑空楼板构造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8630"/>
      <w:r>
        <w:rPr>
          <w:color w:val="000000"/>
          <w:kern w:val="2"/>
          <w:szCs w:val="24"/>
          <w:lang w:val="en-US"/>
        </w:rPr>
        <w:t>底面接触室外空气的架空或外挑楼板构造一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C15细石混凝土垫层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0.524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10.573</w:t>
            </w:r>
          </w:p>
        </w:tc>
        <w:tc>
          <w:tcPr>
            <w:vAlign w:val="center"/>
          </w:tcPr>
          <w:p>
            <w:r>
              <w:t>6.495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来源：新疆公建XJJ034-2006第98页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K≤0.43,S≤0.30或K≤0.38,0.30&lt;S≤0.50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0624"/>
      <w:r>
        <w:rPr>
          <w:color w:val="000000"/>
          <w:kern w:val="2"/>
          <w:szCs w:val="24"/>
          <w:lang w:val="en-US"/>
        </w:rPr>
        <w:t>采暖与非采暖隔墙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0181"/>
      <w:r>
        <w:rPr>
          <w:color w:val="000000"/>
          <w:kern w:val="2"/>
          <w:szCs w:val="24"/>
          <w:lang w:val="en-US"/>
        </w:rPr>
        <w:t>采暖与非采暖隔墙相关构造</w:t>
      </w:r>
      <w:bookmarkEnd w:id="53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非供暖房间与供暖房间之间的隔墙构造一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0.324</w:t>
            </w:r>
          </w:p>
        </w:tc>
        <w:tc>
          <w:tcPr>
            <w:vAlign w:val="center"/>
          </w:tcPr>
          <w:p>
            <w:r>
              <w:t>4.125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10.775</w:t>
            </w:r>
          </w:p>
        </w:tc>
        <w:tc>
          <w:tcPr>
            <w:vAlign w:val="center"/>
          </w:tcPr>
          <w:p>
            <w:r>
              <w:t>8.741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来源：新疆公建XJJ034-2006第100页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0.324</w:t>
            </w:r>
          </w:p>
        </w:tc>
        <w:tc>
          <w:tcPr>
            <w:vAlign w:val="center"/>
          </w:tcPr>
          <w:p>
            <w:r>
              <w:t>4.125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10.770</w:t>
            </w:r>
          </w:p>
        </w:tc>
        <w:tc>
          <w:tcPr>
            <w:vAlign w:val="center"/>
          </w:tcPr>
          <w:p>
            <w:r>
              <w:t>8.693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来源：新疆公建XJJ034-2006第37页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068"/>
      <w:r>
        <w:rPr>
          <w:color w:val="000000"/>
          <w:kern w:val="2"/>
          <w:szCs w:val="24"/>
          <w:lang w:val="en-US"/>
        </w:rPr>
        <w:t>采暖与非采暖隔墙平均热工特性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非供暖房间与供暖房间之间的隔墙构造一</w:t>
            </w:r>
          </w:p>
        </w:tc>
        <w:tc>
          <w:tcPr>
            <w:vAlign w:val="center"/>
          </w:tcPr>
          <w:p>
            <w:r>
              <w:t>1729.21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979.98</w:t>
            </w:r>
          </w:p>
        </w:tc>
        <w:tc>
          <w:tcPr>
            <w:vAlign w:val="center"/>
          </w:tcPr>
          <w:p>
            <w:r>
              <w:t>0.362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2709.19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212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7543"/>
      <w:r>
        <w:rPr>
          <w:color w:val="000000"/>
          <w:kern w:val="2"/>
          <w:szCs w:val="24"/>
          <w:lang w:val="en-US"/>
        </w:rPr>
        <w:t>控温与非控温楼板构造一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0.792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10.603</w:t>
            </w:r>
          </w:p>
        </w:tc>
        <w:tc>
          <w:tcPr>
            <w:vAlign w:val="center"/>
          </w:tcPr>
          <w:p>
            <w:r>
              <w:t>6.444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来源：新疆公建XJJ034-2006第113页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2809"/>
      <w:r>
        <w:rPr>
          <w:color w:val="000000"/>
          <w:kern w:val="2"/>
          <w:szCs w:val="24"/>
          <w:lang w:val="en-US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6495"/>
      <w:r>
        <w:rPr>
          <w:color w:val="000000"/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8488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79.040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2.057</w:t>
            </w:r>
          </w:p>
        </w:tc>
        <w:tc>
          <w:tcPr>
            <w:vAlign w:val="center"/>
          </w:tcPr>
          <w:p>
            <w:r>
              <w:t>8.228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21.125</w:t>
            </w:r>
          </w:p>
        </w:tc>
        <w:tc>
          <w:tcPr>
            <w:vAlign w:val="center"/>
          </w:tcPr>
          <w:p>
            <w:r>
              <w:t>42.251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34.238</w:t>
            </w:r>
          </w:p>
        </w:tc>
        <w:tc>
          <w:tcPr>
            <w:vAlign w:val="center"/>
          </w:tcPr>
          <w:p>
            <w:r>
              <w:t>68.476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25.358</w:t>
            </w:r>
          </w:p>
        </w:tc>
        <w:tc>
          <w:tcPr>
            <w:vAlign w:val="center"/>
          </w:tcPr>
          <w:p>
            <w:r>
              <w:t>50.717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12.014</w:t>
            </w:r>
          </w:p>
        </w:tc>
        <w:tc>
          <w:tcPr>
            <w:vAlign w:val="center"/>
          </w:tcPr>
          <w:p>
            <w:r>
              <w:t>24.027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19.058</w:t>
            </w:r>
          </w:p>
        </w:tc>
        <w:tc>
          <w:tcPr>
            <w:vAlign w:val="center"/>
          </w:tcPr>
          <w:p>
            <w:r>
              <w:t>38.116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22.267</w:t>
            </w:r>
          </w:p>
        </w:tc>
        <w:tc>
          <w:tcPr>
            <w:vAlign w:val="center"/>
          </w:tcPr>
          <w:p>
            <w:r>
              <w:t>44.535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36.089</w:t>
            </w:r>
          </w:p>
        </w:tc>
        <w:tc>
          <w:tcPr>
            <w:vAlign w:val="center"/>
          </w:tcPr>
          <w:p>
            <w:r>
              <w:t>72.177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26.729</w:t>
            </w:r>
          </w:p>
        </w:tc>
        <w:tc>
          <w:tcPr>
            <w:vAlign w:val="center"/>
          </w:tcPr>
          <w:p>
            <w:r>
              <w:t>53.458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12.663</w:t>
            </w:r>
          </w:p>
        </w:tc>
        <w:tc>
          <w:tcPr>
            <w:vAlign w:val="center"/>
          </w:tcPr>
          <w:p>
            <w:r>
              <w:t>25.326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20.088</w:t>
            </w:r>
          </w:p>
        </w:tc>
        <w:tc>
          <w:tcPr>
            <w:vAlign w:val="center"/>
          </w:tcPr>
          <w:p>
            <w:r>
              <w:t>40.176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724.859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52.780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116.480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4.680</w:t>
            </w:r>
          </w:p>
        </w:tc>
        <w:tc>
          <w:tcPr>
            <w:vAlign w:val="center"/>
          </w:tcPr>
          <w:p>
            <w:r>
              <w:t>18.720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5.200</w:t>
            </w:r>
          </w:p>
        </w:tc>
        <w:tc>
          <w:tcPr>
            <w:vAlign w:val="center"/>
          </w:tcPr>
          <w:p>
            <w:r>
              <w:t>31.200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135.720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83.200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8.840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232.310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67.860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158.080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17.680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248.170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6927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K≤2.00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1424.52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外窗传热系数应满足表3.3.1-2的要求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6811"/>
      <w:r>
        <w:rPr>
          <w:color w:val="000000"/>
          <w:kern w:val="2"/>
          <w:szCs w:val="24"/>
          <w:lang w:val="en-US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4741"/>
      <w:r>
        <w:rPr>
          <w:color w:val="000000"/>
          <w:kern w:val="2"/>
          <w:szCs w:val="24"/>
          <w:lang w:val="en-US"/>
        </w:rPr>
        <w:t>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胶粉聚苯颗粒保温浆料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2.333</w:t>
            </w:r>
          </w:p>
        </w:tc>
        <w:tc>
          <w:tcPr>
            <w:vAlign w:val="center"/>
          </w:tcPr>
          <w:p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素土夯实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13.054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0.172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2.843</w:t>
            </w:r>
          </w:p>
        </w:tc>
        <w:tc>
          <w:tcPr>
            <w:vAlign w:val="center"/>
          </w:tcPr>
          <w:p>
            <w:r>
              <w:t>4.783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3788"/>
      <w:r>
        <w:rPr>
          <w:color w:val="000000"/>
          <w:kern w:val="2"/>
          <w:szCs w:val="24"/>
          <w:lang w:val="en-US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9461"/>
      <w:r>
        <w:rPr>
          <w:color w:val="000000"/>
          <w:kern w:val="2"/>
          <w:szCs w:val="24"/>
          <w:lang w:val="en-US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7021"/>
      <w:r>
        <w:rPr>
          <w:color w:val="000000"/>
          <w:kern w:val="2"/>
          <w:szCs w:val="24"/>
          <w:lang w:val="en-US"/>
        </w:rP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2014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84.36</w:t>
            </w:r>
          </w:p>
        </w:tc>
        <w:tc>
          <w:tcPr>
            <w:vMerge w:val="restart"/>
            <w:vAlign w:val="center"/>
          </w:tcPr>
          <w:p>
            <w:r>
              <w:t>95.64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gridSpan w:val="2"/>
            <w:vAlign w:val="center"/>
          </w:tcPr>
          <w:p>
            <w:r>
              <w:t>17.41</w:t>
            </w:r>
          </w:p>
        </w:tc>
        <w:tc>
          <w:tcPr>
            <w:vAlign w:val="center"/>
          </w:tcPr>
          <w:p>
            <w:r>
              <w:t>46.71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3010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84.36</w:t>
            </w:r>
          </w:p>
        </w:tc>
        <w:tc>
          <w:tcPr>
            <w:vMerge w:val="restart"/>
            <w:vAlign w:val="center"/>
          </w:tcPr>
          <w:p>
            <w:r>
              <w:t>81.98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3062</w:t>
            </w:r>
          </w:p>
        </w:tc>
        <w:tc>
          <w:tcPr>
            <w:gridSpan w:val="2"/>
            <w:vAlign w:val="center"/>
          </w:tcPr>
          <w:p>
            <w:r>
              <w:t>17.41</w:t>
            </w:r>
          </w:p>
        </w:tc>
        <w:tc>
          <w:tcPr>
            <w:vAlign w:val="center"/>
          </w:tcPr>
          <w:p>
            <w:r>
              <w:t>40.04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3064</w:t>
            </w:r>
          </w:p>
        </w:tc>
        <w:tc>
          <w:tcPr>
            <w:gridSpan w:val="2"/>
            <w:vAlign w:val="center"/>
          </w:tcPr>
          <w:p>
            <w:r>
              <w:t>15.48</w:t>
            </w:r>
          </w:p>
        </w:tc>
        <w:tc>
          <w:tcPr>
            <w:vAlign w:val="center"/>
          </w:tcPr>
          <w:p>
            <w:r>
              <w:t>40.95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4002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536.21</w:t>
            </w:r>
          </w:p>
        </w:tc>
        <w:tc>
          <w:tcPr>
            <w:vMerge w:val="restart"/>
            <w:vAlign w:val="center"/>
          </w:tcPr>
          <w:p>
            <w:r>
              <w:t>128.24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84.36</w:t>
            </w:r>
          </w:p>
        </w:tc>
        <w:tc>
          <w:tcPr>
            <w:vMerge w:val="restart"/>
            <w:vAlign w:val="center"/>
          </w:tcPr>
          <w:p>
            <w:r>
              <w:t>91.74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4034</w:t>
            </w:r>
          </w:p>
        </w:tc>
        <w:tc>
          <w:tcPr>
            <w:gridSpan w:val="2"/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37.69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4047</w:t>
            </w:r>
          </w:p>
        </w:tc>
        <w:tc>
          <w:tcPr>
            <w:gridSpan w:val="2"/>
            <w:vAlign w:val="center"/>
          </w:tcPr>
          <w:p>
            <w:r>
              <w:t>17.41</w:t>
            </w:r>
          </w:p>
        </w:tc>
        <w:tc>
          <w:tcPr>
            <w:vAlign w:val="center"/>
          </w:tcPr>
          <w:p>
            <w:r>
              <w:t>44.80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4049</w:t>
            </w:r>
          </w:p>
        </w:tc>
        <w:tc>
          <w:tcPr>
            <w:gridSpan w:val="2"/>
            <w:vAlign w:val="center"/>
          </w:tcPr>
          <w:p>
            <w:r>
              <w:t>15.48</w:t>
            </w:r>
          </w:p>
        </w:tc>
        <w:tc>
          <w:tcPr>
            <w:vAlign w:val="center"/>
          </w:tcPr>
          <w:p>
            <w:r>
              <w:t>45.82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Start w:id="99" w:name="_GoBack"/>
            <w:bookmarkEnd w:id="9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31936"/>
      <w:r>
        <w:rPr>
          <w:color w:val="000000"/>
          <w:kern w:val="2"/>
          <w:szCs w:val="24"/>
          <w:lang w:val="en-US"/>
        </w:rP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14659"/>
      <w:r>
        <w:rPr>
          <w:color w:val="000000"/>
          <w:kern w:val="2"/>
          <w:szCs w:val="24"/>
          <w:lang w:val="en-US"/>
        </w:rP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C14526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5685"/>
      <w:r>
        <w:rPr>
          <w:color w:val="000000"/>
          <w:kern w:val="2"/>
          <w:szCs w:val="24"/>
          <w:lang w:val="en-US"/>
        </w:rP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M1521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27676"/>
      <w:r>
        <w:rPr>
          <w:color w:val="000000"/>
          <w:kern w:val="2"/>
          <w:szCs w:val="24"/>
          <w:lang w:val="en-US"/>
        </w:rP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30622"/>
      <w:r>
        <w:rPr>
          <w:color w:val="000000"/>
          <w:kern w:val="2"/>
          <w:szCs w:val="24"/>
          <w:lang w:val="en-US"/>
        </w:rP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地下车库与供暖房间之间的楼板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要求，需依据《公共建筑节能设计标准》》(GB50189-2015)的要求进行节能设计的权衡判断。</w:t>
      </w:r>
    </w:p>
    <w:p>
      <w:pPr>
        <w:pStyle w:val="2"/>
      </w:pPr>
      <w:bookmarkStart w:id="71" w:name="_Toc29479"/>
      <w:r>
        <w:t>热工性能权衡判断</w:t>
      </w:r>
      <w:bookmarkEnd w:id="71"/>
    </w:p>
    <w:p>
      <w:pPr>
        <w:pStyle w:val="4"/>
      </w:pPr>
      <w:bookmarkStart w:id="72" w:name="_Toc5454"/>
      <w:r>
        <w:t>说明</w:t>
      </w:r>
      <w:bookmarkEnd w:id="72"/>
    </w:p>
    <w:p>
      <w:r>
        <w:t>本建筑按公共建筑节能设计标准GB50189-2015之规定进行强制性条文和必须满足条款的规定性指标检查，结果未能达标，按标准规定继续进行热工性能权衡判断。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73" w:name="_Toc25536"/>
      <w:r>
        <w:t>屋顶构造</w:t>
      </w:r>
      <w:bookmarkEnd w:id="73"/>
    </w:p>
    <w:p>
      <w:pPr>
        <w:pStyle w:val="5"/>
      </w:pPr>
      <w:bookmarkStart w:id="74" w:name="_Toc16422"/>
      <w:r>
        <w:t>屋顶构造一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0.049</w:t>
            </w:r>
          </w:p>
        </w:tc>
        <w:tc>
          <w:tcPr>
            <w:vAlign w:val="center"/>
          </w:tcPr>
          <w:p>
            <w:r>
              <w:t>0.410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10.417</w:t>
            </w:r>
          </w:p>
        </w:tc>
        <w:tc>
          <w:tcPr>
            <w:vAlign w:val="center"/>
          </w:tcPr>
          <w:p>
            <w:r>
              <w:t>4.250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10.659</w:t>
            </w:r>
          </w:p>
        </w:tc>
        <w:tc>
          <w:tcPr>
            <w:vAlign w:val="center"/>
          </w:tcPr>
          <w:p>
            <w:r>
              <w:t>6.451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bookmarkStart w:id="75" w:name="_Toc24691"/>
      <w:r>
        <w:t>外墙构造</w:t>
      </w:r>
      <w:bookmarkEnd w:id="75"/>
    </w:p>
    <w:p>
      <w:pPr>
        <w:pStyle w:val="5"/>
      </w:pPr>
      <w:bookmarkStart w:id="76" w:name="_Toc30978"/>
      <w:r>
        <w:t>外墙构造一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8.333</w:t>
            </w:r>
          </w:p>
        </w:tc>
        <w:tc>
          <w:tcPr>
            <w:vAlign w:val="center"/>
          </w:tcPr>
          <w:p>
            <w:r>
              <w:t>3.400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6.360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14.180</w:t>
            </w:r>
          </w:p>
        </w:tc>
        <w:tc>
          <w:tcPr>
            <w:vAlign w:val="center"/>
          </w:tcPr>
          <w:p>
            <w:r>
              <w:t>12.466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</w:pPr>
      <w:bookmarkStart w:id="77" w:name="_Toc13602"/>
      <w:r>
        <w:t>外墙主断面传热系数的修正系数ψ</w:t>
      </w:r>
      <w:bookmarkEnd w:id="77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</w:pPr>
      <w:bookmarkStart w:id="78" w:name="_Toc22734"/>
      <w:r>
        <w:t>外窗热工</w:t>
      </w:r>
      <w:bookmarkEnd w:id="78"/>
    </w:p>
    <w:p>
      <w:pPr>
        <w:pStyle w:val="5"/>
      </w:pPr>
      <w:bookmarkStart w:id="79" w:name="_Toc26963"/>
      <w:r>
        <w:t>外窗构造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</w:pPr>
      <w:bookmarkStart w:id="80" w:name="_Toc31259"/>
      <w:r>
        <w:t>平均传热系数</w:t>
      </w:r>
      <w:bookmarkEnd w:id="80"/>
    </w:p>
    <w:p>
      <w: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79.040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2.057</w:t>
            </w:r>
          </w:p>
        </w:tc>
        <w:tc>
          <w:tcPr>
            <w:vAlign w:val="center"/>
          </w:tcPr>
          <w:p>
            <w:r>
              <w:t>8.228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21.125</w:t>
            </w:r>
          </w:p>
        </w:tc>
        <w:tc>
          <w:tcPr>
            <w:vAlign w:val="center"/>
          </w:tcPr>
          <w:p>
            <w:r>
              <w:t>42.251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34.238</w:t>
            </w:r>
          </w:p>
        </w:tc>
        <w:tc>
          <w:tcPr>
            <w:vAlign w:val="center"/>
          </w:tcPr>
          <w:p>
            <w:r>
              <w:t>68.476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25.358</w:t>
            </w:r>
          </w:p>
        </w:tc>
        <w:tc>
          <w:tcPr>
            <w:vAlign w:val="center"/>
          </w:tcPr>
          <w:p>
            <w:r>
              <w:t>50.717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12.014</w:t>
            </w:r>
          </w:p>
        </w:tc>
        <w:tc>
          <w:tcPr>
            <w:vAlign w:val="center"/>
          </w:tcPr>
          <w:p>
            <w:r>
              <w:t>24.027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19.058</w:t>
            </w:r>
          </w:p>
        </w:tc>
        <w:tc>
          <w:tcPr>
            <w:vAlign w:val="center"/>
          </w:tcPr>
          <w:p>
            <w:r>
              <w:t>38.116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22.267</w:t>
            </w:r>
          </w:p>
        </w:tc>
        <w:tc>
          <w:tcPr>
            <w:vAlign w:val="center"/>
          </w:tcPr>
          <w:p>
            <w:r>
              <w:t>44.535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36.089</w:t>
            </w:r>
          </w:p>
        </w:tc>
        <w:tc>
          <w:tcPr>
            <w:vAlign w:val="center"/>
          </w:tcPr>
          <w:p>
            <w:r>
              <w:t>72.177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26.729</w:t>
            </w:r>
          </w:p>
        </w:tc>
        <w:tc>
          <w:tcPr>
            <w:vAlign w:val="center"/>
          </w:tcPr>
          <w:p>
            <w:r>
              <w:t>53.458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12.663</w:t>
            </w:r>
          </w:p>
        </w:tc>
        <w:tc>
          <w:tcPr>
            <w:vAlign w:val="center"/>
          </w:tcPr>
          <w:p>
            <w:r>
              <w:t>25.326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20.088</w:t>
            </w:r>
          </w:p>
        </w:tc>
        <w:tc>
          <w:tcPr>
            <w:vAlign w:val="center"/>
          </w:tcPr>
          <w:p>
            <w:r>
              <w:t>40.176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724.859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52.780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116.480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4.680</w:t>
            </w:r>
          </w:p>
        </w:tc>
        <w:tc>
          <w:tcPr>
            <w:vAlign w:val="center"/>
          </w:tcPr>
          <w:p>
            <w:r>
              <w:t>18.720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5.200</w:t>
            </w:r>
          </w:p>
        </w:tc>
        <w:tc>
          <w:tcPr>
            <w:vAlign w:val="center"/>
          </w:tcPr>
          <w:p>
            <w:r>
              <w:t>31.200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/>
    <w:p>
      <w: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135.720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83.200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8.840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232.310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/>
    <w:p>
      <w: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67.860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158.080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17.680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248.170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/>
    <w:p>
      <w:pPr>
        <w:pStyle w:val="5"/>
      </w:pPr>
      <w:bookmarkStart w:id="81" w:name="_Toc8686"/>
      <w:r>
        <w:t>总体热工性能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K(不要求)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K≤2.60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1424.52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单一立面窗墙比大于或等于0.40时，外窗传热系数满足表3.4.1-3的要求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4"/>
      </w:pPr>
      <w:bookmarkStart w:id="82" w:name="_Toc30816"/>
      <w:r>
        <w:t>综合权衡</w:t>
      </w:r>
      <w:bookmarkEnd w:id="82"/>
    </w:p>
    <w:p>
      <w:pPr>
        <w:pStyle w:val="5"/>
      </w:pPr>
      <w:bookmarkStart w:id="83" w:name="_Toc13816"/>
      <w:r>
        <w:t>计算条件</w:t>
      </w:r>
      <w:bookmarkEnd w:id="83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2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3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5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7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9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12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0.67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15"/>
          </w:p>
        </w:tc>
      </w:tr>
      <w:bookmarkEnd w:id="1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2.84</w:t>
            </w:r>
            <w:bookmarkEnd w:id="16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4.83</w:t>
            </w:r>
            <w:bookmarkEnd w:id="18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4.83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0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22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23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24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26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0.84</w:t>
            </w:r>
            <w:bookmarkEnd w:id="27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28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29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30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33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86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87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r>
        <w:t>备注：1. — 代表本工程无对应项; 2. ——代表参照建筑不要求，取值同设计建筑。</w:t>
      </w:r>
    </w:p>
    <w:p/>
    <w:p>
      <w:pPr>
        <w:pStyle w:val="5"/>
      </w:pPr>
      <w:bookmarkStart w:id="89" w:name="_Toc31316"/>
      <w:r>
        <w:t>房间类型</w:t>
      </w:r>
      <w:bookmarkEnd w:id="89"/>
    </w:p>
    <w:p>
      <w:pPr>
        <w:pStyle w:val="6"/>
      </w:pPr>
      <w:r>
        <w:t>房间表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其他-休憩区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其他-展览厅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办公-设计室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教育-多媒体教室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</w:pPr>
      <w:r>
        <w:t>作息时间表</w:t>
      </w:r>
    </w:p>
    <w:p>
      <w:r>
        <w:t>详见附录</w:t>
      </w:r>
    </w:p>
    <w:p>
      <w:pPr>
        <w:pStyle w:val="5"/>
      </w:pPr>
      <w:bookmarkStart w:id="90" w:name="_Toc13833"/>
      <w:r>
        <w:t>综合权衡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全年供暖和空调总耗电量(kWh/㎡)</w:t>
            </w:r>
          </w:p>
        </w:tc>
        <w:tc>
          <w:tcPr>
            <w:vAlign w:val="center"/>
          </w:tcPr>
          <w:p>
            <w:r>
              <w:t>25.15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供冷耗电量(kWh/㎡)</w:t>
            </w:r>
          </w:p>
        </w:tc>
        <w:tc>
          <w:tcPr>
            <w:vAlign w:val="center"/>
          </w:tcPr>
          <w:p>
            <w:r>
              <w:t>8.41</w:t>
            </w:r>
          </w:p>
        </w:tc>
        <w:tc>
          <w:tcPr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供热耗电量(kWh/㎡)</w:t>
            </w:r>
          </w:p>
        </w:tc>
        <w:tc>
          <w:tcPr>
            <w:vAlign w:val="center"/>
          </w:tcPr>
          <w:p>
            <w:r>
              <w:t>16.73</w:t>
            </w:r>
          </w:p>
        </w:tc>
        <w:tc>
          <w:tcPr>
            <w:vAlign w:val="center"/>
          </w:tcPr>
          <w:p>
            <w:r>
              <w:t>27.44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耗冷量(kWh/㎡)</w:t>
            </w:r>
          </w:p>
        </w:tc>
        <w:tc>
          <w:tcPr>
            <w:vAlign w:val="center"/>
          </w:tcPr>
          <w:p>
            <w:r>
              <w:t>21.04</w:t>
            </w:r>
          </w:p>
        </w:tc>
        <w:tc>
          <w:tcPr>
            <w:vAlign w:val="center"/>
          </w:tcPr>
          <w:p>
            <w:r>
              <w:t>15.41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vAlign w:val="center"/>
          </w:tcPr>
          <w:p>
            <w:r>
              <w:t>29.42</w:t>
            </w:r>
          </w:p>
        </w:tc>
        <w:tc>
          <w:tcPr>
            <w:vAlign w:val="center"/>
          </w:tcPr>
          <w:p>
            <w:r>
              <w:t>48.24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《公共建筑节能设计标准》(GB50189-2015)第3.4.2条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91" w:name="_Toc10239"/>
      <w:r>
        <w:t>结论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4"/>
      </w:pPr>
      <w:bookmarkStart w:id="92" w:name="_Toc25744"/>
      <w:r>
        <w:t>附录</w:t>
      </w:r>
      <w:bookmarkEnd w:id="92"/>
    </w:p>
    <w:p>
      <w:pPr>
        <w:pStyle w:val="5"/>
      </w:pPr>
      <w:bookmarkStart w:id="93" w:name="_Toc12918"/>
      <w:r>
        <w:t>工作日/节假日室内空调温度时间表(℃)</w:t>
      </w:r>
      <w:bookmarkEnd w:id="93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4" w:name="_Toc19748"/>
      <w:r>
        <w:t>工作日/节假日室内供暖温度时间表(℃)</w:t>
      </w:r>
      <w:bookmarkEnd w:id="94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5" w:name="_Toc613"/>
      <w:r>
        <w:t>工作日/节假日人员逐时在室率(%)</w:t>
      </w:r>
      <w:bookmarkEnd w:id="95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6" w:name="_Toc23413"/>
      <w:r>
        <w:t>工作日/节假日照明开关时间表(%)</w:t>
      </w:r>
      <w:bookmarkEnd w:id="96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7" w:name="_Toc3010"/>
      <w:r>
        <w:t>工作日/节假日设备逐时使用率(%)</w:t>
      </w:r>
      <w:bookmarkEnd w:id="97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8" w:name="_Toc5778"/>
      <w:r>
        <w:t>工作日/节假日空调系统运行时间表(1:开,0:关)</w:t>
      </w:r>
      <w:bookmarkEnd w:id="98"/>
    </w:p>
    <w:p/>
    <w:bookmarkEnd w:id="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11CCF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4A254C67"/>
    <w:rsid w:val="71A1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30</Pages>
  <Words>14777</Words>
  <Characters>24677</Characters>
  <Lines>42</Lines>
  <Paragraphs>12</Paragraphs>
  <TotalTime>0</TotalTime>
  <ScaleCrop>false</ScaleCrop>
  <LinksUpToDate>false</LinksUpToDate>
  <CharactersWithSpaces>24963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2021-01-04T09:37:00Z</dcterms:created>
  <dc:creator>admin</dc:creator>
  <cp:lastModifiedBy>admin</cp:lastModifiedBy>
  <dcterms:modified xsi:type="dcterms:W3CDTF">2021-03-08T01:59:42Z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