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bmp" ContentType="image/bmp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>
      <w:pPr>
        <w:widowControl w:val="0"/>
        <w:spacing w:after="312" w:afterLines="100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r>
        <w:rPr>
          <w:rFonts w:hint="eastAsia" w:ascii="黑体" w:hAnsi="宋体" w:eastAsia="黑体"/>
          <w:b/>
          <w:bCs/>
          <w:sz w:val="72"/>
          <w:szCs w:val="72"/>
        </w:rPr>
        <w:t>活动</w:t>
      </w:r>
      <w:r>
        <w:rPr>
          <w:rFonts w:ascii="黑体" w:hAnsi="宋体" w:eastAsia="黑体"/>
          <w:b/>
          <w:bCs/>
          <w:sz w:val="72"/>
          <w:szCs w:val="72"/>
        </w:rPr>
        <w:t>场地</w:t>
      </w:r>
      <w:r>
        <w:rPr>
          <w:rFonts w:hint="eastAsia" w:ascii="黑体" w:hAnsi="宋体" w:eastAsia="黑体"/>
          <w:b/>
          <w:bCs/>
          <w:sz w:val="72"/>
          <w:szCs w:val="72"/>
          <w:lang w:val="en-US"/>
        </w:rPr>
        <w:t>遮阴率计算</w:t>
      </w:r>
      <w:r>
        <w:rPr>
          <w:rFonts w:hint="eastAsia" w:ascii="黑体" w:hAnsi="宋体" w:eastAsia="黑体"/>
          <w:b/>
          <w:bCs/>
          <w:sz w:val="72"/>
          <w:szCs w:val="72"/>
        </w:rPr>
        <w:t>书</w:t>
      </w:r>
    </w:p>
    <w:p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Style w:val="18"/>
        <w:tblW w:w="0" w:type="auto"/>
        <w:tblInd w:w="19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0" w:name="工程名称"/>
            <w:r>
              <w:rPr>
                <w:rFonts w:hint="eastAsia" w:ascii="宋体" w:hAnsi="宋体"/>
                <w:szCs w:val="21"/>
              </w:rPr>
              <w:t>XXX住宅小区</w:t>
            </w:r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>
            <w:pPr>
              <w:jc w:val="both"/>
              <w:rPr>
                <w:rFonts w:ascii="宋体" w:hAnsi="宋体"/>
                <w:szCs w:val="21"/>
              </w:rPr>
            </w:pPr>
            <w:bookmarkStart w:id="1" w:name="地理位置"/>
            <w:r>
              <w:rPr>
                <w:rFonts w:hint="eastAsia" w:ascii="宋体" w:hAnsi="宋体"/>
                <w:szCs w:val="21"/>
              </w:rPr>
              <w:t>乌鲁木齐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>
            <w:pPr>
              <w:jc w:val="both"/>
              <w:rPr>
                <w:rFonts w:ascii="宋体" w:hAnsi="宋体"/>
                <w:szCs w:val="21"/>
              </w:rPr>
            </w:pPr>
            <w:bookmarkStart w:id="2" w:name="设计编号"/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3" w:name="建设单位"/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4" w:name="设计单位"/>
            <w:bookmarkEnd w:id="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定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设计日期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5" w:name="报告日期"/>
            <w:bookmarkEnd w:id="5"/>
          </w:p>
        </w:tc>
      </w:tr>
    </w:tbl>
    <w:p>
      <w:pPr>
        <w:rPr>
          <w:rFonts w:ascii="宋体" w:hAnsi="宋体"/>
          <w:lang w:val="en-US"/>
        </w:rPr>
      </w:pPr>
    </w:p>
    <w:p>
      <w:pPr>
        <w:jc w:val="center"/>
        <w:rPr>
          <w:rFonts w:ascii="宋体" w:hAnsi="宋体"/>
          <w:lang w:val="en-US"/>
        </w:rPr>
      </w:pPr>
      <w:bookmarkStart w:id="6" w:name="二维码"/>
      <w:bookmarkEnd w:id="6"/>
      <w:r>
        <w:drawing>
          <wp:inline distT="0" distB="0" distL="0" distR="0">
            <wp:extent cx="1514475" cy="1514475"/>
            <wp:effectExtent l="0" t="0" r="0" b="0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宋体" w:hAnsi="宋体"/>
          <w:lang w:val="en-US"/>
        </w:rPr>
      </w:pPr>
    </w:p>
    <w:p>
      <w:pPr>
        <w:rPr>
          <w:rFonts w:ascii="宋体" w:hAnsi="宋体"/>
          <w:lang w:val="en-US"/>
        </w:rPr>
      </w:pPr>
    </w:p>
    <w:p>
      <w:pPr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Style w:val="18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7" w:name="软件全称"/>
            <w:r>
              <w:rPr>
                <w:rFonts w:hint="eastAsia" w:ascii="宋体" w:hAnsi="宋体"/>
              </w:rPr>
              <w:t>热环境TERA2020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tcBorders>
              <w:bottom w:val="single" w:color="auto" w:sz="4" w:space="0"/>
            </w:tcBorders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8" w:name="软件版本"/>
            <w:r>
              <w:rPr>
                <w:rFonts w:ascii="宋体" w:hAnsi="宋体"/>
                <w:szCs w:val="18"/>
              </w:rPr>
              <w:t>20190808</w:t>
            </w:r>
            <w:bookmarkEnd w:id="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18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北京绿建软件有限公司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800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9" w:name="加密锁号"/>
            <w:r>
              <w:t>T13579843785</w:t>
            </w:r>
            <w:bookmarkEnd w:id="9"/>
          </w:p>
        </w:tc>
      </w:tr>
    </w:tbl>
    <w:p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</w:p>
    <w:p>
      <w:pPr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</w:p>
    <w:p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目  录</w:t>
      </w:r>
    </w:p>
    <w:p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bookmarkStart w:id="10" w:name="目录"/>
      <w:bookmarkEnd w:id="10"/>
      <w:bookmarkStart w:id="37" w:name="_GoBack"/>
      <w:bookmarkEnd w:id="37"/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_Toc9488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</w:rPr>
        <w:t>1 住区概况</w:t>
      </w:r>
      <w:r>
        <w:tab/>
      </w:r>
      <w:r>
        <w:fldChar w:fldCharType="begin"/>
      </w:r>
      <w:r>
        <w:instrText xml:space="preserve"> PAGEREF _Toc9488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_Toc508 </w:instrText>
      </w:r>
      <w:r>
        <w:fldChar w:fldCharType="separate"/>
      </w:r>
      <w:r>
        <w:rPr>
          <w:rFonts w:hint="eastAsia"/>
        </w:rPr>
        <w:t>2 标准依据</w:t>
      </w:r>
      <w:r>
        <w:tab/>
      </w:r>
      <w:r>
        <w:fldChar w:fldCharType="begin"/>
      </w:r>
      <w:r>
        <w:instrText xml:space="preserve"> PAGEREF _Toc508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_Toc13253 </w:instrText>
      </w:r>
      <w:r>
        <w:fldChar w:fldCharType="separate"/>
      </w:r>
      <w:r>
        <w:rPr>
          <w:rFonts w:hint="eastAsia"/>
        </w:rPr>
        <w:t>3 指标要求</w:t>
      </w:r>
      <w:r>
        <w:tab/>
      </w:r>
      <w:r>
        <w:fldChar w:fldCharType="begin"/>
      </w:r>
      <w:r>
        <w:instrText xml:space="preserve"> PAGEREF _Toc13253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_Toc13873 </w:instrText>
      </w:r>
      <w:r>
        <w:fldChar w:fldCharType="separate"/>
      </w:r>
      <w:r>
        <w:rPr>
          <w:rFonts w:hint="eastAsia"/>
          <w:lang w:val="en-GB"/>
        </w:rPr>
        <w:t xml:space="preserve">3.1 </w:t>
      </w:r>
      <w:r>
        <w:rPr>
          <w:rFonts w:hint="eastAsia"/>
        </w:rPr>
        <w:t>规范要求</w:t>
      </w:r>
      <w:r>
        <w:tab/>
      </w:r>
      <w:r>
        <w:fldChar w:fldCharType="begin"/>
      </w:r>
      <w:r>
        <w:instrText xml:space="preserve"> PAGEREF _Toc13873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_Toc21319 </w:instrText>
      </w:r>
      <w:r>
        <w:fldChar w:fldCharType="separate"/>
      </w:r>
      <w:r>
        <w:rPr>
          <w:rFonts w:hint="eastAsia"/>
          <w:lang w:val="en-GB"/>
        </w:rPr>
        <w:t xml:space="preserve">3.1 </w:t>
      </w:r>
      <w:r>
        <w:rPr>
          <w:rFonts w:hint="eastAsia"/>
        </w:rPr>
        <w:t>遮阴概述</w:t>
      </w:r>
      <w:r>
        <w:tab/>
      </w:r>
      <w:r>
        <w:fldChar w:fldCharType="begin"/>
      </w:r>
      <w:r>
        <w:instrText xml:space="preserve"> PAGEREF _Toc21319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_Toc3044 </w:instrText>
      </w:r>
      <w:r>
        <w:fldChar w:fldCharType="separate"/>
      </w:r>
      <w:r>
        <w:rPr>
          <w:rFonts w:hint="eastAsia"/>
          <w:lang w:val="en-GB"/>
        </w:rPr>
        <w:t xml:space="preserve">3.2 </w:t>
      </w:r>
      <w:r>
        <w:rPr>
          <w:rFonts w:hint="eastAsia"/>
        </w:rPr>
        <w:t>计算方法</w:t>
      </w:r>
      <w:r>
        <w:tab/>
      </w:r>
      <w:r>
        <w:fldChar w:fldCharType="begin"/>
      </w:r>
      <w:r>
        <w:instrText xml:space="preserve"> PAGEREF _Toc3044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_Toc31644 </w:instrText>
      </w:r>
      <w:r>
        <w:fldChar w:fldCharType="separate"/>
      </w:r>
      <w:r>
        <w:rPr>
          <w:rFonts w:hint="eastAsia"/>
        </w:rPr>
        <w:t>4 指标概览</w:t>
      </w:r>
      <w:r>
        <w:tab/>
      </w:r>
      <w:r>
        <w:fldChar w:fldCharType="begin"/>
      </w:r>
      <w:r>
        <w:instrText xml:space="preserve"> PAGEREF _Toc31644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_Toc17466 </w:instrText>
      </w:r>
      <w:r>
        <w:fldChar w:fldCharType="separate"/>
      </w:r>
      <w:r>
        <w:rPr>
          <w:rFonts w:hint="eastAsia"/>
          <w:lang w:val="en-GB"/>
        </w:rPr>
        <w:t xml:space="preserve">4.1 </w:t>
      </w:r>
      <w:r>
        <w:rPr>
          <w:rFonts w:hint="eastAsia"/>
        </w:rPr>
        <w:t>建筑列表</w:t>
      </w:r>
      <w:r>
        <w:tab/>
      </w:r>
      <w:r>
        <w:fldChar w:fldCharType="begin"/>
      </w:r>
      <w:r>
        <w:instrText xml:space="preserve"> PAGEREF _Toc17466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_Toc13760 </w:instrText>
      </w:r>
      <w:r>
        <w:fldChar w:fldCharType="separate"/>
      </w:r>
      <w:r>
        <w:rPr>
          <w:rFonts w:hint="eastAsia"/>
          <w:lang w:val="en-GB"/>
        </w:rPr>
        <w:t xml:space="preserve">4.2 </w:t>
      </w:r>
      <w:r>
        <w:rPr>
          <w:rFonts w:hint="eastAsia"/>
        </w:rPr>
        <w:t>各类面积指标</w:t>
      </w:r>
      <w:r>
        <w:tab/>
      </w:r>
      <w:r>
        <w:fldChar w:fldCharType="begin"/>
      </w:r>
      <w:r>
        <w:instrText xml:space="preserve"> PAGEREF _Toc13760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_Toc1787 </w:instrText>
      </w:r>
      <w:r>
        <w:fldChar w:fldCharType="separate"/>
      </w:r>
      <w:r>
        <w:rPr>
          <w:rFonts w:hint="eastAsia"/>
        </w:rPr>
        <w:t>5 计算结果</w:t>
      </w:r>
      <w:r>
        <w:tab/>
      </w:r>
      <w:r>
        <w:fldChar w:fldCharType="begin"/>
      </w:r>
      <w:r>
        <w:instrText xml:space="preserve"> PAGEREF _Toc1787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_Toc18964 </w:instrText>
      </w:r>
      <w:r>
        <w:fldChar w:fldCharType="separate"/>
      </w:r>
      <w:r>
        <w:rPr>
          <w:rFonts w:hint="eastAsia"/>
        </w:rPr>
        <w:t>6 活动场地遮阴图</w:t>
      </w:r>
      <w:r>
        <w:tab/>
      </w:r>
      <w:r>
        <w:fldChar w:fldCharType="begin"/>
      </w:r>
      <w:r>
        <w:instrText xml:space="preserve"> PAGEREF _Toc18964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_Toc9178 </w:instrText>
      </w:r>
      <w:r>
        <w:fldChar w:fldCharType="separate"/>
      </w:r>
      <w:r>
        <w:rPr>
          <w:rFonts w:hint="eastAsia"/>
        </w:rPr>
        <w:t>7 评价结论</w:t>
      </w:r>
      <w:r>
        <w:tab/>
      </w:r>
      <w:r>
        <w:fldChar w:fldCharType="begin"/>
      </w:r>
      <w:r>
        <w:instrText xml:space="preserve"> PAGEREF _Toc9178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fldChar w:fldCharType="end"/>
      </w:r>
    </w:p>
    <w:p>
      <w:pPr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</w:p>
    <w:p>
      <w:pPr>
        <w:pStyle w:val="2"/>
      </w:pPr>
      <w:bookmarkStart w:id="11" w:name="_Toc401318136"/>
      <w:bookmarkStart w:id="12" w:name="_Toc9488"/>
      <w:r>
        <w:rPr>
          <w:rFonts w:hint="eastAsia"/>
        </w:rPr>
        <w:t>住区概况</w:t>
      </w:r>
      <w:bookmarkEnd w:id="11"/>
      <w:bookmarkEnd w:id="12"/>
    </w:p>
    <w:tbl>
      <w:tblPr>
        <w:tblStyle w:val="18"/>
        <w:tblW w:w="0" w:type="auto"/>
        <w:tblInd w:w="12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1"/>
        <w:gridCol w:w="3115"/>
        <w:gridCol w:w="31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tcBorders>
              <w:bottom w:val="single" w:color="auto" w:sz="8" w:space="0"/>
            </w:tcBorders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工程名称</w:t>
            </w:r>
          </w:p>
        </w:tc>
        <w:tc>
          <w:tcPr>
            <w:tcW w:w="6231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3" w:name="工程名称1"/>
            <w:r>
              <w:rPr>
                <w:rFonts w:hint="eastAsia" w:ascii="宋体" w:hAnsi="宋体"/>
              </w:rPr>
              <w:t>XXX住宅小区</w:t>
            </w:r>
            <w:bookmarkEnd w:id="1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tcBorders>
              <w:top w:val="single" w:color="auto" w:sz="8" w:space="0"/>
            </w:tcBorders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工程地点</w:t>
            </w:r>
          </w:p>
        </w:tc>
        <w:tc>
          <w:tcPr>
            <w:tcW w:w="6231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4" w:name="工程地点"/>
            <w:r>
              <w:rPr>
                <w:rFonts w:hint="eastAsia" w:ascii="宋体" w:hAnsi="宋体"/>
                <w:lang w:val="en-US"/>
              </w:rPr>
              <w:t>乌鲁木齐</w:t>
            </w:r>
            <w:bookmarkEnd w:id="1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tcBorders>
              <w:top w:val="single" w:color="auto" w:sz="8" w:space="0"/>
            </w:tcBorders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</w:t>
            </w:r>
            <w:r>
              <w:rPr>
                <w:rFonts w:ascii="宋体" w:hAnsi="宋体"/>
                <w:lang w:val="en-US"/>
              </w:rPr>
              <w:t>类型</w:t>
            </w:r>
          </w:p>
        </w:tc>
        <w:tc>
          <w:tcPr>
            <w:tcW w:w="6231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5" w:name="建筑类型"/>
            <w:r>
              <w:t>公共建筑</w:t>
            </w:r>
            <w:bookmarkEnd w:id="1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地理位置</w:t>
            </w:r>
          </w:p>
        </w:tc>
        <w:tc>
          <w:tcPr>
            <w:tcW w:w="3115" w:type="dxa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北纬：</w:t>
            </w:r>
            <w:bookmarkStart w:id="16" w:name="纬度"/>
            <w:r>
              <w:rPr>
                <w:rFonts w:ascii="宋体" w:hAnsi="宋体"/>
                <w:lang w:val="en-US"/>
              </w:rPr>
              <w:t>43.82</w:t>
            </w:r>
            <w:bookmarkEnd w:id="16"/>
            <w:r>
              <w:rPr>
                <w:rFonts w:hint="eastAsia" w:ascii="宋体" w:hAnsi="宋体"/>
                <w:lang w:val="en-US"/>
              </w:rPr>
              <w:t>°</w:t>
            </w:r>
          </w:p>
        </w:tc>
        <w:tc>
          <w:tcPr>
            <w:tcW w:w="3116" w:type="dxa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东经：</w:t>
            </w:r>
            <w:bookmarkStart w:id="17" w:name="经度"/>
            <w:r>
              <w:rPr>
                <w:rFonts w:ascii="宋体" w:hAnsi="宋体"/>
                <w:lang w:val="en-US"/>
              </w:rPr>
              <w:t>87.62</w:t>
            </w:r>
            <w:bookmarkEnd w:id="17"/>
            <w:r>
              <w:rPr>
                <w:rFonts w:hint="eastAsia" w:ascii="宋体" w:hAnsi="宋体"/>
                <w:lang w:val="en-US"/>
              </w:rPr>
              <w:t>°</w:t>
            </w:r>
          </w:p>
        </w:tc>
      </w:tr>
    </w:tbl>
    <w:p>
      <w:pPr>
        <w:pStyle w:val="2"/>
      </w:pPr>
      <w:bookmarkStart w:id="18" w:name="_Toc508"/>
      <w:bookmarkStart w:id="19" w:name="TitleFormat"/>
      <w:r>
        <w:rPr>
          <w:rFonts w:hint="eastAsia"/>
        </w:rPr>
        <w:t>标准</w:t>
      </w:r>
      <w:bookmarkStart w:id="20" w:name="_Toc401318137"/>
      <w:r>
        <w:rPr>
          <w:rFonts w:hint="eastAsia"/>
        </w:rPr>
        <w:t>依据</w:t>
      </w:r>
      <w:bookmarkEnd w:id="18"/>
      <w:bookmarkEnd w:id="20"/>
    </w:p>
    <w:p>
      <w:pPr>
        <w:pStyle w:val="3"/>
        <w:ind w:left="840" w:hanging="420" w:firstLineChars="0"/>
        <w:rPr>
          <w:lang w:val="en-US"/>
        </w:rPr>
      </w:pPr>
      <w:r>
        <w:rPr>
          <w:rFonts w:hint="eastAsia"/>
          <w:lang w:val="en-US"/>
        </w:rPr>
        <w:t>1.《绿色建筑评价标准》（JG/T50378-2019）</w:t>
      </w:r>
    </w:p>
    <w:p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>2.《建筑日照计算参数标准》（JG/T50947-2014）</w:t>
      </w:r>
    </w:p>
    <w:p>
      <w:pPr>
        <w:pStyle w:val="2"/>
      </w:pPr>
      <w:bookmarkStart w:id="21" w:name="_Toc13253"/>
      <w:r>
        <w:rPr>
          <w:rFonts w:hint="eastAsia"/>
        </w:rPr>
        <w:t>指标要求</w:t>
      </w:r>
      <w:bookmarkEnd w:id="21"/>
    </w:p>
    <w:p>
      <w:pPr>
        <w:pStyle w:val="4"/>
      </w:pPr>
      <w:bookmarkStart w:id="22" w:name="_Toc13873"/>
      <w:r>
        <w:rPr>
          <w:rFonts w:hint="eastAsia"/>
        </w:rPr>
        <w:t>规范要求</w:t>
      </w:r>
      <w:bookmarkEnd w:id="22"/>
    </w:p>
    <w:p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>《绿色建筑评价标准》（JG/T50378-2019）中有关活动场地遮阴率的具体要求如下：</w:t>
      </w:r>
    </w:p>
    <w:p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>8.2.9 采取措施降低热岛强度，评价总分值为4分，并按下列规则分别评分并累计：</w:t>
      </w:r>
    </w:p>
    <w:p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>1、场</w:t>
      </w:r>
      <w:r>
        <w:rPr>
          <w:lang w:val="en-US"/>
        </w:rPr>
        <w:t>地中</w:t>
      </w:r>
      <w:r>
        <w:rPr>
          <w:rFonts w:hint="eastAsia"/>
          <w:lang w:val="en-US"/>
        </w:rPr>
        <w:t>处</w:t>
      </w:r>
      <w:r>
        <w:rPr>
          <w:lang w:val="en-US"/>
        </w:rPr>
        <w:t>于建筑阴影区外的步道、游憩</w:t>
      </w:r>
      <w:r>
        <w:rPr>
          <w:rFonts w:hint="eastAsia"/>
          <w:lang w:val="en-US"/>
        </w:rPr>
        <w:t>场</w:t>
      </w:r>
      <w:r>
        <w:rPr>
          <w:lang w:val="en-US"/>
        </w:rPr>
        <w:t>、庭院、广</w:t>
      </w:r>
      <w:r>
        <w:rPr>
          <w:rFonts w:hint="eastAsia"/>
          <w:lang w:val="en-US"/>
        </w:rPr>
        <w:t>场等室外活动场</w:t>
      </w:r>
      <w:r>
        <w:rPr>
          <w:lang w:val="en-US"/>
        </w:rPr>
        <w:t>地</w:t>
      </w:r>
      <w:r>
        <w:rPr>
          <w:rFonts w:hint="eastAsia"/>
          <w:lang w:val="en-US"/>
        </w:rPr>
        <w:t>设</w:t>
      </w:r>
      <w:r>
        <w:rPr>
          <w:lang w:val="en-US"/>
        </w:rPr>
        <w:t>有</w:t>
      </w:r>
      <w:r>
        <w:rPr>
          <w:rFonts w:hint="eastAsia"/>
          <w:lang w:val="en-US"/>
        </w:rPr>
        <w:t>乔</w:t>
      </w:r>
      <w:r>
        <w:rPr>
          <w:lang w:val="en-US"/>
        </w:rPr>
        <w:t>木、花架等遮阴措施的面</w:t>
      </w:r>
      <w:r>
        <w:rPr>
          <w:rFonts w:hint="eastAsia"/>
          <w:lang w:val="en-US"/>
        </w:rPr>
        <w:t>积</w:t>
      </w:r>
      <w:r>
        <w:rPr>
          <w:lang w:val="en-US"/>
        </w:rPr>
        <w:t>比例，住宅建</w:t>
      </w:r>
      <w:r>
        <w:rPr>
          <w:rFonts w:hint="eastAsia"/>
          <w:lang w:val="en-US"/>
        </w:rPr>
        <w:t>筑达到</w:t>
      </w:r>
      <w:r>
        <w:rPr>
          <w:lang w:val="en-US"/>
        </w:rPr>
        <w:t xml:space="preserve">30%, </w:t>
      </w:r>
      <w:r>
        <w:rPr>
          <w:rFonts w:hint="eastAsia"/>
          <w:lang w:val="en-US"/>
        </w:rPr>
        <w:t>公共建筑达到</w:t>
      </w:r>
      <w:r>
        <w:rPr>
          <w:lang w:val="en-US"/>
        </w:rPr>
        <w:t xml:space="preserve">10%, </w:t>
      </w:r>
      <w:r>
        <w:rPr>
          <w:rFonts w:hint="eastAsia"/>
          <w:lang w:val="en-US"/>
        </w:rPr>
        <w:t>得</w:t>
      </w:r>
      <w:r>
        <w:rPr>
          <w:lang w:val="en-US"/>
        </w:rPr>
        <w:t xml:space="preserve">2 </w:t>
      </w:r>
      <w:r>
        <w:rPr>
          <w:rFonts w:hint="eastAsia"/>
          <w:lang w:val="en-US"/>
        </w:rPr>
        <w:t>分；住宅建筑达到</w:t>
      </w:r>
      <w:r>
        <w:rPr>
          <w:lang w:val="en-US"/>
        </w:rPr>
        <w:t xml:space="preserve">50%, </w:t>
      </w:r>
      <w:r>
        <w:rPr>
          <w:rFonts w:hint="eastAsia"/>
          <w:lang w:val="en-US"/>
        </w:rPr>
        <w:t>公共建筑达到</w:t>
      </w:r>
      <w:r>
        <w:rPr>
          <w:lang w:val="en-US"/>
        </w:rPr>
        <w:t xml:space="preserve">20%, </w:t>
      </w:r>
      <w:r>
        <w:rPr>
          <w:rFonts w:hint="eastAsia"/>
          <w:lang w:val="en-US"/>
        </w:rPr>
        <w:t>得</w:t>
      </w:r>
      <w:r>
        <w:rPr>
          <w:lang w:val="en-US"/>
        </w:rPr>
        <w:t xml:space="preserve">3 </w:t>
      </w:r>
      <w:r>
        <w:rPr>
          <w:rFonts w:hint="eastAsia"/>
          <w:lang w:val="en-US"/>
        </w:rPr>
        <w:t>分；。</w:t>
      </w:r>
    </w:p>
    <w:p>
      <w:pPr>
        <w:pStyle w:val="4"/>
        <w:numPr>
          <w:ilvl w:val="1"/>
          <w:numId w:val="2"/>
        </w:numPr>
      </w:pPr>
      <w:bookmarkStart w:id="23" w:name="_Toc21319"/>
      <w:r>
        <w:rPr>
          <w:rFonts w:hint="eastAsia"/>
        </w:rPr>
        <w:t>遮阴概述</w:t>
      </w:r>
      <w:bookmarkEnd w:id="23"/>
    </w:p>
    <w:p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>遮阴面积即户外活动场地中设有乔木、爬藤花架等遮阴设施所占面积所占的比例。户外活动场地包括：道路、庭院、广场、游憩场。而遮阴率计算中需要排除建筑阴影区。</w:t>
      </w:r>
    </w:p>
    <w:p>
      <w:pPr>
        <w:pStyle w:val="4"/>
        <w:numPr>
          <w:ilvl w:val="1"/>
          <w:numId w:val="2"/>
        </w:numPr>
      </w:pPr>
      <w:bookmarkStart w:id="24" w:name="_Toc3044"/>
      <w:r>
        <w:rPr>
          <w:rFonts w:hint="eastAsia"/>
        </w:rPr>
        <w:t>计算方法</w:t>
      </w:r>
      <w:bookmarkEnd w:id="24"/>
    </w:p>
    <w:p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>遮阴率</w:t>
      </w:r>
      <w:r>
        <w:rPr>
          <w:lang w:val="en-US"/>
        </w:rPr>
        <w:t xml:space="preserve"> = </w:t>
      </w:r>
      <w:r>
        <w:rPr>
          <w:rFonts w:hint="eastAsia"/>
          <w:lang w:val="en-US"/>
        </w:rPr>
        <w:t>（建筑日影遮阴范围外的绿化遮阴面积</w:t>
      </w:r>
      <w:r>
        <w:rPr>
          <w:lang w:val="en-US"/>
        </w:rPr>
        <w:t>+</w:t>
      </w:r>
      <w:r>
        <w:rPr>
          <w:rFonts w:hint="eastAsia"/>
          <w:lang w:val="en-US"/>
        </w:rPr>
        <w:t>建筑日影遮阴范围外的构筑物遮阴面积）</w:t>
      </w:r>
      <w:r>
        <w:rPr>
          <w:lang w:val="en-US"/>
        </w:rPr>
        <w:t xml:space="preserve">/ </w:t>
      </w:r>
      <w:r>
        <w:rPr>
          <w:rFonts w:hint="eastAsia"/>
          <w:lang w:val="en-US"/>
        </w:rPr>
        <w:t>（活动场地面积</w:t>
      </w:r>
      <w:r>
        <w:rPr>
          <w:lang w:val="en-US"/>
        </w:rPr>
        <w:t>-</w:t>
      </w:r>
      <w:r>
        <w:rPr>
          <w:rFonts w:hint="eastAsia"/>
          <w:lang w:val="en-US"/>
        </w:rPr>
        <w:t>建筑日影遮阴面积）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×</w:t>
      </w:r>
      <w:r>
        <w:rPr>
          <w:lang w:val="en-US"/>
        </w:rPr>
        <w:t xml:space="preserve"> 100%</w:t>
      </w:r>
    </w:p>
    <w:p>
      <w:pPr>
        <w:pStyle w:val="3"/>
        <w:numPr>
          <w:ilvl w:val="0"/>
          <w:numId w:val="3"/>
        </w:numPr>
        <w:ind w:firstLine="420"/>
        <w:rPr>
          <w:lang w:val="en-US"/>
        </w:rPr>
      </w:pPr>
      <w:r>
        <w:rPr>
          <w:rFonts w:hint="eastAsia"/>
          <w:lang w:val="en-US"/>
        </w:rPr>
        <w:t>绿化</w:t>
      </w:r>
      <w:r>
        <w:rPr>
          <w:lang w:val="en-US"/>
        </w:rPr>
        <w:t>/</w:t>
      </w:r>
      <w:r>
        <w:rPr>
          <w:rFonts w:hint="eastAsia"/>
          <w:lang w:val="en-US"/>
        </w:rPr>
        <w:t>构筑物遮阴面积：按照活动场地范围内绿化体树冠或棚架正投影面积计算，构筑物遮阴面积按照构筑物正投影面积计算；</w:t>
      </w:r>
    </w:p>
    <w:p>
      <w:pPr>
        <w:pStyle w:val="3"/>
        <w:numPr>
          <w:ilvl w:val="0"/>
          <w:numId w:val="3"/>
        </w:numPr>
        <w:ind w:firstLine="420"/>
        <w:rPr>
          <w:lang w:val="en-US"/>
        </w:rPr>
      </w:pPr>
      <w:r>
        <w:rPr>
          <w:rFonts w:hint="eastAsia"/>
          <w:lang w:val="en-US"/>
        </w:rPr>
        <w:t>建筑日影遮阴面积：在日照基准年（</w:t>
      </w:r>
      <w:r>
        <w:rPr>
          <w:lang w:val="en-US"/>
        </w:rPr>
        <w:t>2001</w:t>
      </w:r>
      <w:r>
        <w:rPr>
          <w:rFonts w:hint="eastAsia"/>
          <w:lang w:val="en-US"/>
        </w:rPr>
        <w:t>）夏至日（</w:t>
      </w:r>
      <w:r>
        <w:rPr>
          <w:lang w:val="en-US"/>
        </w:rPr>
        <w:t>6</w:t>
      </w:r>
      <w:r>
        <w:rPr>
          <w:rFonts w:hint="eastAsia"/>
          <w:lang w:val="en-US"/>
        </w:rPr>
        <w:t>月</w:t>
      </w:r>
      <w:r>
        <w:rPr>
          <w:lang w:val="en-US"/>
        </w:rPr>
        <w:t>21</w:t>
      </w:r>
      <w:r>
        <w:rPr>
          <w:rFonts w:hint="eastAsia"/>
          <w:lang w:val="en-US"/>
        </w:rPr>
        <w:t>日）的</w:t>
      </w:r>
      <w:r>
        <w:rPr>
          <w:lang w:val="en-US"/>
        </w:rPr>
        <w:t>8</w:t>
      </w:r>
      <w:r>
        <w:rPr>
          <w:rFonts w:hint="eastAsia"/>
          <w:lang w:val="en-US"/>
        </w:rPr>
        <w:t>：</w:t>
      </w:r>
      <w:r>
        <w:rPr>
          <w:lang w:val="en-US"/>
        </w:rPr>
        <w:t>00~16</w:t>
      </w:r>
      <w:r>
        <w:rPr>
          <w:rFonts w:hint="eastAsia"/>
          <w:lang w:val="en-US"/>
        </w:rPr>
        <w:t>：</w:t>
      </w:r>
      <w:r>
        <w:rPr>
          <w:lang w:val="en-US"/>
        </w:rPr>
        <w:t>00</w:t>
      </w:r>
      <w:r>
        <w:rPr>
          <w:rFonts w:hint="eastAsia"/>
          <w:lang w:val="en-US"/>
        </w:rPr>
        <w:t>内，有</w:t>
      </w:r>
      <w:r>
        <w:rPr>
          <w:lang w:val="en-US"/>
        </w:rPr>
        <w:t>4h</w:t>
      </w:r>
      <w:r>
        <w:rPr>
          <w:rFonts w:hint="eastAsia"/>
          <w:lang w:val="en-US"/>
        </w:rPr>
        <w:t>及以上处于建筑阴影区域内的户外活动场地面积。</w:t>
      </w:r>
    </w:p>
    <w:p>
      <w:pPr>
        <w:pStyle w:val="3"/>
        <w:ind w:firstLine="0" w:firstLineChars="0"/>
        <w:rPr>
          <w:lang w:val="en-US"/>
        </w:rPr>
      </w:pPr>
      <w:r>
        <w:rPr>
          <w:lang w:val="en-US"/>
        </w:rPr>
        <w:t xml:space="preserve">     </w:t>
      </w:r>
      <w:r>
        <w:rPr>
          <w:rFonts w:hint="eastAsia"/>
          <w:lang w:val="en-US"/>
        </w:rPr>
        <w:t>说明：绿化遮阴面积、构筑物遮阴、建筑日影遮阴不重复计算相互之间重叠部分的面积。</w:t>
      </w:r>
    </w:p>
    <w:bookmarkEnd w:id="19"/>
    <w:p>
      <w:pPr>
        <w:pStyle w:val="2"/>
      </w:pPr>
      <w:bookmarkStart w:id="25" w:name="_Toc401318141"/>
      <w:bookmarkStart w:id="26" w:name="_Toc31644"/>
      <w:r>
        <w:rPr>
          <w:rFonts w:hint="eastAsia"/>
        </w:rPr>
        <w:t>指标概览</w:t>
      </w:r>
      <w:bookmarkEnd w:id="25"/>
      <w:bookmarkEnd w:id="26"/>
    </w:p>
    <w:p>
      <w:pPr>
        <w:pStyle w:val="4"/>
      </w:pPr>
      <w:bookmarkStart w:id="27" w:name="_Toc17466"/>
      <w:r>
        <w:rPr>
          <w:rFonts w:hint="eastAsia"/>
        </w:rPr>
        <w:t>建筑列表</w:t>
      </w:r>
      <w:bookmarkEnd w:id="27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8"/>
        <w:gridCol w:w="3107"/>
        <w:gridCol w:w="310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建筑名称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基底面积(㎡)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建筑高度(m)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/>
        </w:tc>
        <w:tc>
          <w:tcPr>
            <w:vAlign w:val="center"/>
          </w:tcPr>
          <w:p>
            <w:r>
              <w:t>1937.3</w:t>
            </w:r>
          </w:p>
        </w:tc>
        <w:tc>
          <w:tcPr>
            <w:vAlign w:val="center"/>
          </w:tcPr>
          <w:p>
            <w:r>
              <w:t>11.0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2楼</w:t>
            </w:r>
          </w:p>
        </w:tc>
        <w:tc>
          <w:tcPr>
            <w:vAlign w:val="center"/>
          </w:tcPr>
          <w:p>
            <w:r>
              <w:t>312.0</w:t>
            </w:r>
          </w:p>
        </w:tc>
        <w:tc>
          <w:tcPr>
            <w:vAlign w:val="center"/>
          </w:tcPr>
          <w:p>
            <w:r>
              <w:t>28.0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3楼</w:t>
            </w:r>
          </w:p>
        </w:tc>
        <w:tc>
          <w:tcPr>
            <w:vAlign w:val="center"/>
          </w:tcPr>
          <w:p>
            <w:r>
              <w:t>506.5</w:t>
            </w:r>
          </w:p>
        </w:tc>
        <w:tc>
          <w:tcPr>
            <w:vAlign w:val="center"/>
          </w:tcPr>
          <w:p>
            <w:r>
              <w:t>16.0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4楼</w:t>
            </w:r>
          </w:p>
        </w:tc>
        <w:tc>
          <w:tcPr>
            <w:vAlign w:val="center"/>
          </w:tcPr>
          <w:p>
            <w:r>
              <w:t>447.4</w:t>
            </w:r>
          </w:p>
        </w:tc>
        <w:tc>
          <w:tcPr>
            <w:vAlign w:val="center"/>
          </w:tcPr>
          <w:p>
            <w:r>
              <w:t>24.0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5楼</w:t>
            </w:r>
          </w:p>
        </w:tc>
        <w:tc>
          <w:tcPr>
            <w:vAlign w:val="center"/>
          </w:tcPr>
          <w:p>
            <w:r>
              <w:t>453.3</w:t>
            </w:r>
          </w:p>
        </w:tc>
        <w:tc>
          <w:tcPr>
            <w:vAlign w:val="center"/>
          </w:tcPr>
          <w:p>
            <w:r>
              <w:t>38.4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6楼</w:t>
            </w:r>
          </w:p>
        </w:tc>
        <w:tc>
          <w:tcPr>
            <w:vAlign w:val="center"/>
          </w:tcPr>
          <w:p>
            <w:r>
              <w:t>372.6</w:t>
            </w:r>
          </w:p>
        </w:tc>
        <w:tc>
          <w:tcPr>
            <w:vAlign w:val="center"/>
          </w:tcPr>
          <w:p>
            <w:r>
              <w:t>21.0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7楼</w:t>
            </w:r>
          </w:p>
        </w:tc>
        <w:tc>
          <w:tcPr>
            <w:vAlign w:val="center"/>
          </w:tcPr>
          <w:p>
            <w:r>
              <w:t>331.4</w:t>
            </w:r>
          </w:p>
        </w:tc>
        <w:tc>
          <w:tcPr>
            <w:vAlign w:val="center"/>
          </w:tcPr>
          <w:p>
            <w:r>
              <w:t>24.0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8楼</w:t>
            </w:r>
          </w:p>
        </w:tc>
        <w:tc>
          <w:tcPr>
            <w:vAlign w:val="center"/>
          </w:tcPr>
          <w:p>
            <w:r>
              <w:t>655.2</w:t>
            </w:r>
          </w:p>
        </w:tc>
        <w:tc>
          <w:tcPr>
            <w:vAlign w:val="center"/>
          </w:tcPr>
          <w:p>
            <w:r>
              <w:t>36.0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9楼</w:t>
            </w:r>
          </w:p>
        </w:tc>
        <w:tc>
          <w:tcPr>
            <w:vAlign w:val="center"/>
          </w:tcPr>
          <w:p>
            <w:r>
              <w:t>316.6</w:t>
            </w:r>
          </w:p>
        </w:tc>
        <w:tc>
          <w:tcPr>
            <w:vAlign w:val="center"/>
          </w:tcPr>
          <w:p>
            <w:r>
              <w:t>36.0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10楼</w:t>
            </w:r>
          </w:p>
        </w:tc>
        <w:tc>
          <w:tcPr>
            <w:vAlign w:val="center"/>
          </w:tcPr>
          <w:p>
            <w:r>
              <w:t>543.7</w:t>
            </w:r>
          </w:p>
        </w:tc>
        <w:tc>
          <w:tcPr>
            <w:vAlign w:val="center"/>
          </w:tcPr>
          <w:p>
            <w:r>
              <w:t>36.0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14楼</w:t>
            </w:r>
          </w:p>
        </w:tc>
        <w:tc>
          <w:tcPr>
            <w:vAlign w:val="center"/>
          </w:tcPr>
          <w:p>
            <w:r>
              <w:t>414.4</w:t>
            </w:r>
          </w:p>
        </w:tc>
        <w:tc>
          <w:tcPr>
            <w:vAlign w:val="center"/>
          </w:tcPr>
          <w:p>
            <w:r>
              <w:t>28.8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15楼</w:t>
            </w:r>
          </w:p>
        </w:tc>
        <w:tc>
          <w:tcPr>
            <w:vAlign w:val="center"/>
          </w:tcPr>
          <w:p>
            <w:r>
              <w:t>414.3</w:t>
            </w:r>
          </w:p>
        </w:tc>
        <w:tc>
          <w:tcPr>
            <w:vAlign w:val="center"/>
          </w:tcPr>
          <w:p>
            <w:r>
              <w:t>19.2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20楼</w:t>
            </w:r>
          </w:p>
        </w:tc>
        <w:tc>
          <w:tcPr>
            <w:vAlign w:val="center"/>
          </w:tcPr>
          <w:p>
            <w:r>
              <w:t>533.4</w:t>
            </w:r>
          </w:p>
        </w:tc>
        <w:tc>
          <w:tcPr>
            <w:vAlign w:val="center"/>
          </w:tcPr>
          <w:p>
            <w:r>
              <w:t>19.2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21楼</w:t>
            </w:r>
          </w:p>
        </w:tc>
        <w:tc>
          <w:tcPr>
            <w:vAlign w:val="center"/>
          </w:tcPr>
          <w:p>
            <w:r>
              <w:t>673.0</w:t>
            </w:r>
          </w:p>
        </w:tc>
        <w:tc>
          <w:tcPr>
            <w:vAlign w:val="center"/>
          </w:tcPr>
          <w:p>
            <w:r>
              <w:t>31.2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22楼</w:t>
            </w:r>
          </w:p>
        </w:tc>
        <w:tc>
          <w:tcPr>
            <w:vAlign w:val="center"/>
          </w:tcPr>
          <w:p>
            <w:r>
              <w:t>413.7</w:t>
            </w:r>
          </w:p>
        </w:tc>
        <w:tc>
          <w:tcPr>
            <w:vAlign w:val="center"/>
          </w:tcPr>
          <w:p>
            <w:r>
              <w:t>14.4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23楼</w:t>
            </w:r>
          </w:p>
        </w:tc>
        <w:tc>
          <w:tcPr>
            <w:vAlign w:val="center"/>
          </w:tcPr>
          <w:p>
            <w:r>
              <w:t>415.1</w:t>
            </w:r>
          </w:p>
        </w:tc>
        <w:tc>
          <w:tcPr>
            <w:vAlign w:val="center"/>
          </w:tcPr>
          <w:p>
            <w:r>
              <w:t>14.4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24楼</w:t>
            </w:r>
          </w:p>
        </w:tc>
        <w:tc>
          <w:tcPr>
            <w:vAlign w:val="center"/>
          </w:tcPr>
          <w:p>
            <w:r>
              <w:t>468.1</w:t>
            </w:r>
          </w:p>
        </w:tc>
        <w:tc>
          <w:tcPr>
            <w:vAlign w:val="center"/>
          </w:tcPr>
          <w:p>
            <w:r>
              <w:t>21.6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25楼</w:t>
            </w:r>
          </w:p>
        </w:tc>
        <w:tc>
          <w:tcPr>
            <w:vAlign w:val="center"/>
          </w:tcPr>
          <w:p>
            <w:r>
              <w:t>828.6</w:t>
            </w:r>
          </w:p>
        </w:tc>
        <w:tc>
          <w:tcPr>
            <w:vAlign w:val="center"/>
          </w:tcPr>
          <w:p>
            <w:r>
              <w:t>7.2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27楼</w:t>
            </w:r>
          </w:p>
        </w:tc>
        <w:tc>
          <w:tcPr>
            <w:vAlign w:val="center"/>
          </w:tcPr>
          <w:p>
            <w:r>
              <w:t>711.4</w:t>
            </w:r>
          </w:p>
        </w:tc>
        <w:tc>
          <w:tcPr>
            <w:vAlign w:val="center"/>
          </w:tcPr>
          <w:p>
            <w:r>
              <w:t>16.8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28楼</w:t>
            </w:r>
          </w:p>
        </w:tc>
        <w:tc>
          <w:tcPr>
            <w:vAlign w:val="center"/>
          </w:tcPr>
          <w:p>
            <w:r>
              <w:t>515.7</w:t>
            </w:r>
          </w:p>
        </w:tc>
        <w:tc>
          <w:tcPr>
            <w:vAlign w:val="center"/>
          </w:tcPr>
          <w:p>
            <w:r>
              <w:t>9.6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崇明楼</w:t>
            </w:r>
          </w:p>
        </w:tc>
        <w:tc>
          <w:tcPr>
            <w:vAlign w:val="center"/>
          </w:tcPr>
          <w:p>
            <w:r>
              <w:t>4141.7</w:t>
            </w:r>
          </w:p>
        </w:tc>
        <w:tc>
          <w:tcPr>
            <w:vAlign w:val="center"/>
          </w:tcPr>
          <w:p>
            <w:r>
              <w:t>19.0</w:t>
            </w:r>
          </w:p>
        </w:tc>
      </w:tr>
    </w:tbl>
    <w:p>
      <w:pPr>
        <w:pStyle w:val="3"/>
        <w:ind w:firstLine="420"/>
        <w:rPr>
          <w:lang w:val="en-US"/>
        </w:rPr>
      </w:pPr>
      <w:bookmarkStart w:id="28" w:name="建筑列表"/>
      <w:bookmarkEnd w:id="28"/>
    </w:p>
    <w:p>
      <w:pPr>
        <w:pStyle w:val="4"/>
      </w:pPr>
      <w:bookmarkStart w:id="29" w:name="_Toc13760"/>
      <w:r>
        <w:rPr>
          <w:rFonts w:hint="eastAsia"/>
        </w:rPr>
        <w:t>各类面积指标</w:t>
      </w:r>
      <w:bookmarkEnd w:id="29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3"/>
        <w:gridCol w:w="423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指标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值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地块(红线)面积(㎡)</w:t>
            </w:r>
          </w:p>
        </w:tc>
        <w:tc>
          <w:tcPr>
            <w:vAlign w:val="center"/>
          </w:tcPr>
          <w:p>
            <w:r>
              <w:t>78421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建筑密度</w:t>
            </w:r>
          </w:p>
        </w:tc>
        <w:tc>
          <w:tcPr>
            <w:vAlign w:val="center"/>
          </w:tcPr>
          <w:p>
            <w:r>
              <w:t>0.20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室外面积(㎡)</w:t>
            </w:r>
          </w:p>
        </w:tc>
        <w:tc>
          <w:tcPr>
            <w:vAlign w:val="center"/>
          </w:tcPr>
          <w:p>
            <w:r>
              <w:t>63015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活动场地总面积(㎡)</w:t>
            </w:r>
          </w:p>
        </w:tc>
        <w:tc>
          <w:tcPr>
            <w:vAlign w:val="center"/>
          </w:tcPr>
          <w:p>
            <w:r>
              <w:t>10580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乔木总投影面积(㎡)</w:t>
            </w:r>
          </w:p>
        </w:tc>
        <w:tc>
          <w:tcPr>
            <w:vAlign w:val="center"/>
          </w:tcPr>
          <w:p>
            <w:r>
              <w:t>9520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爬藤总投影面积(㎡)</w:t>
            </w:r>
          </w:p>
        </w:tc>
        <w:tc>
          <w:tcPr>
            <w:vAlign w:val="center"/>
          </w:tcPr>
          <w:p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亭廊总投影面积(㎡)</w:t>
            </w:r>
          </w:p>
        </w:tc>
        <w:tc>
          <w:tcPr>
            <w:vAlign w:val="center"/>
          </w:tcPr>
          <w:p>
            <w:r>
              <w:t>0</w:t>
            </w:r>
          </w:p>
        </w:tc>
      </w:tr>
    </w:tbl>
    <w:p>
      <w:pPr>
        <w:pStyle w:val="3"/>
        <w:ind w:firstLine="420"/>
        <w:rPr>
          <w:lang w:val="en-US"/>
        </w:rPr>
      </w:pPr>
      <w:bookmarkStart w:id="30" w:name="面积指标"/>
      <w:bookmarkEnd w:id="30"/>
    </w:p>
    <w:p>
      <w:pPr>
        <w:pStyle w:val="2"/>
      </w:pPr>
      <w:bookmarkStart w:id="31" w:name="_Toc1787"/>
      <w:r>
        <w:rPr>
          <w:rFonts w:hint="eastAsia"/>
        </w:rPr>
        <w:t>计算结果</w:t>
      </w:r>
      <w:bookmarkEnd w:id="31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1"/>
        <w:gridCol w:w="1165"/>
        <w:gridCol w:w="1165"/>
        <w:gridCol w:w="1165"/>
        <w:gridCol w:w="1165"/>
        <w:gridCol w:w="1165"/>
        <w:gridCol w:w="1165"/>
        <w:gridCol w:w="116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活动场地</w:t>
            </w:r>
          </w:p>
        </w:tc>
        <w:tc>
          <w:tcPr>
            <w:gridSpan w:val="2"/>
            <w:shd w:val="clear" w:color="auto" w:fill="E6E6E6"/>
            <w:vAlign w:val="center"/>
          </w:tcPr>
          <w:p>
            <w:pPr>
              <w:jc w:val="center"/>
            </w:pPr>
            <w:r>
              <w:t>绿化遮阴(㎡)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构筑物</w:t>
            </w:r>
            <w:r>
              <w:br w:type="textWrapping"/>
            </w:r>
            <w:r>
              <w:t>遮阴(㎡)</w:t>
            </w:r>
          </w:p>
        </w:tc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日影面积</w:t>
            </w:r>
            <w:r>
              <w:br w:type="textWrapping"/>
            </w:r>
            <w:r>
              <w:t>(㎡)</w:t>
            </w:r>
          </w:p>
        </w:tc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总遮阴面积(㎡)</w:t>
            </w:r>
          </w:p>
        </w:tc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场地面积</w:t>
            </w:r>
            <w:r>
              <w:br w:type="textWrapping"/>
            </w:r>
            <w:r>
              <w:t>(㎡)</w:t>
            </w:r>
          </w:p>
        </w:tc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遮阴率(%)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/>
        </w:tc>
        <w:tc>
          <w:tcPr>
            <w:shd w:val="clear" w:color="auto" w:fill="E6E6E6"/>
            <w:vAlign w:val="center"/>
          </w:tcPr>
          <w:p>
            <w:r>
              <w:t>乔木面积</w:t>
            </w:r>
          </w:p>
        </w:tc>
        <w:tc>
          <w:tcPr>
            <w:shd w:val="clear" w:color="auto" w:fill="E6E6E6"/>
            <w:vAlign w:val="center"/>
          </w:tcPr>
          <w:p>
            <w:r>
              <w:t>爬藤面积</w:t>
            </w:r>
          </w:p>
        </w:tc>
        <w:tc>
          <w:tcPr>
            <w:shd w:val="clear" w:color="auto" w:fill="E6E6E6"/>
            <w:vAlign w:val="center"/>
          </w:tcPr>
          <w:p>
            <w:r>
              <w:t>亭廊面积</w:t>
            </w:r>
          </w:p>
        </w:tc>
        <w:tc>
          <w:tcPr>
            <w:vMerge w:val="continue"/>
            <w:shd w:val="clear" w:color="auto" w:fill="E6E6E6"/>
            <w:vAlign w:val="center"/>
          </w:tcPr>
          <w:p/>
        </w:tc>
        <w:tc>
          <w:tcPr>
            <w:vMerge w:val="continue"/>
            <w:shd w:val="clear" w:color="auto" w:fill="E6E6E6"/>
            <w:vAlign w:val="center"/>
          </w:tcPr>
          <w:p/>
        </w:tc>
        <w:tc>
          <w:tcPr>
            <w:vMerge w:val="continue"/>
            <w:shd w:val="clear" w:color="auto" w:fill="E6E6E6"/>
            <w:vAlign w:val="center"/>
          </w:tcPr>
          <w:p/>
        </w:tc>
        <w:tc>
          <w:tcPr>
            <w:vMerge w:val="continue"/>
            <w:shd w:val="clear" w:color="auto" w:fill="E6E6E6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广场</w:t>
            </w:r>
          </w:p>
        </w:tc>
        <w:tc>
          <w:tcPr>
            <w:vAlign w:val="center"/>
          </w:tcPr>
          <w:p>
            <w:r>
              <w:t>124.9</w:t>
            </w:r>
          </w:p>
        </w:tc>
        <w:tc>
          <w:tcPr>
            <w:vAlign w:val="center"/>
          </w:tcPr>
          <w:p>
            <w:r>
              <w:t>0.0</w:t>
            </w:r>
          </w:p>
        </w:tc>
        <w:tc>
          <w:tcPr>
            <w:vAlign w:val="center"/>
          </w:tcPr>
          <w:p>
            <w:r>
              <w:t>0.0</w:t>
            </w:r>
          </w:p>
        </w:tc>
        <w:tc>
          <w:tcPr>
            <w:vAlign w:val="center"/>
          </w:tcPr>
          <w:p>
            <w:r>
              <w:t>0.0</w:t>
            </w:r>
          </w:p>
        </w:tc>
        <w:tc>
          <w:tcPr>
            <w:vAlign w:val="center"/>
          </w:tcPr>
          <w:p>
            <w:r>
              <w:t>124.9</w:t>
            </w:r>
          </w:p>
        </w:tc>
        <w:tc>
          <w:tcPr>
            <w:vAlign w:val="center"/>
          </w:tcPr>
          <w:p>
            <w:r>
              <w:t>547.5</w:t>
            </w:r>
          </w:p>
        </w:tc>
        <w:tc>
          <w:tcPr>
            <w:vAlign w:val="center"/>
          </w:tcPr>
          <w:p>
            <w:r>
              <w:t>22.8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人行道</w:t>
            </w:r>
          </w:p>
        </w:tc>
        <w:tc>
          <w:tcPr>
            <w:vAlign w:val="center"/>
          </w:tcPr>
          <w:p>
            <w:r>
              <w:t>4403.9</w:t>
            </w:r>
          </w:p>
        </w:tc>
        <w:tc>
          <w:tcPr>
            <w:vAlign w:val="center"/>
          </w:tcPr>
          <w:p>
            <w:r>
              <w:t>0.0</w:t>
            </w:r>
          </w:p>
        </w:tc>
        <w:tc>
          <w:tcPr>
            <w:vAlign w:val="center"/>
          </w:tcPr>
          <w:p>
            <w:r>
              <w:t>0.0</w:t>
            </w:r>
          </w:p>
        </w:tc>
        <w:tc>
          <w:tcPr>
            <w:vAlign w:val="center"/>
          </w:tcPr>
          <w:p>
            <w:r>
              <w:t>42.1</w:t>
            </w:r>
          </w:p>
        </w:tc>
        <w:tc>
          <w:tcPr>
            <w:vAlign w:val="center"/>
          </w:tcPr>
          <w:p>
            <w:r>
              <w:t>4382.5</w:t>
            </w:r>
          </w:p>
        </w:tc>
        <w:tc>
          <w:tcPr>
            <w:vAlign w:val="center"/>
          </w:tcPr>
          <w:p>
            <w:r>
              <w:t>10032.3</w:t>
            </w:r>
          </w:p>
        </w:tc>
        <w:tc>
          <w:tcPr>
            <w:vAlign w:val="center"/>
          </w:tcPr>
          <w:p>
            <w:r>
              <w:t>43.7</w:t>
            </w:r>
          </w:p>
        </w:tc>
      </w:tr>
    </w:tbl>
    <w:p>
      <w:pPr>
        <w:pStyle w:val="3"/>
        <w:ind w:firstLine="420"/>
        <w:rPr>
          <w:lang w:val="en-US"/>
        </w:rPr>
      </w:pPr>
      <w:bookmarkStart w:id="32" w:name="计算结果"/>
      <w:bookmarkEnd w:id="32"/>
    </w:p>
    <w:p>
      <w:pPr>
        <w:pStyle w:val="2"/>
      </w:pPr>
      <w:bookmarkStart w:id="33" w:name="_Toc18964"/>
      <w:r>
        <w:rPr>
          <w:rFonts w:hint="eastAsia"/>
        </w:rPr>
        <w:t>活动场地遮阴图</w:t>
      </w:r>
      <w:bookmarkEnd w:id="33"/>
    </w:p>
    <w:p>
      <w:pPr>
        <w:pStyle w:val="3"/>
        <w:ind w:firstLine="0" w:firstLineChars="0"/>
        <w:jc w:val="center"/>
        <w:rPr>
          <w:lang w:val="en-US"/>
        </w:rPr>
      </w:pPr>
      <w:bookmarkStart w:id="34" w:name="阴影平面图"/>
      <w:bookmarkEnd w:id="34"/>
      <w:r>
        <w:drawing>
          <wp:inline distT="0" distB="0" distL="0" distR="0">
            <wp:extent cx="5667375" cy="3867150"/>
            <wp:effectExtent l="0" t="0" r="0" b="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86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ind w:firstLine="0" w:firstLineChars="0"/>
        <w:rPr>
          <w:lang w:val="en-US"/>
        </w:rPr>
      </w:pPr>
    </w:p>
    <w:p>
      <w:pPr>
        <w:pStyle w:val="2"/>
      </w:pPr>
      <w:bookmarkStart w:id="35" w:name="_Toc9178"/>
      <w:r>
        <w:rPr>
          <w:rFonts w:hint="eastAsia"/>
        </w:rPr>
        <w:t>评价结论</w:t>
      </w:r>
      <w:bookmarkEnd w:id="35"/>
    </w:p>
    <w:p>
      <w:pPr>
        <w:widowControl w:val="0"/>
        <w:spacing w:line="360" w:lineRule="auto"/>
        <w:ind w:firstLine="420" w:firstLineChars="200"/>
        <w:jc w:val="both"/>
        <w:rPr>
          <w:rFonts w:ascii="宋体" w:hAnsi="宋体"/>
          <w:kern w:val="2"/>
          <w:szCs w:val="21"/>
          <w:lang w:val="en-US"/>
        </w:rPr>
      </w:pPr>
      <w:r>
        <w:rPr>
          <w:rFonts w:hint="eastAsia" w:ascii="宋体" w:hAnsi="宋体"/>
          <w:kern w:val="2"/>
          <w:szCs w:val="21"/>
          <w:lang w:val="en-US"/>
        </w:rPr>
        <w:t>根据《绿色建筑评价标准》GB/T 50378-201</w:t>
      </w:r>
      <w:r>
        <w:rPr>
          <w:rFonts w:ascii="宋体" w:hAnsi="宋体"/>
          <w:kern w:val="2"/>
          <w:szCs w:val="21"/>
          <w:lang w:val="en-US"/>
        </w:rPr>
        <w:t>9</w:t>
      </w:r>
      <w:r>
        <w:rPr>
          <w:rFonts w:hint="eastAsia" w:ascii="宋体" w:hAnsi="宋体"/>
          <w:kern w:val="2"/>
          <w:szCs w:val="21"/>
          <w:lang w:val="en-US"/>
        </w:rPr>
        <w:t>的8.2.9条款进行以上评价计算，得出本项目活动场地遮阴率的评分项得分，如下：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1"/>
        <w:gridCol w:w="2263"/>
        <w:gridCol w:w="2263"/>
        <w:gridCol w:w="226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场地面积(㎡)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总遮阴面积(㎡)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遮阴率(%)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得分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10579.8</w:t>
            </w:r>
          </w:p>
        </w:tc>
        <w:tc>
          <w:tcPr>
            <w:vAlign w:val="center"/>
          </w:tcPr>
          <w:p>
            <w:r>
              <w:t>4507.5</w:t>
            </w:r>
          </w:p>
        </w:tc>
        <w:tc>
          <w:tcPr>
            <w:vAlign w:val="center"/>
          </w:tcPr>
          <w:p>
            <w:r>
              <w:t>42.6</w:t>
            </w:r>
          </w:p>
        </w:tc>
        <w:tc>
          <w:tcPr>
            <w:vAlign w:val="center"/>
          </w:tcPr>
          <w:p>
            <w:r>
              <w:t>3</w:t>
            </w:r>
          </w:p>
        </w:tc>
      </w:tr>
    </w:tbl>
    <w:p>
      <w:pPr>
        <w:pStyle w:val="3"/>
        <w:ind w:firstLine="0" w:firstLineChars="0"/>
        <w:rPr>
          <w:lang w:val="en-US"/>
        </w:rPr>
      </w:pPr>
      <w:bookmarkStart w:id="36" w:name="评价结论"/>
      <w:bookmarkEnd w:id="36"/>
    </w:p>
    <w:sectPr>
      <w:headerReference r:id="rId3" w:type="default"/>
      <w:footerReference r:id="rId4" w:type="default"/>
      <w:footerReference r:id="rId5" w:type="even"/>
      <w:pgSz w:w="11906" w:h="16838"/>
      <w:pgMar w:top="1440" w:right="1418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framePr w:wrap="around" w:vAnchor="text" w:hAnchor="margin" w:xAlign="center" w:y="1"/>
      <w:rPr>
        <w:rStyle w:val="21"/>
      </w:rPr>
    </w:pPr>
    <w:r>
      <w:fldChar w:fldCharType="begin"/>
    </w:r>
    <w:r>
      <w:rPr>
        <w:rStyle w:val="21"/>
      </w:rPr>
      <w:instrText xml:space="preserve">PAGE  </w:instrText>
    </w:r>
    <w:r>
      <w:fldChar w:fldCharType="separate"/>
    </w:r>
    <w:r>
      <w:rPr>
        <w:rStyle w:val="21"/>
      </w:rPr>
      <w:t>2</w:t>
    </w:r>
    <w:r>
      <w:fldChar w:fldCharType="end"/>
    </w:r>
  </w:p>
  <w:p>
    <w:pPr>
      <w:pStyle w:val="1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framePr w:wrap="around" w:vAnchor="text" w:hAnchor="margin" w:xAlign="center" w:y="1"/>
      <w:rPr>
        <w:rStyle w:val="21"/>
      </w:rPr>
    </w:pPr>
    <w:r>
      <w:fldChar w:fldCharType="begin"/>
    </w:r>
    <w:r>
      <w:rPr>
        <w:rStyle w:val="21"/>
      </w:rPr>
      <w:instrText xml:space="preserve">PAGE  </w:instrText>
    </w:r>
    <w:r>
      <w:fldChar w:fldCharType="end"/>
    </w:r>
  </w:p>
  <w:p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jc w:val="left"/>
    </w:pPr>
    <w:r>
      <w:rPr>
        <w:lang w:val="en-US"/>
      </w:rPr>
      <w:drawing>
        <wp:inline distT="0" distB="0" distL="0" distR="0">
          <wp:extent cx="857250" cy="161925"/>
          <wp:effectExtent l="0" t="0" r="0" b="9525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7250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">
    <w:nsid w:val="552615CE"/>
    <w:multiLevelType w:val="singleLevel"/>
    <w:tmpl w:val="552615CE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3E61F66"/>
    <w:rsid w:val="0000545C"/>
    <w:rsid w:val="0001409C"/>
    <w:rsid w:val="00026B3F"/>
    <w:rsid w:val="00037A4C"/>
    <w:rsid w:val="00051EA5"/>
    <w:rsid w:val="000A30EF"/>
    <w:rsid w:val="000B10AF"/>
    <w:rsid w:val="000B2169"/>
    <w:rsid w:val="000B2FE8"/>
    <w:rsid w:val="000D23A3"/>
    <w:rsid w:val="000F23AD"/>
    <w:rsid w:val="000F7EF2"/>
    <w:rsid w:val="001139A6"/>
    <w:rsid w:val="00116794"/>
    <w:rsid w:val="001201BC"/>
    <w:rsid w:val="00122AE1"/>
    <w:rsid w:val="00135FAF"/>
    <w:rsid w:val="00140DC7"/>
    <w:rsid w:val="0014776A"/>
    <w:rsid w:val="00165699"/>
    <w:rsid w:val="001828F2"/>
    <w:rsid w:val="001872C8"/>
    <w:rsid w:val="00195194"/>
    <w:rsid w:val="0019649A"/>
    <w:rsid w:val="001B3169"/>
    <w:rsid w:val="001B7C87"/>
    <w:rsid w:val="001D6C1E"/>
    <w:rsid w:val="001D6CC2"/>
    <w:rsid w:val="00203A7D"/>
    <w:rsid w:val="002209B4"/>
    <w:rsid w:val="00234F4A"/>
    <w:rsid w:val="0023730B"/>
    <w:rsid w:val="002555B8"/>
    <w:rsid w:val="00260F2E"/>
    <w:rsid w:val="002718EA"/>
    <w:rsid w:val="00272BDC"/>
    <w:rsid w:val="002773E0"/>
    <w:rsid w:val="00285189"/>
    <w:rsid w:val="002B2BB0"/>
    <w:rsid w:val="002B4464"/>
    <w:rsid w:val="002E5DA1"/>
    <w:rsid w:val="002F0C69"/>
    <w:rsid w:val="002F1F5C"/>
    <w:rsid w:val="0030437C"/>
    <w:rsid w:val="00310258"/>
    <w:rsid w:val="003121F7"/>
    <w:rsid w:val="00314D29"/>
    <w:rsid w:val="003320D8"/>
    <w:rsid w:val="00346AFD"/>
    <w:rsid w:val="003746AC"/>
    <w:rsid w:val="00384F21"/>
    <w:rsid w:val="003B0012"/>
    <w:rsid w:val="003C6997"/>
    <w:rsid w:val="003C75A9"/>
    <w:rsid w:val="003E4437"/>
    <w:rsid w:val="00417088"/>
    <w:rsid w:val="00463861"/>
    <w:rsid w:val="004654ED"/>
    <w:rsid w:val="00480784"/>
    <w:rsid w:val="00490A6C"/>
    <w:rsid w:val="00495F4C"/>
    <w:rsid w:val="004A29D4"/>
    <w:rsid w:val="004A420D"/>
    <w:rsid w:val="004C4D23"/>
    <w:rsid w:val="004C69C1"/>
    <w:rsid w:val="004C79DA"/>
    <w:rsid w:val="004D230F"/>
    <w:rsid w:val="004D449D"/>
    <w:rsid w:val="004E2129"/>
    <w:rsid w:val="004F0369"/>
    <w:rsid w:val="004F534A"/>
    <w:rsid w:val="004F694D"/>
    <w:rsid w:val="0050003A"/>
    <w:rsid w:val="00503750"/>
    <w:rsid w:val="005207E3"/>
    <w:rsid w:val="005215FB"/>
    <w:rsid w:val="00545FB7"/>
    <w:rsid w:val="00561C8F"/>
    <w:rsid w:val="00571613"/>
    <w:rsid w:val="005755BA"/>
    <w:rsid w:val="0057692D"/>
    <w:rsid w:val="005812C2"/>
    <w:rsid w:val="005C1055"/>
    <w:rsid w:val="005C7162"/>
    <w:rsid w:val="005F02C4"/>
    <w:rsid w:val="00613298"/>
    <w:rsid w:val="006240DC"/>
    <w:rsid w:val="00651069"/>
    <w:rsid w:val="0067336D"/>
    <w:rsid w:val="00681C3C"/>
    <w:rsid w:val="00685427"/>
    <w:rsid w:val="00694FCA"/>
    <w:rsid w:val="006A159C"/>
    <w:rsid w:val="006A38D1"/>
    <w:rsid w:val="006B02AD"/>
    <w:rsid w:val="006B5695"/>
    <w:rsid w:val="006C3941"/>
    <w:rsid w:val="0072017E"/>
    <w:rsid w:val="0072214C"/>
    <w:rsid w:val="007514FE"/>
    <w:rsid w:val="0075154B"/>
    <w:rsid w:val="00774599"/>
    <w:rsid w:val="007D1A35"/>
    <w:rsid w:val="0083032F"/>
    <w:rsid w:val="008329E7"/>
    <w:rsid w:val="00841FB9"/>
    <w:rsid w:val="00872A29"/>
    <w:rsid w:val="00876CF9"/>
    <w:rsid w:val="00883D6C"/>
    <w:rsid w:val="008842C4"/>
    <w:rsid w:val="00886207"/>
    <w:rsid w:val="00897FCE"/>
    <w:rsid w:val="008A0121"/>
    <w:rsid w:val="008B6B76"/>
    <w:rsid w:val="008E3905"/>
    <w:rsid w:val="008E783F"/>
    <w:rsid w:val="008F4A97"/>
    <w:rsid w:val="009115AF"/>
    <w:rsid w:val="00917B5B"/>
    <w:rsid w:val="0092088B"/>
    <w:rsid w:val="0092562F"/>
    <w:rsid w:val="00935D40"/>
    <w:rsid w:val="00940A35"/>
    <w:rsid w:val="009410A0"/>
    <w:rsid w:val="00961512"/>
    <w:rsid w:val="009729E6"/>
    <w:rsid w:val="009744B2"/>
    <w:rsid w:val="009B5732"/>
    <w:rsid w:val="009C3CAA"/>
    <w:rsid w:val="009C61AC"/>
    <w:rsid w:val="009D580B"/>
    <w:rsid w:val="009D7B62"/>
    <w:rsid w:val="009E4629"/>
    <w:rsid w:val="009E5E29"/>
    <w:rsid w:val="009F034E"/>
    <w:rsid w:val="009F2FC7"/>
    <w:rsid w:val="009F3F68"/>
    <w:rsid w:val="00A0719E"/>
    <w:rsid w:val="00A305A7"/>
    <w:rsid w:val="00A32590"/>
    <w:rsid w:val="00A355BD"/>
    <w:rsid w:val="00A402EA"/>
    <w:rsid w:val="00A44BA7"/>
    <w:rsid w:val="00A53163"/>
    <w:rsid w:val="00A83D4E"/>
    <w:rsid w:val="00A92ECE"/>
    <w:rsid w:val="00AA3AAC"/>
    <w:rsid w:val="00AA47FE"/>
    <w:rsid w:val="00AA7C65"/>
    <w:rsid w:val="00AB536D"/>
    <w:rsid w:val="00AC7EEF"/>
    <w:rsid w:val="00B047B3"/>
    <w:rsid w:val="00B107D2"/>
    <w:rsid w:val="00B16C0D"/>
    <w:rsid w:val="00B41640"/>
    <w:rsid w:val="00B4240C"/>
    <w:rsid w:val="00B55B22"/>
    <w:rsid w:val="00B56CC6"/>
    <w:rsid w:val="00B60841"/>
    <w:rsid w:val="00B645C9"/>
    <w:rsid w:val="00B712B6"/>
    <w:rsid w:val="00B72DD7"/>
    <w:rsid w:val="00B7457E"/>
    <w:rsid w:val="00B90672"/>
    <w:rsid w:val="00BB1C06"/>
    <w:rsid w:val="00BD4A14"/>
    <w:rsid w:val="00BE4349"/>
    <w:rsid w:val="00C0203A"/>
    <w:rsid w:val="00C22E6B"/>
    <w:rsid w:val="00C3317F"/>
    <w:rsid w:val="00C63237"/>
    <w:rsid w:val="00C6343A"/>
    <w:rsid w:val="00C67778"/>
    <w:rsid w:val="00C95557"/>
    <w:rsid w:val="00C97E25"/>
    <w:rsid w:val="00CA1AA5"/>
    <w:rsid w:val="00CA311D"/>
    <w:rsid w:val="00CB5853"/>
    <w:rsid w:val="00CC3C3C"/>
    <w:rsid w:val="00CC50E4"/>
    <w:rsid w:val="00CE28AA"/>
    <w:rsid w:val="00CE3E52"/>
    <w:rsid w:val="00CE5831"/>
    <w:rsid w:val="00CF7E5C"/>
    <w:rsid w:val="00D03910"/>
    <w:rsid w:val="00D32BD4"/>
    <w:rsid w:val="00D40158"/>
    <w:rsid w:val="00D43C46"/>
    <w:rsid w:val="00D478B3"/>
    <w:rsid w:val="00D6136B"/>
    <w:rsid w:val="00D62A9A"/>
    <w:rsid w:val="00D87EEA"/>
    <w:rsid w:val="00D96AE9"/>
    <w:rsid w:val="00DC73AD"/>
    <w:rsid w:val="00DD16C4"/>
    <w:rsid w:val="00DD42A2"/>
    <w:rsid w:val="00DE72DA"/>
    <w:rsid w:val="00DF470C"/>
    <w:rsid w:val="00E16221"/>
    <w:rsid w:val="00E33128"/>
    <w:rsid w:val="00E423BB"/>
    <w:rsid w:val="00E4518A"/>
    <w:rsid w:val="00E6555B"/>
    <w:rsid w:val="00E72EFD"/>
    <w:rsid w:val="00E75AC2"/>
    <w:rsid w:val="00E77F21"/>
    <w:rsid w:val="00E81ACD"/>
    <w:rsid w:val="00EA0210"/>
    <w:rsid w:val="00EA741A"/>
    <w:rsid w:val="00EC27FD"/>
    <w:rsid w:val="00EC70F3"/>
    <w:rsid w:val="00ED3418"/>
    <w:rsid w:val="00EE005A"/>
    <w:rsid w:val="00EE0421"/>
    <w:rsid w:val="00EF0674"/>
    <w:rsid w:val="00EF5872"/>
    <w:rsid w:val="00EF5DD5"/>
    <w:rsid w:val="00F03100"/>
    <w:rsid w:val="00F10D55"/>
    <w:rsid w:val="00F16AE6"/>
    <w:rsid w:val="00F312DB"/>
    <w:rsid w:val="00F37D5E"/>
    <w:rsid w:val="00F4565A"/>
    <w:rsid w:val="00F75DD1"/>
    <w:rsid w:val="00F90890"/>
    <w:rsid w:val="00FA4B87"/>
    <w:rsid w:val="00FA64CC"/>
    <w:rsid w:val="00FA733F"/>
    <w:rsid w:val="00FC0388"/>
    <w:rsid w:val="00FF2243"/>
    <w:rsid w:val="01807F01"/>
    <w:rsid w:val="087B2EFC"/>
    <w:rsid w:val="0BED0586"/>
    <w:rsid w:val="0FA95B60"/>
    <w:rsid w:val="10AE73EC"/>
    <w:rsid w:val="1E0233CE"/>
    <w:rsid w:val="1F377F48"/>
    <w:rsid w:val="23E61F66"/>
    <w:rsid w:val="38156E5C"/>
    <w:rsid w:val="3984198A"/>
    <w:rsid w:val="3B0D19C2"/>
    <w:rsid w:val="498F4640"/>
    <w:rsid w:val="4B804DF0"/>
    <w:rsid w:val="4EA87090"/>
    <w:rsid w:val="4FD10725"/>
    <w:rsid w:val="5ABF7BE5"/>
    <w:rsid w:val="5F696B1B"/>
    <w:rsid w:val="6DED60E4"/>
    <w:rsid w:val="785E617D"/>
    <w:rsid w:val="7ACD5789"/>
    <w:rsid w:val="7AF064B7"/>
    <w:rsid w:val="7EE04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39" w:semiHidden="0" w:name="toc 1"/>
    <w:lsdException w:unhideWhenUsed="0" w:uiPriority="39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99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iPriority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0">
    <w:name w:val="Default Paragraph Font"/>
    <w:semiHidden/>
    <w:unhideWhenUsed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uiPriority w:val="99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qFormat/>
    <w:uiPriority w:val="0"/>
    <w:pPr>
      <w:shd w:val="clear" w:color="auto" w:fill="000080"/>
    </w:pPr>
  </w:style>
  <w:style w:type="paragraph" w:styleId="13">
    <w:name w:val="toc 3"/>
    <w:basedOn w:val="1"/>
    <w:next w:val="1"/>
    <w:qFormat/>
    <w:uiPriority w:val="39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link w:val="23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uiPriority w:val="39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uiPriority w:val="39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19">
    <w:name w:val="Table Grid"/>
    <w:basedOn w:val="18"/>
    <w:qFormat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page number"/>
    <w:basedOn w:val="20"/>
    <w:qFormat/>
    <w:uiPriority w:val="0"/>
  </w:style>
  <w:style w:type="character" w:styleId="22">
    <w:name w:val="Hyperlink"/>
    <w:qFormat/>
    <w:uiPriority w:val="99"/>
    <w:rPr>
      <w:color w:val="0000FF"/>
      <w:u w:val="single"/>
    </w:rPr>
  </w:style>
  <w:style w:type="character" w:customStyle="1" w:styleId="23">
    <w:name w:val="页眉 Char"/>
    <w:basedOn w:val="20"/>
    <w:link w:val="15"/>
    <w:qFormat/>
    <w:uiPriority w:val="0"/>
    <w:rPr>
      <w:sz w:val="21"/>
      <w:szCs w:val="18"/>
      <w:lang w:val="en-GB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bmp"/><Relationship Id="rId7" Type="http://schemas.openxmlformats.org/officeDocument/2006/relationships/image" Target="media/image2.bmp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tmp10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tmp10.dotx</Template>
  <Pages>5</Pages>
  <Words>1050</Words>
  <Characters>1426</Characters>
  <Lines>13</Lines>
  <Paragraphs>3</Paragraphs>
  <TotalTime>0</TotalTime>
  <ScaleCrop>false</ScaleCrop>
  <LinksUpToDate>false</LinksUpToDate>
  <CharactersWithSpaces>1476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2021-01-05T14:15:00Z</dcterms:created>
  <dc:creator>ʚ ɞ</dc:creator>
  <cp:lastModifiedBy>ʚ ɞ</cp:lastModifiedBy>
  <dcterms:modified xsi:type="dcterms:W3CDTF">2021-01-05T14:15:55Z</dcterms:modified>
  <dc:title>活动场地遮阴率计算书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