
<file path=[Content_Types].xml><?xml version="1.0" encoding="utf-8"?>
<Types xmlns="http://schemas.openxmlformats.org/package/2006/content-types">
  <Default Extension="xml" ContentType="application/xml"/>
  <Default Extension="jpeg" ContentType="image/jpe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b/>
          <w:bCs/>
          <w:sz w:val="32"/>
          <w:szCs w:val="32"/>
          <w:lang w:eastAsia="zh-CN"/>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T15972543223</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"_Toc59888117" </w:instrText>
      </w:r>
      <w:r>
        <w:fldChar w:fldCharType="separate"/>
      </w:r>
      <w:r>
        <w:rPr>
          <w:rStyle w:val="19"/>
        </w:rPr>
        <w:t>1.</w:t>
      </w:r>
      <w:r>
        <w:rPr>
          <w:rFonts w:asciiTheme="minorHAnsi" w:hAnsiTheme="minorHAnsi" w:eastAsiaTheme="minorEastAsia" w:cstheme="minorBidi"/>
          <w:b w:val="0"/>
          <w:bCs w:val="0"/>
          <w:szCs w:val="22"/>
        </w:rPr>
        <w:tab/>
      </w:r>
      <w:r>
        <w:rPr>
          <w:rStyle w:val="19"/>
        </w:rPr>
        <w:t>项目概况</w:t>
      </w:r>
      <w:r>
        <w:tab/>
      </w:r>
      <w:r>
        <w:fldChar w:fldCharType="begin"/>
      </w:r>
      <w:r>
        <w:instrText xml:space="preserve"> PAGEREF _Toc59888117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"_Toc59888118" </w:instrText>
      </w:r>
      <w:r>
        <w:fldChar w:fldCharType="separate"/>
      </w:r>
      <w:r>
        <w:rPr>
          <w:rStyle w:val="19"/>
        </w:rPr>
        <w:t>2.评价标准</w:t>
      </w:r>
      <w:r>
        <w:tab/>
      </w:r>
      <w:r>
        <w:fldChar w:fldCharType="begin"/>
      </w:r>
      <w:r>
        <w:instrText xml:space="preserve"> PAGEREF _Toc59888118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"_Toc59888119" </w:instrText>
      </w:r>
      <w:r>
        <w:fldChar w:fldCharType="separate"/>
      </w:r>
      <w:r>
        <w:rPr>
          <w:rStyle w:val="19"/>
        </w:rPr>
        <w:t>2.1评价依据</w:t>
      </w:r>
      <w:r>
        <w:tab/>
      </w:r>
      <w:r>
        <w:fldChar w:fldCharType="begin"/>
      </w:r>
      <w:r>
        <w:instrText xml:space="preserve"> PAGEREF _Toc59888119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"_Toc59888120" </w:instrText>
      </w:r>
      <w:r>
        <w:fldChar w:fldCharType="separate"/>
      </w:r>
      <w:r>
        <w:rPr>
          <w:rStyle w:val="19"/>
        </w:rPr>
        <w:t>2.2标准要求</w:t>
      </w:r>
      <w:r>
        <w:tab/>
      </w:r>
      <w:r>
        <w:fldChar w:fldCharType="begin"/>
      </w:r>
      <w:r>
        <w:instrText xml:space="preserve"> PAGEREF _Toc59888120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"_Toc59888121" </w:instrText>
      </w:r>
      <w:r>
        <w:fldChar w:fldCharType="separate"/>
      </w:r>
      <w:r>
        <w:rPr>
          <w:rStyle w:val="19"/>
        </w:rPr>
        <w:t>3.模拟方法</w:t>
      </w:r>
      <w:r>
        <w:tab/>
      </w:r>
      <w:r>
        <w:fldChar w:fldCharType="begin"/>
      </w:r>
      <w:r>
        <w:instrText xml:space="preserve"> PAGEREF _Toc59888121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"_Toc59888122" </w:instrText>
      </w:r>
      <w:r>
        <w:fldChar w:fldCharType="separate"/>
      </w:r>
      <w:r>
        <w:rPr>
          <w:rStyle w:val="19"/>
        </w:rPr>
        <w:t>3.1模拟软件</w:t>
      </w:r>
      <w:r>
        <w:tab/>
      </w:r>
      <w:r>
        <w:fldChar w:fldCharType="begin"/>
      </w:r>
      <w:r>
        <w:instrText xml:space="preserve"> PAGEREF _Toc59888122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"_Toc59888123" </w:instrText>
      </w:r>
      <w:r>
        <w:fldChar w:fldCharType="separate"/>
      </w:r>
      <w:r>
        <w:rPr>
          <w:rStyle w:val="19"/>
        </w:rPr>
        <w:t>3.2分析模型</w:t>
      </w:r>
      <w:r>
        <w:tab/>
      </w:r>
      <w:r>
        <w:fldChar w:fldCharType="begin"/>
      </w:r>
      <w:r>
        <w:instrText xml:space="preserve"> PAGEREF _Toc59888123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"_Toc59888124" </w:instrText>
      </w:r>
      <w:r>
        <w:fldChar w:fldCharType="separate"/>
      </w:r>
      <w:r>
        <w:rPr>
          <w:rStyle w:val="19"/>
        </w:rPr>
        <w:t>3.3 计算条件</w:t>
      </w:r>
      <w:r>
        <w:tab/>
      </w:r>
      <w:r>
        <w:fldChar w:fldCharType="begin"/>
      </w:r>
      <w:r>
        <w:instrText xml:space="preserve"> PAGEREF _Toc59888124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"_Toc59888125" </w:instrText>
      </w:r>
      <w:r>
        <w:fldChar w:fldCharType="separate"/>
      </w:r>
      <w:r>
        <w:rPr>
          <w:rStyle w:val="19"/>
        </w:rPr>
        <w:t>3.4参数设置</w:t>
      </w:r>
      <w:r>
        <w:tab/>
      </w:r>
      <w:r>
        <w:fldChar w:fldCharType="begin"/>
      </w:r>
      <w:r>
        <w:instrText xml:space="preserve"> PAGEREF _Toc59888125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"_Toc59888126" </w:instrText>
      </w:r>
      <w:r>
        <w:fldChar w:fldCharType="separate"/>
      </w:r>
      <w:r>
        <w:rPr>
          <w:rStyle w:val="19"/>
        </w:rPr>
        <w:t>4.模拟结果及分析</w:t>
      </w:r>
      <w:r>
        <w:tab/>
      </w:r>
      <w:r>
        <w:fldChar w:fldCharType="begin"/>
      </w:r>
      <w:r>
        <w:instrText xml:space="preserve"> PAGEREF _Toc59888126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"_Toc59888127" </w:instrText>
      </w:r>
      <w:r>
        <w:fldChar w:fldCharType="separate"/>
      </w:r>
      <w:r>
        <w:rPr>
          <w:rStyle w:val="19"/>
        </w:rPr>
        <w:t>4.1场地噪声分布</w:t>
      </w:r>
      <w:r>
        <w:tab/>
      </w:r>
      <w:r>
        <w:fldChar w:fldCharType="begin"/>
      </w:r>
      <w:r>
        <w:instrText xml:space="preserve"> PAGEREF _Toc59888127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"_Toc59888128" </w:instrText>
      </w:r>
      <w:r>
        <w:fldChar w:fldCharType="separate"/>
      </w:r>
      <w:r>
        <w:rPr>
          <w:rStyle w:val="19"/>
        </w:rPr>
        <w:t>4.2噪声敏感建筑噪声分布情况</w:t>
      </w:r>
      <w:r>
        <w:tab/>
      </w:r>
      <w:r>
        <w:fldChar w:fldCharType="begin"/>
      </w:r>
      <w:r>
        <w:instrText xml:space="preserve"> PAGEREF _Toc59888128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"_Toc59888129" </w:instrText>
      </w:r>
      <w:r>
        <w:fldChar w:fldCharType="separate"/>
      </w:r>
      <w:r>
        <w:rPr>
          <w:rStyle w:val="19"/>
        </w:rPr>
        <w:t>5.结论</w:t>
      </w:r>
      <w:r>
        <w:tab/>
      </w:r>
      <w:r>
        <w:fldChar w:fldCharType="begin"/>
      </w:r>
      <w:r>
        <w:instrText xml:space="preserve"> PAGEREF _Toc59888129 \h </w:instrText>
      </w:r>
      <w:r>
        <w:fldChar w:fldCharType="separate"/>
      </w:r>
      <w:r>
        <w:t>11</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numPr>
          <w:ilvl w:val="0"/>
          <w:numId w:val="1"/>
        </w:numPr>
        <w:rPr>
          <w:rFonts w:ascii="Times New Roman" w:hAnsi="Times New Roman"/>
          <w:sz w:val="28"/>
          <w:szCs w:val="28"/>
        </w:rPr>
      </w:pPr>
      <w:bookmarkStart w:id="9" w:name="_Toc59888117"/>
      <w:bookmarkStart w:id="10" w:name="_Toc479326717"/>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 xml:space="preserve">1  </w:t>
            </w:r>
          </w:p>
        </w:tc>
        <w:tc>
          <w:tcPr>
            <w:tcW w:w="2586" w:type="dxa"/>
            <w:vAlign w:val="center"/>
          </w:tcPr>
          <w:p>
            <w:pPr>
              <w:jc w:val="center"/>
            </w:pPr>
            <w:r>
              <w:rPr>
                <w:b/>
              </w:rPr>
              <w:t>27.00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体育馆</w:t>
            </w:r>
          </w:p>
        </w:tc>
        <w:tc>
          <w:tcPr>
            <w:tcW w:w="2586" w:type="dxa"/>
            <w:vAlign w:val="center"/>
          </w:tcPr>
          <w:p>
            <w:pPr>
              <w:jc w:val="center"/>
            </w:pPr>
            <w:r>
              <w:rPr>
                <w:b/>
              </w:rPr>
              <w:t>8.00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咖啡1</w:t>
            </w:r>
          </w:p>
        </w:tc>
        <w:tc>
          <w:tcPr>
            <w:tcW w:w="2586" w:type="dxa"/>
            <w:vAlign w:val="center"/>
          </w:tcPr>
          <w:p>
            <w:pPr>
              <w:jc w:val="center"/>
            </w:pPr>
            <w:r>
              <w:rPr>
                <w:b/>
              </w:rPr>
              <w:t>6.00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阅览室单体</w:t>
            </w:r>
          </w:p>
        </w:tc>
        <w:tc>
          <w:tcPr>
            <w:tcW w:w="2586" w:type="dxa"/>
            <w:vAlign w:val="center"/>
          </w:tcPr>
          <w:p>
            <w:pPr>
              <w:jc w:val="center"/>
            </w:pPr>
            <w:r>
              <w:rPr>
                <w:b/>
              </w:rPr>
              <w:t>7.32</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餐厅</w:t>
            </w:r>
          </w:p>
        </w:tc>
        <w:tc>
          <w:tcPr>
            <w:tcW w:w="2586" w:type="dxa"/>
            <w:vAlign w:val="center"/>
          </w:tcPr>
          <w:p>
            <w:pPr>
              <w:jc w:val="center"/>
            </w:pPr>
            <w:r>
              <w:rPr>
                <w:b/>
              </w:rPr>
              <w:t>7.32</w:t>
            </w:r>
          </w:p>
        </w:tc>
        <w:tc>
          <w:tcPr>
            <w:tcW w:w="2071" w:type="dxa"/>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59888118"/>
      <w:bookmarkStart w:id="13" w:name="_Toc479326718"/>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59888119"/>
      <w:bookmarkStart w:id="15" w:name="_Toc479326719"/>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59888120"/>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59888121"/>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59888122"/>
      <w:bookmarkStart w:id="25" w:name="_Toc479326722"/>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59888123"/>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35909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35909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59888124"/>
      <w:bookmarkStart w:id="30" w:name="_Toc479326725"/>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地面效应计算方法：国标算法  地面因子：1</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59888125"/>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8"/>
        <w:gridCol w:w="838"/>
        <w:gridCol w:w="838"/>
        <w:gridCol w:w="838"/>
        <w:gridCol w:w="838"/>
        <w:gridCol w:w="8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东三路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71</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校内东西路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30</w:t>
            </w:r>
          </w:p>
        </w:tc>
        <w:tc>
          <w:tcPr>
            <w:tcW w:w="837" w:type="dxa"/>
            <w:vAlign w:val="center"/>
          </w:tcPr>
          <w:p>
            <w:pPr>
              <w:jc w:val="center"/>
            </w:pPr>
            <w:r>
              <w:t>50</w:t>
            </w:r>
          </w:p>
        </w:tc>
        <w:tc>
          <w:tcPr>
            <w:tcW w:w="837" w:type="dxa"/>
            <w:vAlign w:val="center"/>
          </w:tcPr>
          <w:p>
            <w:pPr>
              <w:jc w:val="center"/>
            </w:pPr>
            <w:r>
              <w:t>61</w:t>
            </w:r>
          </w:p>
        </w:tc>
        <w:tc>
          <w:tcPr>
            <w:tcW w:w="837" w:type="dxa"/>
            <w:vAlign w:val="center"/>
          </w:tcPr>
          <w:p>
            <w:pPr>
              <w:jc w:val="center"/>
            </w:pPr>
            <w:r>
              <w:t>20</w:t>
            </w:r>
          </w:p>
        </w:tc>
        <w:tc>
          <w:tcPr>
            <w:tcW w:w="837" w:type="dxa"/>
            <w:vAlign w:val="center"/>
          </w:tcPr>
          <w:p>
            <w:pPr>
              <w:jc w:val="center"/>
            </w:pPr>
            <w:r>
              <w:t>59</w:t>
            </w:r>
          </w:p>
        </w:tc>
        <w:tc>
          <w:tcPr>
            <w:tcW w:w="837" w:type="dxa"/>
            <w:vAlign w:val="center"/>
          </w:tcPr>
          <w:p>
            <w:pPr>
              <w:jc w:val="center"/>
            </w:pPr>
            <w:r>
              <w:t>0</w:t>
            </w:r>
          </w:p>
        </w:tc>
        <w:tc>
          <w:tcPr>
            <w:tcW w:w="837" w:type="dxa"/>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30</w:t>
            </w:r>
          </w:p>
        </w:tc>
        <w:tc>
          <w:tcPr>
            <w:tcW w:w="837" w:type="dxa"/>
            <w:vAlign w:val="center"/>
          </w:tcPr>
          <w:p>
            <w:pPr>
              <w:jc w:val="center"/>
            </w:pPr>
            <w:r>
              <w:t>30</w:t>
            </w:r>
          </w:p>
        </w:tc>
        <w:tc>
          <w:tcPr>
            <w:tcW w:w="837" w:type="dxa"/>
            <w:vAlign w:val="center"/>
          </w:tcPr>
          <w:p>
            <w:pPr>
              <w:jc w:val="center"/>
            </w:pPr>
            <w:r>
              <w:t>61</w:t>
            </w:r>
          </w:p>
        </w:tc>
        <w:tc>
          <w:tcPr>
            <w:tcW w:w="837" w:type="dxa"/>
            <w:vAlign w:val="center"/>
          </w:tcPr>
          <w:p>
            <w:pPr>
              <w:jc w:val="center"/>
            </w:pPr>
            <w:r>
              <w:t>0</w:t>
            </w:r>
          </w:p>
        </w:tc>
        <w:tc>
          <w:tcPr>
            <w:tcW w:w="837" w:type="dxa"/>
            <w:vAlign w:val="center"/>
          </w:tcPr>
          <w:p>
            <w:pPr>
              <w:jc w:val="center"/>
            </w:pPr>
            <w:r>
              <w:t>59</w:t>
            </w:r>
          </w:p>
        </w:tc>
        <w:tc>
          <w:tcPr>
            <w:tcW w:w="837" w:type="dxa"/>
            <w:vAlign w:val="center"/>
          </w:tcPr>
          <w:p>
            <w:pPr>
              <w:jc w:val="center"/>
            </w:pPr>
            <w:r>
              <w:t>0</w:t>
            </w:r>
          </w:p>
        </w:tc>
        <w:tc>
          <w:tcPr>
            <w:tcW w:w="837" w:type="dxa"/>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校内南北路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30</w:t>
            </w:r>
          </w:p>
        </w:tc>
        <w:tc>
          <w:tcPr>
            <w:tcW w:w="837" w:type="dxa"/>
            <w:vAlign w:val="center"/>
          </w:tcPr>
          <w:p>
            <w:pPr>
              <w:jc w:val="center"/>
            </w:pPr>
            <w:r>
              <w:t>50</w:t>
            </w:r>
          </w:p>
        </w:tc>
        <w:tc>
          <w:tcPr>
            <w:tcW w:w="837" w:type="dxa"/>
            <w:vAlign w:val="center"/>
          </w:tcPr>
          <w:p>
            <w:pPr>
              <w:jc w:val="center"/>
            </w:pPr>
            <w:r>
              <w:t>61</w:t>
            </w:r>
          </w:p>
        </w:tc>
        <w:tc>
          <w:tcPr>
            <w:tcW w:w="837" w:type="dxa"/>
            <w:vAlign w:val="center"/>
          </w:tcPr>
          <w:p>
            <w:pPr>
              <w:jc w:val="center"/>
            </w:pPr>
            <w:r>
              <w:t>20</w:t>
            </w:r>
          </w:p>
        </w:tc>
        <w:tc>
          <w:tcPr>
            <w:tcW w:w="837" w:type="dxa"/>
            <w:vAlign w:val="center"/>
          </w:tcPr>
          <w:p>
            <w:pPr>
              <w:jc w:val="center"/>
            </w:pPr>
            <w:r>
              <w:t>59</w:t>
            </w:r>
          </w:p>
        </w:tc>
        <w:tc>
          <w:tcPr>
            <w:tcW w:w="837" w:type="dxa"/>
            <w:vAlign w:val="center"/>
          </w:tcPr>
          <w:p>
            <w:pPr>
              <w:jc w:val="center"/>
            </w:pPr>
            <w:r>
              <w:t>0</w:t>
            </w:r>
          </w:p>
        </w:tc>
        <w:tc>
          <w:tcPr>
            <w:tcW w:w="837" w:type="dxa"/>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30</w:t>
            </w:r>
          </w:p>
        </w:tc>
        <w:tc>
          <w:tcPr>
            <w:tcW w:w="837" w:type="dxa"/>
            <w:vAlign w:val="center"/>
          </w:tcPr>
          <w:p>
            <w:pPr>
              <w:jc w:val="center"/>
            </w:pPr>
            <w:r>
              <w:t>20</w:t>
            </w:r>
          </w:p>
        </w:tc>
        <w:tc>
          <w:tcPr>
            <w:tcW w:w="837" w:type="dxa"/>
            <w:vAlign w:val="center"/>
          </w:tcPr>
          <w:p>
            <w:pPr>
              <w:jc w:val="center"/>
            </w:pPr>
            <w:r>
              <w:t>61</w:t>
            </w:r>
          </w:p>
        </w:tc>
        <w:tc>
          <w:tcPr>
            <w:tcW w:w="837" w:type="dxa"/>
            <w:vAlign w:val="center"/>
          </w:tcPr>
          <w:p>
            <w:pPr>
              <w:jc w:val="center"/>
            </w:pPr>
            <w:r>
              <w:t>0</w:t>
            </w:r>
          </w:p>
        </w:tc>
        <w:tc>
          <w:tcPr>
            <w:tcW w:w="837" w:type="dxa"/>
            <w:vAlign w:val="center"/>
          </w:tcPr>
          <w:p>
            <w:pPr>
              <w:jc w:val="center"/>
            </w:pPr>
            <w:r>
              <w:t>59</w:t>
            </w:r>
          </w:p>
        </w:tc>
        <w:tc>
          <w:tcPr>
            <w:tcW w:w="837" w:type="dxa"/>
            <w:vAlign w:val="center"/>
          </w:tcPr>
          <w:p>
            <w:pPr>
              <w:jc w:val="center"/>
            </w:pPr>
            <w:r>
              <w:t>0</w:t>
            </w:r>
          </w:p>
        </w:tc>
        <w:tc>
          <w:tcPr>
            <w:tcW w:w="837" w:type="dxa"/>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红专路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71</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78</w:t>
            </w:r>
          </w:p>
        </w:tc>
      </w:tr>
    </w:tbl>
    <w:p>
      <w:pPr>
        <w:ind w:firstLine="420"/>
        <w:jc w:val="right"/>
      </w:pPr>
    </w:p>
    <w:bookmarkEnd w:id="34"/>
    <w:p>
      <w:pPr>
        <w:pStyle w:val="2"/>
        <w:spacing w:line="400" w:lineRule="exact"/>
        <w:rPr>
          <w:rFonts w:ascii="Times New Roman" w:hAnsi="Times New Roman"/>
          <w:sz w:val="28"/>
          <w:szCs w:val="28"/>
        </w:rPr>
      </w:pPr>
      <w:bookmarkStart w:id="35" w:name="_Toc59888126"/>
      <w:bookmarkStart w:id="36" w:name="_Toc479326727"/>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59888127"/>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5988812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59888129"/>
      <w:bookmarkStart w:id="51" w:name="_Toc479326730"/>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855"/>
        <w:gridCol w:w="1656"/>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pStyle w:val="33"/>
              <w:ind w:left="0" w:leftChars="0" w:firstLine="0" w:firstLineChars="0"/>
              <w:jc w:val="center"/>
              <w:rPr>
                <w:rFonts w:hint="eastAsia" w:eastAsia="宋体"/>
                <w:b/>
                <w:sz w:val="18"/>
                <w:szCs w:val="18"/>
                <w:vertAlign w:val="baseline"/>
                <w:lang w:val="en-US" w:eastAsia="zh-CN"/>
              </w:rPr>
            </w:pPr>
            <w:r>
              <w:rPr>
                <w:rFonts w:hint="eastAsia"/>
                <w:b/>
                <w:sz w:val="18"/>
                <w:szCs w:val="18"/>
                <w:vertAlign w:val="baseline"/>
                <w:lang w:val="en-US" w:eastAsia="zh-CN"/>
              </w:rPr>
              <w:t>建筑名称</w:t>
            </w:r>
          </w:p>
        </w:tc>
        <w:tc>
          <w:tcPr>
            <w:tcW w:w="855" w:type="dxa"/>
          </w:tcPr>
          <w:p>
            <w:pPr>
              <w:pStyle w:val="33"/>
              <w:ind w:left="0" w:leftChars="0" w:firstLine="0" w:firstLineChars="0"/>
              <w:jc w:val="center"/>
              <w:rPr>
                <w:rFonts w:hint="eastAsia" w:eastAsia="宋体"/>
                <w:b/>
                <w:sz w:val="18"/>
                <w:szCs w:val="18"/>
                <w:vertAlign w:val="baseline"/>
                <w:lang w:eastAsia="zh-CN"/>
              </w:rPr>
            </w:pPr>
            <w:r>
              <w:rPr>
                <w:rFonts w:hint="eastAsia"/>
                <w:b/>
                <w:sz w:val="18"/>
                <w:szCs w:val="18"/>
                <w:vertAlign w:val="baseline"/>
                <w:lang w:eastAsia="zh-CN"/>
              </w:rPr>
              <w:t>时段</w:t>
            </w:r>
          </w:p>
        </w:tc>
        <w:tc>
          <w:tcPr>
            <w:tcW w:w="1656" w:type="dxa"/>
          </w:tcPr>
          <w:p>
            <w:pPr>
              <w:pStyle w:val="33"/>
              <w:ind w:left="0" w:leftChars="0" w:firstLine="0" w:firstLineChars="0"/>
              <w:jc w:val="center"/>
              <w:rPr>
                <w:rFonts w:hint="eastAsia" w:eastAsia="宋体"/>
                <w:b/>
                <w:sz w:val="18"/>
                <w:szCs w:val="18"/>
                <w:vertAlign w:val="baseline"/>
                <w:lang w:eastAsia="zh-CN"/>
              </w:rPr>
            </w:pPr>
            <w:r>
              <w:rPr>
                <w:rFonts w:hint="eastAsia"/>
                <w:b/>
                <w:sz w:val="18"/>
                <w:szCs w:val="18"/>
                <w:vertAlign w:val="baseline"/>
                <w:lang w:eastAsia="zh-CN"/>
              </w:rPr>
              <w:t>立面网格点噪声最大值</w:t>
            </w:r>
          </w:p>
        </w:tc>
        <w:tc>
          <w:tcPr>
            <w:tcW w:w="1420" w:type="dxa"/>
          </w:tcPr>
          <w:p>
            <w:pPr>
              <w:pStyle w:val="33"/>
              <w:ind w:left="0" w:leftChars="0" w:firstLine="0" w:firstLineChars="0"/>
              <w:jc w:val="center"/>
              <w:rPr>
                <w:rFonts w:hint="eastAsia" w:eastAsia="宋体"/>
                <w:b/>
                <w:sz w:val="18"/>
                <w:szCs w:val="18"/>
                <w:vertAlign w:val="baseline"/>
                <w:lang w:eastAsia="zh-CN"/>
              </w:rPr>
            </w:pPr>
            <w:r>
              <w:rPr>
                <w:rFonts w:hint="eastAsia"/>
                <w:b/>
                <w:sz w:val="18"/>
                <w:szCs w:val="18"/>
                <w:vertAlign w:val="baseline"/>
                <w:lang w:val="en-US" w:eastAsia="zh-CN"/>
              </w:rPr>
              <w:t>1</w:t>
            </w:r>
            <w:r>
              <w:rPr>
                <w:rFonts w:hint="eastAsia"/>
                <w:b/>
                <w:sz w:val="18"/>
                <w:szCs w:val="18"/>
                <w:vertAlign w:val="baseline"/>
                <w:lang w:eastAsia="zh-CN"/>
              </w:rPr>
              <w:t>类噪声限值</w:t>
            </w:r>
          </w:p>
        </w:tc>
        <w:tc>
          <w:tcPr>
            <w:tcW w:w="1421" w:type="dxa"/>
          </w:tcPr>
          <w:p>
            <w:pPr>
              <w:pStyle w:val="33"/>
              <w:ind w:left="0" w:leftChars="0" w:firstLine="0" w:firstLineChars="0"/>
              <w:jc w:val="center"/>
              <w:rPr>
                <w:rFonts w:hint="eastAsia" w:eastAsia="宋体"/>
                <w:b/>
                <w:sz w:val="18"/>
                <w:szCs w:val="18"/>
                <w:vertAlign w:val="baseline"/>
                <w:lang w:val="en-US" w:eastAsia="zh-CN"/>
              </w:rPr>
            </w:pPr>
            <w:r>
              <w:rPr>
                <w:rFonts w:hint="eastAsia"/>
                <w:b/>
                <w:sz w:val="18"/>
                <w:szCs w:val="18"/>
                <w:vertAlign w:val="baseline"/>
                <w:lang w:val="en-US" w:eastAsia="zh-CN"/>
              </w:rPr>
              <w:t>2类噪声限制</w:t>
            </w:r>
          </w:p>
        </w:tc>
        <w:tc>
          <w:tcPr>
            <w:tcW w:w="1421" w:type="dxa"/>
          </w:tcPr>
          <w:p>
            <w:pPr>
              <w:pStyle w:val="33"/>
              <w:ind w:left="0" w:leftChars="0" w:firstLine="0" w:firstLineChars="0"/>
              <w:jc w:val="center"/>
              <w:rPr>
                <w:rFonts w:hint="eastAsia" w:eastAsia="宋体"/>
                <w:b/>
                <w:sz w:val="18"/>
                <w:szCs w:val="18"/>
                <w:vertAlign w:val="baseline"/>
                <w:lang w:eastAsia="zh-CN"/>
              </w:rPr>
            </w:pPr>
            <w:r>
              <w:rPr>
                <w:rFonts w:hint="eastAsia"/>
                <w:b/>
                <w:sz w:val="18"/>
                <w:szCs w:val="18"/>
                <w:vertAlign w:val="baseline"/>
                <w:lang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pStyle w:val="33"/>
              <w:ind w:left="0" w:leftChars="0" w:firstLine="0" w:firstLineChars="0"/>
              <w:jc w:val="center"/>
              <w:rPr>
                <w:rFonts w:hint="eastAsia" w:eastAsia="宋体"/>
                <w:b/>
                <w:sz w:val="21"/>
                <w:szCs w:val="21"/>
                <w:vertAlign w:val="baseline"/>
                <w:lang w:eastAsia="zh-CN"/>
              </w:rPr>
            </w:pPr>
            <w:r>
              <w:rPr>
                <w:rFonts w:hint="eastAsia"/>
                <w:b/>
                <w:sz w:val="21"/>
                <w:szCs w:val="21"/>
                <w:vertAlign w:val="baseline"/>
                <w:lang w:eastAsia="zh-CN"/>
              </w:rPr>
              <w:t>创客中心</w:t>
            </w:r>
          </w:p>
        </w:tc>
        <w:tc>
          <w:tcPr>
            <w:tcW w:w="855" w:type="dxa"/>
          </w:tcPr>
          <w:p>
            <w:pPr>
              <w:pStyle w:val="33"/>
              <w:ind w:left="0" w:leftChars="0" w:firstLine="0" w:firstLineChars="0"/>
              <w:rPr>
                <w:rFonts w:hint="eastAsia" w:eastAsia="宋体"/>
                <w:b/>
                <w:sz w:val="21"/>
                <w:szCs w:val="21"/>
                <w:vertAlign w:val="baseline"/>
                <w:lang w:eastAsia="zh-CN"/>
              </w:rPr>
            </w:pPr>
            <w:r>
              <w:rPr>
                <w:rFonts w:hint="eastAsia"/>
                <w:b/>
                <w:sz w:val="21"/>
                <w:szCs w:val="21"/>
                <w:vertAlign w:val="baseline"/>
                <w:lang w:eastAsia="zh-CN"/>
              </w:rPr>
              <w:t>昼间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48</w:t>
            </w:r>
          </w:p>
        </w:tc>
        <w:tc>
          <w:tcPr>
            <w:tcW w:w="1420"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50</w:t>
            </w:r>
          </w:p>
        </w:tc>
        <w:tc>
          <w:tcPr>
            <w:tcW w:w="1421"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55</w:t>
            </w:r>
          </w:p>
        </w:tc>
        <w:tc>
          <w:tcPr>
            <w:tcW w:w="1421" w:type="dxa"/>
            <w:vMerge w:val="restart"/>
          </w:tcPr>
          <w:p>
            <w:pPr>
              <w:pStyle w:val="33"/>
              <w:ind w:left="0" w:leftChars="0" w:firstLine="0" w:firstLineChars="0"/>
              <w:jc w:val="center"/>
              <w:rPr>
                <w:rFonts w:hint="default" w:eastAsia="宋体"/>
                <w:b/>
                <w:sz w:val="21"/>
                <w:szCs w:val="21"/>
                <w:vertAlign w:val="baseline"/>
                <w:lang w:val="en-US" w:eastAsia="zh-CN"/>
              </w:rPr>
            </w:pPr>
            <w:r>
              <w:rPr>
                <w:rFonts w:hint="eastAsia"/>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pStyle w:val="33"/>
              <w:jc w:val="center"/>
              <w:rPr>
                <w:rFonts w:hint="eastAsia"/>
                <w:b/>
                <w:sz w:val="21"/>
                <w:szCs w:val="21"/>
                <w:vertAlign w:val="baseline"/>
              </w:rPr>
            </w:pPr>
          </w:p>
        </w:tc>
        <w:tc>
          <w:tcPr>
            <w:tcW w:w="855" w:type="dxa"/>
          </w:tcPr>
          <w:p>
            <w:pPr>
              <w:pStyle w:val="33"/>
              <w:ind w:left="0" w:leftChars="0" w:firstLine="0" w:firstLineChars="0"/>
              <w:rPr>
                <w:rFonts w:hint="eastAsia" w:eastAsia="宋体"/>
                <w:b/>
                <w:sz w:val="21"/>
                <w:szCs w:val="21"/>
                <w:vertAlign w:val="baseline"/>
                <w:lang w:eastAsia="zh-CN"/>
              </w:rPr>
            </w:pPr>
            <w:r>
              <w:rPr>
                <w:rFonts w:hint="eastAsia"/>
                <w:b/>
                <w:sz w:val="21"/>
                <w:szCs w:val="21"/>
                <w:vertAlign w:val="baseline"/>
                <w:lang w:eastAsia="zh-CN"/>
              </w:rPr>
              <w:t>夜间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40</w:t>
            </w:r>
          </w:p>
        </w:tc>
        <w:tc>
          <w:tcPr>
            <w:tcW w:w="1420"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40</w:t>
            </w:r>
          </w:p>
        </w:tc>
        <w:tc>
          <w:tcPr>
            <w:tcW w:w="1421"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45</w:t>
            </w:r>
          </w:p>
        </w:tc>
        <w:tc>
          <w:tcPr>
            <w:tcW w:w="1421" w:type="dxa"/>
            <w:vMerge w:val="continue"/>
          </w:tcPr>
          <w:p>
            <w:pPr>
              <w:pStyle w:val="33"/>
              <w:jc w:val="center"/>
              <w:rPr>
                <w:rFonts w:hint="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pStyle w:val="33"/>
              <w:ind w:left="0" w:leftChars="0" w:firstLine="0" w:firstLineChars="0"/>
              <w:jc w:val="center"/>
              <w:rPr>
                <w:rFonts w:hint="eastAsia" w:eastAsia="宋体"/>
                <w:b/>
                <w:sz w:val="21"/>
                <w:szCs w:val="21"/>
                <w:vertAlign w:val="baseline"/>
                <w:lang w:eastAsia="zh-CN"/>
              </w:rPr>
            </w:pPr>
            <w:r>
              <w:rPr>
                <w:rFonts w:hint="eastAsia"/>
                <w:b/>
                <w:sz w:val="21"/>
                <w:szCs w:val="21"/>
                <w:vertAlign w:val="baseline"/>
                <w:lang w:eastAsia="zh-CN"/>
              </w:rPr>
              <w:t>阅览室单体</w:t>
            </w: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昼间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51</w:t>
            </w:r>
          </w:p>
        </w:tc>
        <w:tc>
          <w:tcPr>
            <w:tcW w:w="1420"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50</w:t>
            </w:r>
          </w:p>
        </w:tc>
        <w:tc>
          <w:tcPr>
            <w:tcW w:w="1421"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55</w:t>
            </w:r>
          </w:p>
        </w:tc>
        <w:tc>
          <w:tcPr>
            <w:tcW w:w="1421" w:type="dxa"/>
            <w:vMerge w:val="restart"/>
          </w:tcPr>
          <w:p>
            <w:pPr>
              <w:pStyle w:val="33"/>
              <w:ind w:left="0" w:leftChars="0" w:firstLine="0" w:firstLineChars="0"/>
              <w:jc w:val="center"/>
              <w:rPr>
                <w:rFonts w:hint="default" w:eastAsia="宋体"/>
                <w:b/>
                <w:sz w:val="21"/>
                <w:szCs w:val="21"/>
                <w:vertAlign w:val="baseline"/>
                <w:lang w:val="en-US" w:eastAsia="zh-CN"/>
              </w:rPr>
            </w:pPr>
            <w:r>
              <w:rPr>
                <w:rFonts w:hint="eastAsia"/>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pStyle w:val="33"/>
              <w:jc w:val="center"/>
              <w:rPr>
                <w:rFonts w:hint="eastAsia"/>
                <w:b/>
                <w:sz w:val="21"/>
                <w:szCs w:val="21"/>
                <w:vertAlign w:val="baseline"/>
              </w:rPr>
            </w:pP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夜间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40</w:t>
            </w:r>
          </w:p>
        </w:tc>
        <w:tc>
          <w:tcPr>
            <w:tcW w:w="1420"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40</w:t>
            </w:r>
          </w:p>
        </w:tc>
        <w:tc>
          <w:tcPr>
            <w:tcW w:w="1421"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45</w:t>
            </w:r>
          </w:p>
        </w:tc>
        <w:tc>
          <w:tcPr>
            <w:tcW w:w="1421" w:type="dxa"/>
            <w:vMerge w:val="continue"/>
          </w:tcPr>
          <w:p>
            <w:pPr>
              <w:pStyle w:val="33"/>
              <w:jc w:val="center"/>
              <w:rPr>
                <w:rFonts w:hint="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pStyle w:val="33"/>
              <w:ind w:left="0" w:leftChars="0" w:firstLine="0" w:firstLineChars="0"/>
              <w:jc w:val="center"/>
              <w:rPr>
                <w:rFonts w:hint="eastAsia" w:eastAsia="宋体"/>
                <w:b/>
                <w:sz w:val="21"/>
                <w:szCs w:val="21"/>
                <w:vertAlign w:val="baseline"/>
                <w:lang w:eastAsia="zh-CN"/>
              </w:rPr>
            </w:pPr>
            <w:r>
              <w:rPr>
                <w:rFonts w:hint="eastAsia"/>
                <w:b/>
                <w:sz w:val="21"/>
                <w:szCs w:val="21"/>
                <w:vertAlign w:val="baseline"/>
                <w:lang w:eastAsia="zh-CN"/>
              </w:rPr>
              <w:t>体育馆</w:t>
            </w: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昼间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52</w:t>
            </w:r>
          </w:p>
        </w:tc>
        <w:tc>
          <w:tcPr>
            <w:tcW w:w="1420"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50</w:t>
            </w:r>
          </w:p>
        </w:tc>
        <w:tc>
          <w:tcPr>
            <w:tcW w:w="1421"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55</w:t>
            </w:r>
          </w:p>
        </w:tc>
        <w:tc>
          <w:tcPr>
            <w:tcW w:w="1421" w:type="dxa"/>
            <w:vMerge w:val="restart"/>
          </w:tcPr>
          <w:p>
            <w:pPr>
              <w:pStyle w:val="33"/>
              <w:ind w:left="0" w:leftChars="0" w:firstLine="0" w:firstLineChars="0"/>
              <w:jc w:val="center"/>
              <w:rPr>
                <w:rFonts w:hint="default" w:eastAsia="宋体"/>
                <w:b/>
                <w:sz w:val="21"/>
                <w:szCs w:val="21"/>
                <w:vertAlign w:val="baseline"/>
                <w:lang w:val="en-US" w:eastAsia="zh-CN"/>
              </w:rPr>
            </w:pPr>
            <w:r>
              <w:rPr>
                <w:rFonts w:hint="eastAsia"/>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pStyle w:val="33"/>
              <w:jc w:val="center"/>
              <w:rPr>
                <w:rFonts w:hint="eastAsia"/>
                <w:b/>
                <w:sz w:val="21"/>
                <w:szCs w:val="21"/>
                <w:vertAlign w:val="baseline"/>
              </w:rPr>
            </w:pP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夜间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45</w:t>
            </w:r>
          </w:p>
        </w:tc>
        <w:tc>
          <w:tcPr>
            <w:tcW w:w="1420"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40</w:t>
            </w:r>
          </w:p>
        </w:tc>
        <w:tc>
          <w:tcPr>
            <w:tcW w:w="1421"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45</w:t>
            </w:r>
          </w:p>
        </w:tc>
        <w:tc>
          <w:tcPr>
            <w:tcW w:w="1421" w:type="dxa"/>
            <w:vMerge w:val="continue"/>
          </w:tcPr>
          <w:p>
            <w:pPr>
              <w:pStyle w:val="33"/>
              <w:jc w:val="center"/>
              <w:rPr>
                <w:rFonts w:hint="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pStyle w:val="33"/>
              <w:ind w:left="0" w:leftChars="0" w:firstLine="0" w:firstLineChars="0"/>
              <w:jc w:val="center"/>
              <w:rPr>
                <w:rFonts w:hint="default" w:eastAsia="宋体"/>
                <w:b/>
                <w:sz w:val="21"/>
                <w:szCs w:val="21"/>
                <w:vertAlign w:val="baseline"/>
                <w:lang w:val="en-US" w:eastAsia="zh-CN"/>
              </w:rPr>
            </w:pPr>
            <w:r>
              <w:rPr>
                <w:rFonts w:hint="eastAsia"/>
                <w:b/>
                <w:sz w:val="21"/>
                <w:szCs w:val="21"/>
                <w:vertAlign w:val="baseline"/>
                <w:lang w:val="en-US" w:eastAsia="zh-CN"/>
              </w:rPr>
              <w:t>餐厅</w:t>
            </w: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昼间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58</w:t>
            </w:r>
          </w:p>
        </w:tc>
        <w:tc>
          <w:tcPr>
            <w:tcW w:w="1420"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50</w:t>
            </w:r>
          </w:p>
        </w:tc>
        <w:tc>
          <w:tcPr>
            <w:tcW w:w="1421"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55</w:t>
            </w:r>
          </w:p>
        </w:tc>
        <w:tc>
          <w:tcPr>
            <w:tcW w:w="1421" w:type="dxa"/>
            <w:vMerge w:val="restart"/>
          </w:tcPr>
          <w:p>
            <w:pPr>
              <w:pStyle w:val="33"/>
              <w:ind w:left="0" w:leftChars="0" w:firstLine="0" w:firstLineChars="0"/>
              <w:jc w:val="center"/>
              <w:rPr>
                <w:rFonts w:hint="default" w:eastAsia="宋体"/>
                <w:b/>
                <w:sz w:val="21"/>
                <w:szCs w:val="21"/>
                <w:vertAlign w:val="baseline"/>
                <w:lang w:val="en-US" w:eastAsia="zh-CN"/>
              </w:rPr>
            </w:pPr>
            <w:r>
              <w:rPr>
                <w:rFonts w:hint="eastAsia"/>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pStyle w:val="33"/>
              <w:rPr>
                <w:rFonts w:hint="eastAsia"/>
                <w:b/>
                <w:sz w:val="21"/>
                <w:szCs w:val="21"/>
                <w:vertAlign w:val="baseline"/>
              </w:rPr>
            </w:pPr>
          </w:p>
        </w:tc>
        <w:tc>
          <w:tcPr>
            <w:tcW w:w="855" w:type="dxa"/>
            <w:vAlign w:val="top"/>
          </w:tcPr>
          <w:p>
            <w:pPr>
              <w:pStyle w:val="33"/>
              <w:ind w:left="0" w:leftChars="0" w:firstLine="0" w:firstLineChars="0"/>
              <w:rPr>
                <w:rFonts w:hint="eastAsia"/>
                <w:b/>
                <w:sz w:val="21"/>
                <w:szCs w:val="21"/>
                <w:vertAlign w:val="baseline"/>
              </w:rPr>
            </w:pPr>
            <w:r>
              <w:rPr>
                <w:rFonts w:hint="eastAsia"/>
                <w:b/>
                <w:sz w:val="21"/>
                <w:szCs w:val="21"/>
                <w:vertAlign w:val="baseline"/>
                <w:lang w:eastAsia="zh-CN"/>
              </w:rPr>
              <w:t>夜间</w:t>
            </w:r>
          </w:p>
        </w:tc>
        <w:tc>
          <w:tcPr>
            <w:tcW w:w="1656" w:type="dxa"/>
          </w:tcPr>
          <w:p>
            <w:pPr>
              <w:pStyle w:val="33"/>
              <w:rPr>
                <w:rFonts w:hint="default" w:eastAsia="宋体"/>
                <w:b/>
                <w:sz w:val="21"/>
                <w:szCs w:val="21"/>
                <w:vertAlign w:val="baseline"/>
                <w:lang w:val="en-US" w:eastAsia="zh-CN"/>
              </w:rPr>
            </w:pPr>
            <w:r>
              <w:rPr>
                <w:rFonts w:hint="eastAsia"/>
                <w:b/>
                <w:sz w:val="21"/>
                <w:szCs w:val="21"/>
                <w:vertAlign w:val="baseline"/>
                <w:lang w:val="en-US" w:eastAsia="zh-CN"/>
              </w:rPr>
              <w:t>50</w:t>
            </w:r>
          </w:p>
        </w:tc>
        <w:tc>
          <w:tcPr>
            <w:tcW w:w="1420"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40</w:t>
            </w:r>
          </w:p>
        </w:tc>
        <w:tc>
          <w:tcPr>
            <w:tcW w:w="1421" w:type="dxa"/>
            <w:vAlign w:val="top"/>
          </w:tcPr>
          <w:p>
            <w:pPr>
              <w:pStyle w:val="33"/>
              <w:ind w:firstLine="422" w:firstLineChars="200"/>
              <w:rPr>
                <w:rFonts w:hint="eastAsia"/>
                <w:b/>
                <w:sz w:val="21"/>
                <w:szCs w:val="21"/>
                <w:vertAlign w:val="baseline"/>
              </w:rPr>
            </w:pPr>
            <w:r>
              <w:rPr>
                <w:rFonts w:hint="eastAsia"/>
                <w:b/>
                <w:sz w:val="21"/>
                <w:szCs w:val="21"/>
                <w:vertAlign w:val="baseline"/>
                <w:lang w:val="en-US" w:eastAsia="zh-CN"/>
              </w:rPr>
              <w:t>45</w:t>
            </w:r>
          </w:p>
        </w:tc>
        <w:tc>
          <w:tcPr>
            <w:tcW w:w="1421" w:type="dxa"/>
            <w:vMerge w:val="continue"/>
          </w:tcPr>
          <w:p>
            <w:pPr>
              <w:pStyle w:val="33"/>
              <w:rPr>
                <w:rFonts w:hint="eastAsia"/>
                <w:b/>
                <w:sz w:val="21"/>
                <w:szCs w:val="21"/>
                <w:vertAlign w:val="baseline"/>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hint="eastAsia" w:ascii="Times New Roman" w:hAnsi="Times New Roman"/>
          <w:szCs w:val="21"/>
          <w:lang w:val="en-US" w:eastAsia="zh-CN"/>
        </w:rPr>
        <w:t>10</w:t>
      </w:r>
      <w:r>
        <w:rPr>
          <w:rFonts w:hint="eastAsia" w:ascii="Times New Roman" w:hAnsi="Times New Roman"/>
          <w:szCs w:val="21"/>
        </w:rPr>
        <w:t>分。</w:t>
      </w:r>
    </w:p>
    <w:p>
      <w:pPr>
        <w:pStyle w:val="33"/>
        <w:ind w:firstLine="420"/>
        <w:rPr>
          <w:rFonts w:hint="eastAsia"/>
          <w:b/>
          <w:sz w:val="21"/>
          <w:szCs w:val="21"/>
        </w:rPr>
      </w:pPr>
      <w:r>
        <w:rPr>
          <w:rFonts w:hint="eastAsia" w:ascii="宋体" w:hAnsi="Calibri"/>
          <w:sz w:val="21"/>
          <w:szCs w:val="21"/>
        </w:rPr>
        <w:t>综上所述，经过软件模拟和结果统计分析，最终判定本项目</w:t>
      </w:r>
      <w:bookmarkStart w:id="52" w:name="满足结论"/>
      <w:r>
        <w:rPr>
          <w:rFonts w:hint="eastAsia"/>
          <w:b/>
        </w:rPr>
        <w:t>满足</w:t>
      </w:r>
      <w:bookmarkEnd w:id="52"/>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3" w:name="得分结论"/>
      <w:r>
        <w:rPr>
          <w:b/>
          <w:sz w:val="21"/>
          <w:szCs w:val="21"/>
        </w:rPr>
        <w:t>得 10 分</w:t>
      </w:r>
      <w:bookmarkEnd w:id="53"/>
      <w:r>
        <w:rPr>
          <w:rFonts w:hint="eastAsia"/>
          <w:b/>
          <w:sz w:val="21"/>
          <w:szCs w:val="21"/>
        </w:rPr>
        <w:t>。</w:t>
      </w:r>
    </w:p>
    <w:p>
      <w:pPr>
        <w:pStyle w:val="33"/>
        <w:ind w:firstLine="420"/>
        <w:rPr>
          <w:rFonts w:hint="eastAsia"/>
          <w:b/>
          <w:sz w:val="21"/>
          <w:szCs w:val="21"/>
        </w:rPr>
      </w:pPr>
    </w:p>
    <w:p>
      <w:pPr>
        <w:pStyle w:val="33"/>
        <w:ind w:left="0" w:leftChars="0" w:firstLine="0" w:firstLineChars="0"/>
        <w:rPr>
          <w:rFonts w:hint="eastAsia"/>
          <w:b/>
          <w:sz w:val="21"/>
          <w:szCs w:val="21"/>
        </w:rPr>
      </w:pPr>
    </w:p>
    <w:p>
      <w:pPr>
        <w:pStyle w:val="33"/>
        <w:pBdr>
          <w:top w:val="none" w:color="auto" w:sz="0" w:space="0"/>
          <w:left w:val="none" w:color="auto" w:sz="0" w:space="0"/>
          <w:bottom w:val="none" w:color="auto" w:sz="0" w:space="0"/>
          <w:right w:val="none" w:color="auto" w:sz="0" w:space="0"/>
        </w:pBdr>
        <w:ind w:left="0" w:leftChars="0" w:firstLine="0" w:firstLineChars="0"/>
        <w:rPr>
          <w:rFonts w:hint="eastAsia"/>
          <w:b/>
          <w:sz w:val="21"/>
          <w:szCs w:val="21"/>
        </w:rPr>
      </w:pPr>
    </w:p>
    <w:p>
      <w:pPr>
        <w:pStyle w:val="33"/>
        <w:ind w:firstLine="420"/>
        <w:rPr>
          <w:rFonts w:hint="eastAsia"/>
          <w:b/>
          <w:sz w:val="21"/>
          <w:szCs w:val="21"/>
          <w:lang w:eastAsia="zh-CN"/>
        </w:rPr>
      </w:pPr>
      <w:bookmarkStart w:id="54" w:name="_GoBack"/>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592A92"/>
    <w:rsid w:val="00A14F7F"/>
    <w:rsid w:val="00A906D8"/>
    <w:rsid w:val="00AB5A74"/>
    <w:rsid w:val="00F071AE"/>
    <w:rsid w:val="337E114C"/>
    <w:rsid w:val="741D5E3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pPr>
      <w:jc w:val="left"/>
    </w:pPr>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b/>
      <w:bCs/>
      <w:kern w:val="44"/>
      <w:sz w:val="44"/>
      <w:szCs w:val="44"/>
    </w:rPr>
  </w:style>
  <w:style w:type="character" w:customStyle="1" w:styleId="24">
    <w:name w:val="标题 2 字符"/>
    <w:link w:val="3"/>
    <w:qFormat/>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Normal</Template>
  <Company>北京绿建软件有限公司</Company>
  <Pages>11</Pages>
  <Words>675</Words>
  <Characters>3850</Characters>
  <Lines>32</Lines>
  <Paragraphs>9</Paragraphs>
  <TotalTime>0</TotalTime>
  <ScaleCrop>false</ScaleCrop>
  <LinksUpToDate>false</LinksUpToDate>
  <CharactersWithSpaces>4516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jinj</dc:creator>
  <cp:lastModifiedBy>小小de棋子</cp:lastModifiedBy>
  <cp:lastPrinted>2016-08-03T02:42:00Z</cp:lastPrinted>
  <dcterms:modified xsi:type="dcterms:W3CDTF">2021-01-06T08:46:27Z</dcterms:modified>
  <dc:title>总图面 热环境1室外噪声分析报告</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